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Swing Trading Agent — Arquitectura del Sistema v18.0</w:t>
      </w:r>
    </w:p>
    <w:p>
      <w:pPr>
        <w:pStyle w:val="Heading2"/>
      </w:pPr>
      <w:r>
        <w:t>Descripción general</w:t>
      </w:r>
    </w:p>
    <w:p>
      <w:pPr/>
      <w:r>
        <w:t>Swing Trading Agent es una aplicación web full-stack con autenticación en la nube. Implementa estrategia set-and-forget con señal final determinada por score técnico matemático (0-100), estrellas de contexto de entrada (0-3★) y detección automática de eventos que afectan el timing (earnings, ex-dividend, RSI extremo, precio sobre target de analistas).</w:t>
      </w:r>
    </w:p>
    <w:p>
      <w:pPr>
        <w:pStyle w:val="Heading2"/>
      </w:pPr>
      <w:r>
        <w:t>Pestañas de la aplicación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val="clear" w:color="auto" w:fill="DAEEF3"/>
          </w:tcPr>
          <w:p>
            <w:r>
              <w:rPr>
                <w:b/>
              </w:rPr>
              <w:t>Pestaña</w:t>
            </w:r>
          </w:p>
        </w:tc>
        <w:tc>
          <w:tcPr>
            <w:tcW w:type="dxa" w:w="7200"/>
            <w:shd w:val="clear" w:color="auto" w:fill="DAEEF3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160"/>
          </w:tcPr>
          <w:p>
            <w:r>
              <w:t>Watchlist</w:t>
            </w:r>
          </w:p>
        </w:tc>
        <w:tc>
          <w:tcPr>
            <w:tcW w:type="dxa" w:w="7200"/>
          </w:tcPr>
          <w:p>
            <w:r>
              <w:t>Análisis por acción: score técnico, estrellas de contexto, señal final, alertas, entryZone (Método A/B), niveles técnicos anclados a soportes reales, plazo dinámico. Badge de trade activo y último trade cerrado por ticker. Botón 'En Seguimiento' en todas las tarjetas.</w:t>
            </w:r>
          </w:p>
        </w:tc>
      </w:tr>
      <w:tr>
        <w:tc>
          <w:tcPr>
            <w:tcW w:type="dxa" w:w="2160"/>
          </w:tcPr>
          <w:p>
            <w:r>
              <w:t>En Seguimiento</w:t>
            </w:r>
          </w:p>
        </w:tc>
        <w:tc>
          <w:tcPr>
            <w:tcW w:type="dxa" w:w="7200"/>
          </w:tcPr>
          <w:p>
            <w:r>
              <w:t>Acciones en espera de entrada: señal MONITOREAR o COMPRAR con wait_pullback (Método B). El usuario mueve aquí explícitamente con el botón. Contador refleja acciones realmente visibles.</w:t>
            </w:r>
          </w:p>
        </w:tc>
      </w:tr>
      <w:tr>
        <w:tc>
          <w:tcPr>
            <w:tcW w:type="dxa" w:w="2160"/>
          </w:tcPr>
          <w:p>
            <w:r>
              <w:t>Screener</w:t>
            </w:r>
          </w:p>
        </w:tc>
        <w:tc>
          <w:tcPr>
            <w:tcW w:type="dxa" w:w="7200"/>
          </w:tcPr>
          <w:p>
            <w:r>
              <w:t>Candidatas para swing trading. Solo acciones individuales. Actualización automática 9:30am ET vía GitHub Actions. Botón de actualización manual disponible.</w:t>
            </w:r>
          </w:p>
        </w:tc>
      </w:tr>
      <w:tr>
        <w:tc>
          <w:tcPr>
            <w:tcW w:type="dxa" w:w="2160"/>
          </w:tcPr>
          <w:p>
            <w:r>
              <w:t>Journal</w:t>
            </w:r>
          </w:p>
        </w:tc>
        <w:tc>
          <w:tcPr>
            <w:tcW w:type="dxa" w:w="7200"/>
          </w:tcPr>
          <w:p>
            <w:r>
              <w:t>Registro en Supabase. Dos secciones: análisis app (referencia) y operación real (editable). P&amp;L en % y USD. Resumen de cerradas. Vigencia del setup.</w:t>
            </w:r>
          </w:p>
        </w:tc>
      </w:tr>
    </w:tbl>
    <w:p>
      <w:pPr>
        <w:pStyle w:val="Heading2"/>
      </w:pPr>
      <w:r>
        <w:t>Arquitectura de despliegue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color="auto" w:fill="DAEEF3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2592"/>
            <w:shd w:val="clear" w:color="auto" w:fill="DAEEF3"/>
          </w:tcPr>
          <w:p>
            <w:r>
              <w:rPr>
                <w:b/>
              </w:rPr>
              <w:t>Tecnología</w:t>
            </w:r>
          </w:p>
        </w:tc>
        <w:tc>
          <w:tcPr>
            <w:tcW w:type="dxa" w:w="4608"/>
            <w:shd w:val="clear" w:color="auto" w:fill="DAEEF3"/>
          </w:tcPr>
          <w:p>
            <w:r>
              <w:rPr>
                <w:b/>
              </w:rPr>
              <w:t>Función</w:t>
            </w:r>
          </w:p>
        </w:tc>
      </w:tr>
      <w:tr>
        <w:tc>
          <w:tcPr>
            <w:tcW w:type="dxa" w:w="2160"/>
          </w:tcPr>
          <w:p>
            <w:r>
              <w:t>Frontend</w:t>
            </w:r>
          </w:p>
        </w:tc>
        <w:tc>
          <w:tcPr>
            <w:tcW w:type="dxa" w:w="2592"/>
          </w:tcPr>
          <w:p>
            <w:r>
              <w:t>React 18 + Vite + Vercel</w:t>
            </w:r>
          </w:p>
        </w:tc>
        <w:tc>
          <w:tcPr>
            <w:tcW w:type="dxa" w:w="4608"/>
          </w:tcPr>
          <w:p>
            <w:r>
              <w:t>SPA. Auth.jsx, StockCard.jsx, Discover.jsx, Journal.jsx, App.jsx</w:t>
            </w:r>
          </w:p>
        </w:tc>
      </w:tr>
      <w:tr>
        <w:tc>
          <w:tcPr>
            <w:tcW w:type="dxa" w:w="2160"/>
          </w:tcPr>
          <w:p>
            <w:r>
              <w:t>Backend</w:t>
            </w:r>
          </w:p>
        </w:tc>
        <w:tc>
          <w:tcPr>
            <w:tcW w:type="dxa" w:w="2592"/>
          </w:tcPr>
          <w:p>
            <w:r>
              <w:t>FastAPI + Python + Railway</w:t>
            </w:r>
          </w:p>
        </w:tc>
        <w:tc>
          <w:tcPr>
            <w:tcW w:type="dxa" w:w="4608"/>
          </w:tcPr>
          <w:p>
            <w:r>
              <w:t>Análisis técnico, score matemático, estrellas de contexto, Claude AI, endpoints REST</w:t>
            </w:r>
          </w:p>
        </w:tc>
      </w:tr>
      <w:tr>
        <w:tc>
          <w:tcPr>
            <w:tcW w:type="dxa" w:w="2160"/>
          </w:tcPr>
          <w:p>
            <w:r>
              <w:t>Base de datos / Auth</w:t>
            </w:r>
          </w:p>
        </w:tc>
        <w:tc>
          <w:tcPr>
            <w:tcW w:type="dxa" w:w="2592"/>
          </w:tcPr>
          <w:p>
            <w:r>
              <w:t>Supabase (PostgreSQL)</w:t>
            </w:r>
          </w:p>
        </w:tc>
        <w:tc>
          <w:tcPr>
            <w:tcW w:type="dxa" w:w="4608"/>
          </w:tcPr>
          <w:p>
            <w:r>
              <w:t>watchlist, monitor_tickers, journal. Auth email/password</w:t>
            </w:r>
          </w:p>
        </w:tc>
      </w:tr>
      <w:tr>
        <w:tc>
          <w:tcPr>
            <w:tcW w:type="dxa" w:w="2160"/>
          </w:tcPr>
          <w:p>
            <w:r>
              <w:t>Datos de mercado</w:t>
            </w:r>
          </w:p>
        </w:tc>
        <w:tc>
          <w:tcPr>
            <w:tcW w:type="dxa" w:w="2592"/>
          </w:tcPr>
          <w:p>
            <w:r>
              <w:t>Alpha Vantage API (premium)</w:t>
            </w:r>
          </w:p>
        </w:tc>
        <w:tc>
          <w:tcPr>
            <w:tcW w:type="dxa" w:w="4608"/>
          </w:tcPr>
          <w:p>
            <w:r>
              <w:t>Precios históricos, GLOBAL_QUOTE (15-min delay), OVERVIEW (fundamentales + dividendos), EARNINGS_CALENDAR</w:t>
            </w:r>
          </w:p>
        </w:tc>
      </w:tr>
      <w:tr>
        <w:tc>
          <w:tcPr>
            <w:tcW w:type="dxa" w:w="2160"/>
          </w:tcPr>
          <w:p>
            <w:r>
              <w:t>IA</w:t>
            </w:r>
          </w:p>
        </w:tc>
        <w:tc>
          <w:tcPr>
            <w:tcW w:type="dxa" w:w="2592"/>
          </w:tcPr>
          <w:p>
            <w:r>
              <w:t>Anthropic Claude Haiku</w:t>
            </w:r>
          </w:p>
        </w:tc>
        <w:tc>
          <w:tcPr>
            <w:tcW w:type="dxa" w:w="4608"/>
          </w:tcPr>
          <w:p>
            <w:r>
              <w:t>Genera análisis narrativo. Los niveles técnicos se calculan en Python (calc_levels).</w:t>
            </w:r>
          </w:p>
        </w:tc>
      </w:tr>
      <w:tr>
        <w:tc>
          <w:tcPr>
            <w:tcW w:type="dxa" w:w="2160"/>
          </w:tcPr>
          <w:p>
            <w:r>
              <w:t>Screener</w:t>
            </w:r>
          </w:p>
        </w:tc>
        <w:tc>
          <w:tcPr>
            <w:tcW w:type="dxa" w:w="2592"/>
          </w:tcPr>
          <w:p>
            <w:r>
              <w:t>Finviz + GitHub Actions</w:t>
            </w:r>
          </w:p>
        </w:tc>
        <w:tc>
          <w:tcPr>
            <w:tcW w:type="dxa" w:w="4608"/>
          </w:tcPr>
          <w:p>
            <w:r>
              <w:t>Scraping diario 9:30am ET. Solo acciones individuales (ind_stocksonly)</w:t>
            </w:r>
          </w:p>
        </w:tc>
      </w:tr>
    </w:tbl>
    <w:p>
      <w:pPr>
        <w:pStyle w:val="Heading2"/>
      </w:pPr>
      <w:r>
        <w:t>Arquitectura de scoring en 3 capas</w:t>
      </w:r>
    </w:p>
    <w:p>
      <w:pPr/>
      <w:r>
        <w:t>El análisis se divide en tres capas independientes ejecutadas secuencialmente en Python:</w:t>
      </w:r>
    </w:p>
    <w:p>
      <w:pPr>
        <w:pStyle w:val="ListBullet"/>
      </w:pPr>
      <w:r>
        <w:t>Capa 1 — calc_score(): Score técnico puro (0-100). Solo indicadores de precio y momentum. Base: 50. El score lo calcula Python — no Claude.</w:t>
      </w:r>
    </w:p>
    <w:p>
      <w:pPr>
        <w:pStyle w:val="ListBullet"/>
      </w:pPr>
      <w:r>
        <w:t>Capa 2 — calc_context_stars(): Estrellas de contexto de entrada (0-3★). Evalúa si es buen MOMENTO para entrar ahora, independiente del score técnico.</w:t>
      </w:r>
    </w:p>
    <w:p>
      <w:pPr>
        <w:pStyle w:val="ListBullet"/>
      </w:pPr>
      <w:r>
        <w:t>Capa 3 — determine_final_signal(): Señal final combinando score + estrellas + RSI.</w:t>
      </w:r>
    </w:p>
    <w:p>
      <w:pPr>
        <w:pStyle w:val="Heading2"/>
      </w:pPr>
      <w:r>
        <w:t>Score técnico — factores y pesos (calc_score)</w:t>
      </w:r>
    </w:p>
    <w:p>
      <w:pPr/>
      <w:r>
        <w:t>Base: 50. Rango final: 0-100. El score lo calcula Python — no Claude.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  <w:shd w:val="clear" w:color="auto" w:fill="DAEEF3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  <w:shd w:val="clear" w:color="auto" w:fill="DAEEF3"/>
          </w:tcPr>
          <w:p>
            <w:r>
              <w:rPr>
                <w:b/>
              </w:rPr>
              <w:t>Positivo</w:t>
            </w:r>
          </w:p>
        </w:tc>
        <w:tc>
          <w:tcPr>
            <w:tcW w:type="dxa" w:w="2160"/>
            <w:shd w:val="clear" w:color="auto" w:fill="DAEEF3"/>
          </w:tcPr>
          <w:p>
            <w:r>
              <w:rPr>
                <w:b/>
              </w:rPr>
              <w:t>Negativo</w:t>
            </w:r>
          </w:p>
        </w:tc>
        <w:tc>
          <w:tcPr>
            <w:tcW w:type="dxa" w:w="3312"/>
            <w:shd w:val="clear" w:color="auto" w:fill="DAEEF3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448"/>
          </w:tcPr>
          <w:p>
            <w:r>
              <w:t>SMA trend (SMA21 vs SMA50)</w:t>
            </w:r>
          </w:p>
        </w:tc>
        <w:tc>
          <w:tcPr>
            <w:tcW w:type="dxa" w:w="2160"/>
          </w:tcPr>
          <w:p>
            <w:r>
              <w:t>+10</w:t>
            </w:r>
          </w:p>
        </w:tc>
        <w:tc>
          <w:tcPr>
            <w:tcW w:type="dxa" w:w="2160"/>
          </w:tcPr>
          <w:p>
            <w:r>
              <w:t>-10</w:t>
            </w:r>
          </w:p>
        </w:tc>
        <w:tc>
          <w:tcPr>
            <w:tcW w:type="dxa" w:w="3312"/>
          </w:tcPr>
          <w:p>
            <w:r>
              <w:t>+10 si SMA21 &gt; SMA50, -10 si SMA21 ≤ SMA50</w:t>
            </w:r>
          </w:p>
        </w:tc>
      </w:tr>
      <w:tr>
        <w:tc>
          <w:tcPr>
            <w:tcW w:type="dxa" w:w="2448"/>
          </w:tcPr>
          <w:p>
            <w:r>
              <w:t>RSI</w:t>
            </w:r>
          </w:p>
        </w:tc>
        <w:tc>
          <w:tcPr>
            <w:tcW w:type="dxa" w:w="2160"/>
          </w:tcPr>
          <w:p>
            <w:r>
              <w:t>+8 (40-60) / +5 (&lt;30)</w:t>
            </w:r>
          </w:p>
        </w:tc>
        <w:tc>
          <w:tcPr>
            <w:tcW w:type="dxa" w:w="2160"/>
          </w:tcPr>
          <w:p>
            <w:r>
              <w:t>-10 (&gt;75) / -5 (&gt;65)</w:t>
            </w:r>
          </w:p>
        </w:tc>
        <w:tc>
          <w:tcPr>
            <w:tcW w:type="dxa" w:w="3312"/>
          </w:tcPr>
          <w:p>
            <w:r>
              <w:t>Zona pullback ideal: 40-60</w:t>
            </w:r>
          </w:p>
        </w:tc>
      </w:tr>
      <w:tr>
        <w:tc>
          <w:tcPr>
            <w:tcW w:type="dxa" w:w="2448"/>
          </w:tcPr>
          <w:p>
            <w:r>
              <w:t>SMA200</w:t>
            </w:r>
          </w:p>
        </w:tc>
        <w:tc>
          <w:tcPr>
            <w:tcW w:type="dxa" w:w="2160"/>
          </w:tcPr>
          <w:p>
            <w:r>
              <w:t>+6</w:t>
            </w:r>
          </w:p>
        </w:tc>
        <w:tc>
          <w:tcPr>
            <w:tcW w:type="dxa" w:w="2160"/>
          </w:tcPr>
          <w:p>
            <w:r>
              <w:t>-6 / -3 (recuperación)</w:t>
            </w:r>
          </w:p>
        </w:tc>
        <w:tc>
          <w:tcPr>
            <w:tcW w:type="dxa" w:w="3312"/>
          </w:tcPr>
          <w:p>
            <w:r>
              <w:t>-3 si SMA21&gt;SMA50 y momentum&gt;0 (recuperación en marcha)</w:t>
            </w:r>
          </w:p>
        </w:tc>
      </w:tr>
      <w:tr>
        <w:tc>
          <w:tcPr>
            <w:tcW w:type="dxa" w:w="2448"/>
          </w:tcPr>
          <w:p>
            <w:r>
              <w:t>Mansfield RS</w:t>
            </w:r>
          </w:p>
        </w:tc>
        <w:tc>
          <w:tcPr>
            <w:tcW w:type="dxa" w:w="2160"/>
          </w:tcPr>
          <w:p>
            <w:r>
              <w:t>+8 (&gt;2) / +4 (0-2)</w:t>
            </w:r>
          </w:p>
        </w:tc>
        <w:tc>
          <w:tcPr>
            <w:tcW w:type="dxa" w:w="2160"/>
          </w:tcPr>
          <w:p>
            <w:r>
              <w:t>-12 (&lt;-2) / -6 (-2 a 0)</w:t>
            </w:r>
          </w:p>
        </w:tc>
        <w:tc>
          <w:tcPr>
            <w:tcW w:type="dxa" w:w="3312"/>
          </w:tcPr>
          <w:p>
            <w:r>
              <w:t>Fuerza relativa vs S&amp;P500</w:t>
            </w:r>
          </w:p>
        </w:tc>
      </w:tr>
      <w:tr>
        <w:tc>
          <w:tcPr>
            <w:tcW w:type="dxa" w:w="2448"/>
          </w:tcPr>
          <w:p>
            <w:r>
              <w:t>Volumen</w:t>
            </w:r>
          </w:p>
        </w:tc>
        <w:tc>
          <w:tcPr>
            <w:tcW w:type="dxa" w:w="2160"/>
          </w:tcPr>
          <w:p>
            <w:r>
              <w:t>+4 (≥100%) / +2 (70-99%)</w:t>
            </w:r>
          </w:p>
        </w:tc>
        <w:tc>
          <w:tcPr>
            <w:tcW w:type="dxa" w:w="2160"/>
          </w:tcPr>
          <w:p>
            <w:r>
              <w:t>-8 (&lt;50%)</w:t>
            </w:r>
          </w:p>
        </w:tc>
        <w:tc>
          <w:tcPr>
            <w:tcW w:type="dxa" w:w="3312"/>
          </w:tcPr>
          <w:p>
            <w:r>
              <w:t>Participación institucional</w:t>
            </w:r>
          </w:p>
        </w:tc>
      </w:tr>
      <w:tr>
        <w:tc>
          <w:tcPr>
            <w:tcW w:type="dxa" w:w="2448"/>
          </w:tcPr>
          <w:p>
            <w:r>
              <w:t>Momentum 4w</w:t>
            </w:r>
          </w:p>
        </w:tc>
        <w:tc>
          <w:tcPr>
            <w:tcW w:type="dxa" w:w="2160"/>
          </w:tcPr>
          <w:p>
            <w:r>
              <w:t>+3 (5-20%)</w:t>
            </w:r>
          </w:p>
        </w:tc>
        <w:tc>
          <w:tcPr>
            <w:tcW w:type="dxa" w:w="2160"/>
          </w:tcPr>
          <w:p>
            <w:r>
              <w:t>-5 (&gt;20%) / -6 (&lt;-5%)</w:t>
            </w:r>
          </w:p>
        </w:tc>
        <w:tc>
          <w:tcPr>
            <w:tcW w:type="dxa" w:w="3312"/>
          </w:tcPr>
          <w:p>
            <w:r>
              <w:t>Cambio precio en 4 semanas</w:t>
            </w:r>
          </w:p>
        </w:tc>
      </w:tr>
      <w:tr>
        <w:tc>
          <w:tcPr>
            <w:tcW w:type="dxa" w:w="2448"/>
          </w:tcPr>
          <w:p>
            <w:r>
              <w:t>Distancia al max20d</w:t>
            </w:r>
          </w:p>
        </w:tc>
        <w:tc>
          <w:tcPr>
            <w:tcW w:type="dxa" w:w="2160"/>
          </w:tcPr>
          <w:p>
            <w:r>
              <w:t>+3 (&gt;5%)</w:t>
            </w:r>
          </w:p>
        </w:tc>
        <w:tc>
          <w:tcPr>
            <w:tcW w:type="dxa" w:w="2160"/>
          </w:tcPr>
          <w:p>
            <w:r>
              <w:t>-5 (&lt;2%)</w:t>
            </w:r>
          </w:p>
        </w:tc>
        <w:tc>
          <w:tcPr>
            <w:tcW w:type="dxa" w:w="3312"/>
          </w:tcPr>
          <w:p>
            <w:r>
              <w:t>Espacio antes de resistencia</w:t>
            </w:r>
          </w:p>
        </w:tc>
      </w:tr>
    </w:tbl>
    <w:p>
      <w:pPr>
        <w:pStyle w:val="Heading2"/>
      </w:pPr>
      <w:r>
        <w:t>Estrellas de contexto de entrada (calc_context_stars)</w:t>
      </w:r>
    </w:p>
    <w:p>
      <w:pPr/>
      <w:r>
        <w:t>Empiezan en 3★. Se restan penalizaciones según eventos que afectan el timing. Si score &lt; 45: siempre 0★ (sin importar el contexto).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color="auto" w:fill="DAEEF3"/>
          </w:tcPr>
          <w:p>
            <w:r>
              <w:rPr>
                <w:b/>
              </w:rPr>
              <w:t>Condición</w:t>
            </w:r>
          </w:p>
        </w:tc>
        <w:tc>
          <w:tcPr>
            <w:tcW w:type="dxa" w:w="1728"/>
            <w:shd w:val="clear" w:color="auto" w:fill="DAEEF3"/>
          </w:tcPr>
          <w:p>
            <w:r>
              <w:rPr>
                <w:b/>
              </w:rPr>
              <w:t>Penalización</w:t>
            </w:r>
          </w:p>
        </w:tc>
        <w:tc>
          <w:tcPr>
            <w:tcW w:type="dxa" w:w="4320"/>
            <w:shd w:val="clear" w:color="auto" w:fill="DAEEF3"/>
          </w:tcPr>
          <w:p>
            <w:r>
              <w:rPr>
                <w:b/>
              </w:rPr>
              <w:t>Razón</w:t>
            </w:r>
          </w:p>
        </w:tc>
      </w:tr>
      <w:tr>
        <w:tc>
          <w:tcPr>
            <w:tcW w:type="dxa" w:w="3312"/>
          </w:tcPr>
          <w:p>
            <w:r>
              <w:t>Earnings &lt; 7 días</w:t>
            </w:r>
          </w:p>
        </w:tc>
        <w:tc>
          <w:tcPr>
            <w:tcW w:type="dxa" w:w="1728"/>
          </w:tcPr>
          <w:p>
            <w:r>
              <w:t>-2★</w:t>
            </w:r>
          </w:p>
        </w:tc>
        <w:tc>
          <w:tcPr>
            <w:tcW w:type="dxa" w:w="4320"/>
          </w:tcPr>
          <w:p>
            <w:r>
              <w:t>Evento binario de alto impacto</w:t>
            </w:r>
          </w:p>
        </w:tc>
      </w:tr>
      <w:tr>
        <w:tc>
          <w:tcPr>
            <w:tcW w:type="dxa" w:w="3312"/>
          </w:tcPr>
          <w:p>
            <w:r>
              <w:t>Earnings 7-14 días</w:t>
            </w:r>
          </w:p>
        </w:tc>
        <w:tc>
          <w:tcPr>
            <w:tcW w:type="dxa" w:w="1728"/>
          </w:tcPr>
          <w:p>
            <w:r>
              <w:t>-1★</w:t>
            </w:r>
          </w:p>
        </w:tc>
        <w:tc>
          <w:tcPr>
            <w:tcW w:type="dxa" w:w="4320"/>
          </w:tcPr>
          <w:p>
            <w:r>
              <w:t>Incertidumbre pre-earnings</w:t>
            </w:r>
          </w:p>
        </w:tc>
      </w:tr>
      <w:tr>
        <w:tc>
          <w:tcPr>
            <w:tcW w:type="dxa" w:w="3312"/>
          </w:tcPr>
          <w:p>
            <w:r>
              <w:t>Ex-dividend ≤5 días (yield &gt; 0.3%)</w:t>
            </w:r>
          </w:p>
        </w:tc>
        <w:tc>
          <w:tcPr>
            <w:tcW w:type="dxa" w:w="1728"/>
          </w:tcPr>
          <w:p>
            <w:r>
              <w:t>-2★</w:t>
            </w:r>
          </w:p>
        </w:tc>
        <w:tc>
          <w:tcPr>
            <w:tcW w:type="dxa" w:w="4320"/>
          </w:tcPr>
          <w:p>
            <w:r>
              <w:t>Caída de precio inminente</w:t>
            </w:r>
          </w:p>
        </w:tc>
      </w:tr>
      <w:tr>
        <w:tc>
          <w:tcPr>
            <w:tcW w:type="dxa" w:w="3312"/>
          </w:tcPr>
          <w:p>
            <w:r>
              <w:t>Ex-dividend dentro del 40% del plazo</w:t>
            </w:r>
          </w:p>
        </w:tc>
        <w:tc>
          <w:tcPr>
            <w:tcW w:type="dxa" w:w="1728"/>
          </w:tcPr>
          <w:p>
            <w:r>
              <w:t>-1★</w:t>
            </w:r>
          </w:p>
        </w:tc>
        <w:tc>
          <w:tcPr>
            <w:tcW w:type="dxa" w:w="4320"/>
          </w:tcPr>
          <w:p>
            <w:r>
              <w:t>Presión bajista post-pago</w:t>
            </w:r>
          </w:p>
        </w:tc>
      </w:tr>
      <w:tr>
        <w:tc>
          <w:tcPr>
            <w:tcW w:type="dxa" w:w="3312"/>
          </w:tcPr>
          <w:p>
            <w:r>
              <w:t>Precio &gt; 10% sobre target analistas</w:t>
            </w:r>
          </w:p>
        </w:tc>
        <w:tc>
          <w:tcPr>
            <w:tcW w:type="dxa" w:w="1728"/>
          </w:tcPr>
          <w:p>
            <w:r>
              <w:t>-1★</w:t>
            </w:r>
          </w:p>
        </w:tc>
        <w:tc>
          <w:tcPr>
            <w:tcW w:type="dxa" w:w="4320"/>
          </w:tcPr>
          <w:p>
            <w:r>
              <w:t>Acción sobrecomprada vs consenso</w:t>
            </w:r>
          </w:p>
        </w:tc>
      </w:tr>
      <w:tr>
        <w:tc>
          <w:tcPr>
            <w:tcW w:type="dxa" w:w="3312"/>
          </w:tcPr>
          <w:p>
            <w:r>
              <w:t>Mansfield RS &lt; -2 con SMA21 &gt; SMA50</w:t>
            </w:r>
          </w:p>
        </w:tc>
        <w:tc>
          <w:tcPr>
            <w:tcW w:type="dxa" w:w="1728"/>
          </w:tcPr>
          <w:p>
            <w:r>
              <w:t>-1★</w:t>
            </w:r>
          </w:p>
        </w:tc>
        <w:tc>
          <w:tcPr>
            <w:tcW w:type="dxa" w:w="4320"/>
          </w:tcPr>
          <w:p>
            <w:r>
              <w:t>Posible trampa alcista</w:t>
            </w:r>
          </w:p>
        </w:tc>
      </w:tr>
    </w:tbl>
    <w:p>
      <w:pPr>
        <w:pStyle w:val="Heading2"/>
      </w:pPr>
      <w:r>
        <w:t>Señal final (determine_final_signal)</w:t>
      </w:r>
    </w:p>
    <w:p>
      <w:pPr/>
      <w:r>
        <w:t>La señal final la determina el backend matemáticamente — no Claude.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DAEEF3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2592"/>
            <w:shd w:val="clear" w:color="auto" w:fill="DAEEF3"/>
          </w:tcPr>
          <w:p>
            <w:r>
              <w:rPr>
                <w:b/>
              </w:rPr>
              <w:t>Contexto</w:t>
            </w:r>
          </w:p>
        </w:tc>
        <w:tc>
          <w:tcPr>
            <w:tcW w:type="dxa" w:w="1152"/>
            <w:shd w:val="clear" w:color="auto" w:fill="DAEEF3"/>
          </w:tcPr>
          <w:p>
            <w:r>
              <w:rPr>
                <w:b/>
              </w:rPr>
              <w:t>RSI</w:t>
            </w:r>
          </w:p>
        </w:tc>
        <w:tc>
          <w:tcPr>
            <w:tcW w:type="dxa" w:w="4176"/>
            <w:shd w:val="clear" w:color="auto" w:fill="DAEEF3"/>
          </w:tcPr>
          <w:p>
            <w:r>
              <w:rPr>
                <w:b/>
              </w:rPr>
              <w:t>Señal</w:t>
            </w:r>
          </w:p>
        </w:tc>
      </w:tr>
      <w:tr>
        <w:tc>
          <w:tcPr>
            <w:tcW w:type="dxa" w:w="1440"/>
          </w:tcPr>
          <w:p>
            <w:r>
              <w:t>&lt; 30</w:t>
            </w:r>
          </w:p>
        </w:tc>
        <w:tc>
          <w:tcPr>
            <w:tcW w:type="dxa" w:w="2592"/>
          </w:tcPr>
          <w:p>
            <w:r>
              <w:t>cualquiera</w:t>
            </w:r>
          </w:p>
        </w:tc>
        <w:tc>
          <w:tcPr>
            <w:tcW w:type="dxa" w:w="1152"/>
          </w:tcPr>
          <w:p>
            <w:r>
              <w:t>cualquiera</w:t>
            </w:r>
          </w:p>
        </w:tc>
        <w:tc>
          <w:tcPr>
            <w:tcW w:type="dxa" w:w="4176"/>
          </w:tcPr>
          <w:p>
            <w:r>
              <w:t>EVITAR</w:t>
            </w:r>
          </w:p>
        </w:tc>
      </w:tr>
      <w:tr>
        <w:tc>
          <w:tcPr>
            <w:tcW w:type="dxa" w:w="1440"/>
          </w:tcPr>
          <w:p>
            <w:r>
              <w:t>30-44</w:t>
            </w:r>
          </w:p>
        </w:tc>
        <w:tc>
          <w:tcPr>
            <w:tcW w:type="dxa" w:w="2592"/>
          </w:tcPr>
          <w:p>
            <w:r>
              <w:t>cualquiera</w:t>
            </w:r>
          </w:p>
        </w:tc>
        <w:tc>
          <w:tcPr>
            <w:tcW w:type="dxa" w:w="1152"/>
          </w:tcPr>
          <w:p>
            <w:r>
              <w:t>cualquiera</w:t>
            </w:r>
          </w:p>
        </w:tc>
        <w:tc>
          <w:tcPr>
            <w:tcW w:type="dxa" w:w="4176"/>
          </w:tcPr>
          <w:p>
            <w:r>
              <w:t>ESPERAR</w:t>
            </w:r>
          </w:p>
        </w:tc>
      </w:tr>
      <w:tr>
        <w:tc>
          <w:tcPr>
            <w:tcW w:type="dxa" w:w="1440"/>
          </w:tcPr>
          <w:p>
            <w:r>
              <w:t>≥ 50</w:t>
            </w:r>
          </w:p>
        </w:tc>
        <w:tc>
          <w:tcPr>
            <w:tcW w:type="dxa" w:w="2592"/>
          </w:tcPr>
          <w:p>
            <w:r>
              <w:t>cualquiera</w:t>
            </w:r>
          </w:p>
        </w:tc>
        <w:tc>
          <w:tcPr>
            <w:tcW w:type="dxa" w:w="1152"/>
          </w:tcPr>
          <w:p>
            <w:r>
              <w:t>≥ 72</w:t>
            </w:r>
          </w:p>
        </w:tc>
        <w:tc>
          <w:tcPr>
            <w:tcW w:type="dxa" w:w="4176"/>
          </w:tcPr>
          <w:p>
            <w:r>
              <w:t>MONITOREAR (esperar pullback RSI)</w:t>
            </w:r>
          </w:p>
        </w:tc>
      </w:tr>
      <w:tr>
        <w:tc>
          <w:tcPr>
            <w:tcW w:type="dxa" w:w="1440"/>
          </w:tcPr>
          <w:p>
            <w:r>
              <w:t>≥ 50</w:t>
            </w:r>
          </w:p>
        </w:tc>
        <w:tc>
          <w:tcPr>
            <w:tcW w:type="dxa" w:w="2592"/>
          </w:tcPr>
          <w:p>
            <w:r>
              <w:t>0-1★ + razones</w:t>
            </w:r>
          </w:p>
        </w:tc>
        <w:tc>
          <w:tcPr>
            <w:tcW w:type="dxa" w:w="1152"/>
          </w:tcPr>
          <w:p>
            <w:r>
              <w:t>&lt; 72</w:t>
            </w:r>
          </w:p>
        </w:tc>
        <w:tc>
          <w:tcPr>
            <w:tcW w:type="dxa" w:w="4176"/>
          </w:tcPr>
          <w:p>
            <w:r>
              <w:t>MONITOREAR (contexto desfavorable)</w:t>
            </w:r>
          </w:p>
        </w:tc>
      </w:tr>
      <w:tr>
        <w:tc>
          <w:tcPr>
            <w:tcW w:type="dxa" w:w="1440"/>
          </w:tcPr>
          <w:p>
            <w:r>
              <w:t>≥ 65</w:t>
            </w:r>
          </w:p>
        </w:tc>
        <w:tc>
          <w:tcPr>
            <w:tcW w:type="dxa" w:w="2592"/>
          </w:tcPr>
          <w:p>
            <w:r>
              <w:t>2-3★</w:t>
            </w:r>
          </w:p>
        </w:tc>
        <w:tc>
          <w:tcPr>
            <w:tcW w:type="dxa" w:w="1152"/>
          </w:tcPr>
          <w:p>
            <w:r>
              <w:t>&lt; 72</w:t>
            </w:r>
          </w:p>
        </w:tc>
        <w:tc>
          <w:tcPr>
            <w:tcW w:type="dxa" w:w="4176"/>
          </w:tcPr>
          <w:p>
            <w:r>
              <w:t>COMPRAR (high/medium confidence)</w:t>
            </w:r>
          </w:p>
        </w:tc>
      </w:tr>
      <w:tr>
        <w:tc>
          <w:tcPr>
            <w:tcW w:type="dxa" w:w="1440"/>
          </w:tcPr>
          <w:p>
            <w:r>
              <w:t>45-64</w:t>
            </w:r>
          </w:p>
        </w:tc>
        <w:tc>
          <w:tcPr>
            <w:tcW w:type="dxa" w:w="2592"/>
          </w:tcPr>
          <w:p>
            <w:r>
              <w:t>3★</w:t>
            </w:r>
          </w:p>
        </w:tc>
        <w:tc>
          <w:tcPr>
            <w:tcW w:type="dxa" w:w="1152"/>
          </w:tcPr>
          <w:p>
            <w:r>
              <w:t>&lt; 72</w:t>
            </w:r>
          </w:p>
        </w:tc>
        <w:tc>
          <w:tcPr>
            <w:tcW w:type="dxa" w:w="4176"/>
          </w:tcPr>
          <w:p>
            <w:r>
              <w:t>COMPRAR (medium confidence)</w:t>
            </w:r>
          </w:p>
        </w:tc>
      </w:tr>
      <w:tr>
        <w:tc>
          <w:tcPr>
            <w:tcW w:type="dxa" w:w="1440"/>
          </w:tcPr>
          <w:p>
            <w:r>
              <w:t>45-64</w:t>
            </w:r>
          </w:p>
        </w:tc>
        <w:tc>
          <w:tcPr>
            <w:tcW w:type="dxa" w:w="2592"/>
          </w:tcPr>
          <w:p>
            <w:r>
              <w:t>&lt; 3★</w:t>
            </w:r>
          </w:p>
        </w:tc>
        <w:tc>
          <w:tcPr>
            <w:tcW w:type="dxa" w:w="1152"/>
          </w:tcPr>
          <w:p>
            <w:r>
              <w:t>&lt; 72</w:t>
            </w:r>
          </w:p>
        </w:tc>
        <w:tc>
          <w:tcPr>
            <w:tcW w:type="dxa" w:w="4176"/>
          </w:tcPr>
          <w:p>
            <w:r>
              <w:t>COMPRAR (low confidence)</w:t>
            </w:r>
          </w:p>
        </w:tc>
      </w:tr>
    </w:tbl>
    <w:p>
      <w:pPr>
        <w:pStyle w:val="Heading2"/>
      </w:pPr>
      <w:r>
        <w:t>Niveles técnicos anclados a soportes reales (calc_levels)</w:t>
      </w:r>
    </w:p>
    <w:p>
      <w:pPr/>
      <w:r>
        <w:t>Los niveles se anclan a soportes técnicos reales para que sean estables entre refreshes. Cambian solo cuando cambia el cierre diario o el mínimo/máximo de 20 días — no por el precio tick a tick.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color="auto" w:fill="DAEEF3"/>
          </w:tcPr>
          <w:p>
            <w:r>
              <w:rPr>
                <w:b/>
              </w:rPr>
              <w:t>Nivel</w:t>
            </w:r>
          </w:p>
        </w:tc>
        <w:tc>
          <w:tcPr>
            <w:tcW w:type="dxa" w:w="3168"/>
            <w:shd w:val="clear" w:color="auto" w:fill="DAEEF3"/>
          </w:tcPr>
          <w:p>
            <w:r>
              <w:rPr>
                <w:b/>
              </w:rPr>
              <w:t>Cálculo</w:t>
            </w:r>
          </w:p>
        </w:tc>
        <w:tc>
          <w:tcPr>
            <w:tcW w:type="dxa" w:w="4464"/>
            <w:shd w:val="clear" w:color="auto" w:fill="DAEEF3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1728"/>
          </w:tcPr>
          <w:p>
            <w:r>
              <w:t>entryLow</w:t>
            </w:r>
          </w:p>
        </w:tc>
        <w:tc>
          <w:tcPr>
            <w:tcW w:type="dxa" w:w="3168"/>
          </w:tcPr>
          <w:p>
            <w:r>
              <w:t>SMA21 × 0.995</w:t>
            </w:r>
          </w:p>
        </w:tc>
        <w:tc>
          <w:tcPr>
            <w:tcW w:type="dxa" w:w="4464"/>
          </w:tcPr>
          <w:p>
            <w:r>
              <w:t>Límite inferior de la zona de compra</w:t>
            </w:r>
          </w:p>
        </w:tc>
      </w:tr>
      <w:tr>
        <w:tc>
          <w:tcPr>
            <w:tcW w:type="dxa" w:w="1728"/>
          </w:tcPr>
          <w:p>
            <w:r>
              <w:t>entryHigh</w:t>
            </w:r>
          </w:p>
        </w:tc>
        <w:tc>
          <w:tcPr>
            <w:tcW w:type="dxa" w:w="3168"/>
          </w:tcPr>
          <w:p>
            <w:r>
              <w:t>SMA21 × 1.010</w:t>
            </w:r>
          </w:p>
        </w:tc>
        <w:tc>
          <w:tcPr>
            <w:tcW w:type="dxa" w:w="4464"/>
          </w:tcPr>
          <w:p>
            <w:r>
              <w:t>Límite superior de la zona de compra</w:t>
            </w:r>
          </w:p>
        </w:tc>
      </w:tr>
      <w:tr>
        <w:tc>
          <w:tcPr>
            <w:tcW w:type="dxa" w:w="1728"/>
          </w:tcPr>
          <w:p>
            <w:r>
              <w:t>stopLoss</w:t>
            </w:r>
          </w:p>
        </w:tc>
        <w:tc>
          <w:tcPr>
            <w:tcW w:type="dxa" w:w="3168"/>
          </w:tcPr>
          <w:p>
            <w:r>
              <w:t>mínimo 20 días × 0.995</w:t>
            </w:r>
          </w:p>
        </w:tc>
        <w:tc>
          <w:tcPr>
            <w:tcW w:type="dxa" w:w="4464"/>
          </w:tcPr>
          <w:p>
            <w:r>
              <w:t>Anclado al soporte real. Sin floor porcentual artificial.</w:t>
            </w:r>
          </w:p>
        </w:tc>
      </w:tr>
      <w:tr>
        <w:tc>
          <w:tcPr>
            <w:tcW w:type="dxa" w:w="1728"/>
          </w:tcPr>
          <w:p>
            <w:r>
              <w:t>target</w:t>
            </w:r>
          </w:p>
        </w:tc>
        <w:tc>
          <w:tcPr>
            <w:tcW w:type="dxa" w:w="3168"/>
          </w:tcPr>
          <w:p>
            <w:r>
              <w:t>max(máximo 20 días, entry_mid + riesgo × 2.5)</w:t>
            </w:r>
          </w:p>
        </w:tc>
        <w:tc>
          <w:tcPr>
            <w:tcW w:type="dxa" w:w="4464"/>
          </w:tcPr>
          <w:p>
            <w:r>
              <w:t>R:B mínimo 2.5x garantizado</w:t>
            </w:r>
          </w:p>
        </w:tc>
      </w:tr>
      <w:tr>
        <w:tc>
          <w:tcPr>
            <w:tcW w:type="dxa" w:w="1728"/>
          </w:tcPr>
          <w:p>
            <w:r>
              <w:t>max_days</w:t>
            </w:r>
          </w:p>
        </w:tc>
        <w:tc>
          <w:tcPr>
            <w:tcW w:type="dxa" w:w="3168"/>
          </w:tcPr>
          <w:p>
            <w:r>
              <w:t>distancia real al target</w:t>
            </w:r>
          </w:p>
        </w:tc>
        <w:tc>
          <w:tcPr>
            <w:tcW w:type="dxa" w:w="4464"/>
          </w:tcPr>
          <w:p>
            <w:r>
              <w:t>dist_to_target_pct = (target - price) / price × 100. Ya no es 12.5% fijo.</w:t>
            </w:r>
          </w:p>
        </w:tc>
      </w:tr>
    </w:tbl>
    <w:p>
      <w:pPr>
        <w:pStyle w:val="Heading2"/>
      </w:pPr>
      <w:r>
        <w:t>Badge entryZone — Método A / Método B</w:t>
      </w:r>
    </w:p>
    <w:p>
      <w:pPr/>
      <w:r>
        <w:t>Aparece en todas las tarjetas con señal COMPRAR. Lógica: zone_low = min(SMA21, SMA50), zone_high = max(SMA21, SMA50), ±2% tolerancia.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color="auto" w:fill="DAEEF3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3312"/>
            <w:shd w:val="clear" w:color="auto" w:fill="DAEEF3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DAEEF3"/>
          </w:tcPr>
          <w:p>
            <w:r>
              <w:rPr>
                <w:b/>
              </w:rPr>
              <w:t>Acción sugerida</w:t>
            </w:r>
          </w:p>
        </w:tc>
      </w:tr>
      <w:tr>
        <w:tc>
          <w:tcPr>
            <w:tcW w:type="dxa" w:w="1728"/>
          </w:tcPr>
          <w:p>
            <w:r>
              <w:t>in_zone</w:t>
            </w:r>
          </w:p>
        </w:tc>
        <w:tc>
          <w:tcPr>
            <w:tcW w:type="dxa" w:w="3312"/>
          </w:tcPr>
          <w:p>
            <w:r>
              <w:t>VERDE — Precio en zona de entrada</w:t>
            </w:r>
          </w:p>
        </w:tc>
        <w:tc>
          <w:tcPr>
            <w:tcW w:type="dxa" w:w="4320"/>
          </w:tcPr>
          <w:p>
            <w:r>
              <w:t>Método A: entrar con orden de mercado dentro del rango entryLow-entryHigh</w:t>
            </w:r>
          </w:p>
        </w:tc>
      </w:tr>
      <w:tr>
        <w:tc>
          <w:tcPr>
            <w:tcW w:type="dxa" w:w="1728"/>
          </w:tcPr>
          <w:p>
            <w:r>
              <w:t>wait_pullback</w:t>
            </w:r>
          </w:p>
        </w:tc>
        <w:tc>
          <w:tcPr>
            <w:tcW w:type="dxa" w:w="3312"/>
          </w:tcPr>
          <w:p>
            <w:r>
              <w:t>ÁMBAR — Espera pullback</w:t>
            </w:r>
          </w:p>
        </w:tc>
        <w:tc>
          <w:tcPr>
            <w:tcW w:type="dxa" w:w="4320"/>
          </w:tcPr>
          <w:p>
            <w:r>
              <w:t>Método B: poner orden límite en entryLow-entryHigh y mover a En Seguimiento</w:t>
            </w:r>
          </w:p>
        </w:tc>
      </w:tr>
      <w:tr>
        <w:tc>
          <w:tcPr>
            <w:tcW w:type="dxa" w:w="1728"/>
          </w:tcPr>
          <w:p>
            <w:r>
              <w:t>below_zone</w:t>
            </w:r>
          </w:p>
        </w:tc>
        <w:tc>
          <w:tcPr>
            <w:tcW w:type="dxa" w:w="3312"/>
          </w:tcPr>
          <w:p>
            <w:r>
              <w:t>ROJO — Precio fuera de zona</w:t>
            </w:r>
          </w:p>
        </w:tc>
        <w:tc>
          <w:tcPr>
            <w:tcW w:type="dxa" w:w="4320"/>
          </w:tcPr>
          <w:p>
            <w:r>
              <w:t>Setup invalidado — no entrar</w:t>
            </w:r>
          </w:p>
        </w:tc>
      </w:tr>
    </w:tbl>
    <w:p>
      <w:pPr>
        <w:pStyle w:val="Heading2"/>
      </w:pPr>
      <w:r>
        <w:t>Botón 'En Seguimiento' — Disponible en todas las tarjetas</w:t>
      </w:r>
    </w:p>
    <w:p>
      <w:pPr>
        <w:pStyle w:val="ListBullet"/>
      </w:pPr>
      <w:r>
        <w:t>Aparece al pie de todas las tarjetas con datos válidos, junto al botón de Journal. Versión anterior: solo aparecía en tarjetas con señal MONITOREAR.</w:t>
      </w:r>
    </w:p>
    <w:p>
      <w:pPr>
        <w:pStyle w:val="ListBullet"/>
      </w:pPr>
      <w:r>
        <w:t>Permite mover al tab 'En Seguimiento' cualquier acción con setup válido pero precio fuera de rango.</w:t>
      </w:r>
    </w:p>
    <w:p>
      <w:pPr>
        <w:pStyle w:val="ListBullet"/>
      </w:pPr>
      <w:r>
        <w:t>En el tab 'En Seguimiento': botón cambia a '← Quitar del seguimiento'.</w:t>
      </w:r>
    </w:p>
    <w:p>
      <w:pPr>
        <w:pStyle w:val="ListBullet"/>
      </w:pPr>
      <w:r>
        <w:t>Caso de uso principal: COMPRAR + wait_pullback (Método B). El trader pone la orden límite y mueve la acción a seguimiento.</w:t>
      </w:r>
    </w:p>
    <w:p>
      <w:pPr>
        <w:pStyle w:val="Heading2"/>
      </w:pPr>
      <w:r>
        <w:t>Screener — Pipeline diario GitHub Actions (run_screener.py)</w:t>
      </w:r>
    </w:p>
    <w:p>
      <w:pPr>
        <w:pStyle w:val="ListBullet"/>
      </w:pPr>
      <w:r>
        <w:t>Cron: 13:30 UTC = 9:30 AM NYC (ET), lunes a viernes.</w:t>
      </w:r>
    </w:p>
    <w:p>
      <w:pPr>
        <w:pStyle w:val="ListBullet"/>
      </w:pPr>
      <w:r>
        <w:t>URL Finviz con parámetro ind_stocksonly: solo acciones individuales, sin ETFs desde el origen.</w:t>
      </w:r>
    </w:p>
    <w:p>
      <w:pPr>
        <w:pStyle w:val="ListBullet"/>
      </w:pPr>
      <w:r>
        <w:t>Filtros técnicos Finviz: ta_ema20_cross50a (proxy de SMA21&gt;SMA50 — no existe filtro nativo SMA21 en Finviz), RSI 30-60, precio &gt;$20, volumen &gt;500k, NYSE y NASDAQ. El análisis interno usa SMA21 y SMA50, documentado en criteria metadata.</w:t>
      </w:r>
    </w:p>
    <w:p>
      <w:pPr>
        <w:pStyle w:val="ListBullet"/>
      </w:pPr>
      <w:r>
        <w:t>Lista ETFS como segunda capa de seguridad (~70 ETFs conocidos).</w:t>
      </w:r>
    </w:p>
    <w:p>
      <w:pPr>
        <w:pStyle w:val="ListBullet"/>
      </w:pPr>
      <w:r>
        <w:t>Guarda data/screener.json en el repositorio con commit automático.</w:t>
      </w:r>
    </w:p>
    <w:p>
      <w:pPr>
        <w:pStyle w:val="ListBullet"/>
      </w:pPr>
      <w:r>
        <w:t>Nota: GitHub Actions puede tener hasta 1-1.5 horas de delay en el cron.</w:t>
      </w:r>
    </w:p>
    <w:p>
      <w:pPr>
        <w:pStyle w:val="Heading2"/>
      </w:pPr>
      <w:r>
        <w:t>Backend Railway</w:t>
      </w:r>
    </w:p>
    <w:p>
      <w:pPr>
        <w:pStyle w:val="ListBullet"/>
      </w:pPr>
      <w:r>
        <w:t>Lee screener.json desde GitHub raw URL. Caché de 5 minutos (TTL=300s).</w:t>
      </w:r>
    </w:p>
    <w:p>
      <w:pPr>
        <w:pStyle w:val="ListBullet"/>
      </w:pPr>
      <w:r>
        <w:t>Filtra ETFs de candidates Y tickers (ambos formatos soportados).</w:t>
      </w:r>
    </w:p>
    <w:p>
      <w:pPr>
        <w:pStyle w:val="ListBullet"/>
      </w:pPr>
      <w:r>
        <w:t>Fallback a lista curada si GitHub no está disponible.</w:t>
      </w:r>
    </w:p>
    <w:p>
      <w:pPr>
        <w:pStyle w:val="ListBullet"/>
      </w:pPr>
      <w:r>
        <w:t>Endpoint POST /screener/refresh: dispara workflow_dispatch via GitHub API usando GITHUB_TOKEN_WORKFLOW.</w:t>
      </w:r>
    </w:p>
    <w:p>
      <w:pPr>
        <w:pStyle w:val="ListBullet"/>
      </w:pPr>
      <w:r>
        <w:t>Al hacer refresh, invalida el caché (SCREENER_TS=0) para forzar recarga inmediata.</w:t>
      </w:r>
    </w:p>
    <w:p>
      <w:pPr>
        <w:pStyle w:val="ListBullet"/>
      </w:pPr>
      <w:r>
        <w:t>Endpoint GET /analyze/{ticker}: envuelto en try/except que expone el traceback real en el detalle del error 500.</w:t>
      </w:r>
    </w:p>
    <w:p>
      <w:pPr>
        <w:pStyle w:val="Heading2"/>
      </w:pPr>
      <w:r>
        <w:t>Datos de dividendos (Alpha Vantage OVERVIEW)</w:t>
      </w:r>
    </w:p>
    <w:p>
      <w:pPr/>
      <w:r>
        <w:t>Los datos de dividendos se obtienen del endpoint OVERVIEW de Alpha Vantage, sin llamadas adicionales — ya se usa para sector, P/E, EPS, etc.</w:t>
      </w:r>
    </w:p>
    <w:p>
      <w:pPr/>
      <w:r>
        <w:t>El banner de ex-dividend en StockCard solo aparece cuando la fecha cae dentro del plazo máximo del trade (max_days, calculado dinámicamente por ATR). Si el ex-dividend es posterior al plazo del trade, no se muestra ni penaliza.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color="auto" w:fill="DAEEF3"/>
          </w:tcPr>
          <w:p>
            <w:r>
              <w:rPr>
                <w:b/>
              </w:rPr>
              <w:t>Campo AV</w:t>
            </w:r>
          </w:p>
        </w:tc>
        <w:tc>
          <w:tcPr>
            <w:tcW w:type="dxa" w:w="2304"/>
            <w:shd w:val="clear" w:color="auto" w:fill="DAEEF3"/>
          </w:tcPr>
          <w:p>
            <w:r>
              <w:rPr>
                <w:b/>
              </w:rPr>
              <w:t>Campo interno</w:t>
            </w:r>
          </w:p>
        </w:tc>
        <w:tc>
          <w:tcPr>
            <w:tcW w:type="dxa" w:w="4752"/>
            <w:shd w:val="clear" w:color="auto" w:fill="DAEEF3"/>
          </w:tcPr>
          <w:p>
            <w:r>
              <w:rPr>
                <w:b/>
              </w:rPr>
              <w:t>Uso</w:t>
            </w:r>
          </w:p>
        </w:tc>
      </w:tr>
      <w:tr>
        <w:tc>
          <w:tcPr>
            <w:tcW w:type="dxa" w:w="2304"/>
          </w:tcPr>
          <w:p>
            <w:r>
              <w:t>ExDividendDate</w:t>
            </w:r>
          </w:p>
        </w:tc>
        <w:tc>
          <w:tcPr>
            <w:tcW w:type="dxa" w:w="2304"/>
          </w:tcPr>
          <w:p>
            <w:r>
              <w:t>exDividendDate</w:t>
            </w:r>
          </w:p>
        </w:tc>
        <w:tc>
          <w:tcPr>
            <w:tcW w:type="dxa" w:w="4752"/>
          </w:tcPr>
          <w:p>
            <w:r>
              <w:t>Fecha ex-dividend. Se valida y limpia (None, 0000-00-00, etc.)</w:t>
            </w:r>
          </w:p>
        </w:tc>
      </w:tr>
      <w:tr>
        <w:tc>
          <w:tcPr>
            <w:tcW w:type="dxa" w:w="2304"/>
          </w:tcPr>
          <w:p>
            <w:r>
              <w:t>DividendPerShare</w:t>
            </w:r>
          </w:p>
        </w:tc>
        <w:tc>
          <w:tcPr>
            <w:tcW w:type="dxa" w:w="2304"/>
          </w:tcPr>
          <w:p>
            <w:r>
              <w:t>dividendPerShare</w:t>
            </w:r>
          </w:p>
        </w:tc>
        <w:tc>
          <w:tcPr>
            <w:tcW w:type="dxa" w:w="4752"/>
          </w:tcPr>
          <w:p>
            <w:r>
              <w:t>Monto en USD por acción</w:t>
            </w:r>
          </w:p>
        </w:tc>
      </w:tr>
      <w:tr>
        <w:tc>
          <w:tcPr>
            <w:tcW w:type="dxa" w:w="2304"/>
          </w:tcPr>
          <w:p>
            <w:r>
              <w:t>DividendYield</w:t>
            </w:r>
          </w:p>
        </w:tc>
        <w:tc>
          <w:tcPr>
            <w:tcW w:type="dxa" w:w="2304"/>
          </w:tcPr>
          <w:p>
            <w:r>
              <w:t>dividendYield</w:t>
            </w:r>
          </w:p>
        </w:tc>
        <w:tc>
          <w:tcPr>
            <w:tcW w:type="dxa" w:w="4752"/>
          </w:tcPr>
          <w:p>
            <w:r>
              <w:t>Yield anual en % (multiplicado por 100)</w:t>
            </w:r>
          </w:p>
        </w:tc>
      </w:tr>
    </w:tbl>
    <w:p>
      <w:pPr>
        <w:pStyle w:val="Heading2"/>
      </w:pPr>
      <w:r>
        <w:t>Indicadores de historial en StockCard</w:t>
      </w:r>
    </w:p>
    <w:p>
      <w:pPr/>
      <w:r>
        <w:t>App.jsx carga los trades del journal al iniciar y cada 5 segundos, y pasa la info relevante a cada StockCard como props.</w:t>
      </w:r>
    </w:p>
    <w:p>
      <w:pPr/>
      <w:r>
        <w:t>Los badges son mutuamente excluyentes: si hay trade activo, no se muestra el del último cerrado. El botón 'Guardar en journal' queda deshabilitado cuando activeTrade no es null.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color="auto" w:fill="DAEEF3"/>
          </w:tcPr>
          <w:p>
            <w:r>
              <w:rPr>
                <w:b/>
              </w:rPr>
              <w:t>Prop</w:t>
            </w:r>
          </w:p>
        </w:tc>
        <w:tc>
          <w:tcPr>
            <w:tcW w:type="dxa" w:w="2880"/>
            <w:shd w:val="clear" w:color="auto" w:fill="DAEEF3"/>
          </w:tcPr>
          <w:p>
            <w:r>
              <w:rPr>
                <w:b/>
              </w:rPr>
              <w:t>Fuente</w:t>
            </w:r>
          </w:p>
        </w:tc>
        <w:tc>
          <w:tcPr>
            <w:tcW w:type="dxa" w:w="4320"/>
            <w:shd w:val="clear" w:color="auto" w:fill="DAEEF3"/>
          </w:tcPr>
          <w:p>
            <w:r>
              <w:rPr>
                <w:b/>
              </w:rPr>
              <w:t>Qué muestra</w:t>
            </w:r>
          </w:p>
        </w:tc>
      </w:tr>
      <w:tr>
        <w:tc>
          <w:tcPr>
            <w:tcW w:type="dxa" w:w="2160"/>
          </w:tcPr>
          <w:p>
            <w:r>
              <w:t>activeTrade</w:t>
            </w:r>
          </w:p>
        </w:tc>
        <w:tc>
          <w:tcPr>
            <w:tcW w:type="dxa" w:w="2880"/>
          </w:tcPr>
          <w:p>
            <w:r>
              <w:t>journal (status=open)</w:t>
            </w:r>
          </w:p>
        </w:tc>
        <w:tc>
          <w:tcPr>
            <w:tcW w:type="dxa" w:w="4320"/>
          </w:tcPr>
          <w:p>
            <w:r>
              <w:t>Badge verde con entrada real y P&amp;L en vivo vs precio actual</w:t>
            </w:r>
          </w:p>
        </w:tc>
      </w:tr>
      <w:tr>
        <w:tc>
          <w:tcPr>
            <w:tcW w:type="dxa" w:w="2160"/>
          </w:tcPr>
          <w:p>
            <w:r>
              <w:t>lastClosedTrade</w:t>
            </w:r>
          </w:p>
        </w:tc>
        <w:tc>
          <w:tcPr>
            <w:tcW w:type="dxa" w:w="2880"/>
          </w:tcPr>
          <w:p>
            <w:r>
              <w:t>journal (status=closed, más reciente)</w:t>
            </w:r>
          </w:p>
        </w:tc>
        <w:tc>
          <w:tcPr>
            <w:tcW w:type="dxa" w:w="4320"/>
          </w:tcPr>
          <w:p>
            <w:r>
              <w:t>Badge gris con fecha del último trade cerrado y días transcurridos</w:t>
            </w:r>
          </w:p>
        </w:tc>
      </w:tr>
    </w:tbl>
    <w:p>
      <w:pPr>
        <w:pStyle w:val="Heading2"/>
      </w:pPr>
      <w:r>
        <w:t>Journal — Estructura de datos (Tabla Supabase: journal)</w:t>
      </w:r>
    </w:p>
    <w:p>
      <w:pPr/>
      <w:r>
        <w:t>Nota: campos numéricos vacíos se convierten a null antes de enviar a Supabase para evitar error de tipo. El update excluye id y user_id del payload (van en el WHERE/RLS).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color="auto" w:fill="DAEEF3"/>
          </w:tcPr>
          <w:p>
            <w:r>
              <w:rPr>
                <w:b/>
              </w:rPr>
              <w:t>Columna</w:t>
            </w:r>
          </w:p>
        </w:tc>
        <w:tc>
          <w:tcPr>
            <w:tcW w:type="dxa" w:w="1152"/>
            <w:shd w:val="clear" w:color="auto" w:fill="DAEEF3"/>
          </w:tcPr>
          <w:p>
            <w:r>
              <w:rPr>
                <w:b/>
              </w:rPr>
              <w:t>Tipo</w:t>
            </w:r>
          </w:p>
        </w:tc>
        <w:tc>
          <w:tcPr>
            <w:tcW w:type="dxa" w:w="6048"/>
            <w:shd w:val="clear" w:color="auto" w:fill="DAEEF3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1152"/>
          </w:tcPr>
          <w:p>
            <w:r>
              <w:t>text</w:t>
            </w:r>
          </w:p>
        </w:tc>
        <w:tc>
          <w:tcPr>
            <w:tcW w:type="dxa" w:w="6048"/>
          </w:tcPr>
          <w:p>
            <w:r>
              <w:t>ID generado con Date.now().toString()</w:t>
            </w:r>
          </w:p>
        </w:tc>
      </w:tr>
      <w:tr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1152"/>
          </w:tcPr>
          <w:p>
            <w:r>
              <w:t>uuid</w:t>
            </w:r>
          </w:p>
        </w:tc>
        <w:tc>
          <w:tcPr>
            <w:tcW w:type="dxa" w:w="6048"/>
          </w:tcPr>
          <w:p>
            <w:r>
              <w:t>FK a auth.users</w:t>
            </w:r>
          </w:p>
        </w:tc>
      </w:tr>
      <w:tr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1152"/>
          </w:tcPr>
          <w:p>
            <w:r>
              <w:t>text</w:t>
            </w:r>
          </w:p>
        </w:tc>
        <w:tc>
          <w:tcPr>
            <w:tcW w:type="dxa" w:w="6048"/>
          </w:tcPr>
          <w:p>
            <w:r>
              <w:t>Fecha de guardado (YYYY-MM-DD)</w:t>
            </w:r>
          </w:p>
        </w:tc>
      </w:tr>
      <w:tr>
        <w:tc>
          <w:tcPr>
            <w:tcW w:type="dxa" w:w="2160"/>
          </w:tcPr>
          <w:p>
            <w:r>
              <w:t>ticker</w:t>
            </w:r>
          </w:p>
        </w:tc>
        <w:tc>
          <w:tcPr>
            <w:tcW w:type="dxa" w:w="1152"/>
          </w:tcPr>
          <w:p>
            <w:r>
              <w:t>text</w:t>
            </w:r>
          </w:p>
        </w:tc>
        <w:tc>
          <w:tcPr>
            <w:tcW w:type="dxa" w:w="6048"/>
          </w:tcPr>
          <w:p>
            <w:r>
              <w:t>Símbolo bursátil</w:t>
            </w:r>
          </w:p>
        </w:tc>
      </w:tr>
      <w:tr>
        <w:tc>
          <w:tcPr>
            <w:tcW w:type="dxa" w:w="2160"/>
          </w:tcPr>
          <w:p>
            <w:r>
              <w:t>price</w:t>
            </w:r>
          </w:p>
        </w:tc>
        <w:tc>
          <w:tcPr>
            <w:tcW w:type="dxa" w:w="1152"/>
          </w:tcPr>
          <w:p>
            <w:r>
              <w:t>numeric</w:t>
            </w:r>
          </w:p>
        </w:tc>
        <w:tc>
          <w:tcPr>
            <w:tcW w:type="dxa" w:w="6048"/>
          </w:tcPr>
          <w:p>
            <w:r>
              <w:t>Precio sugerido por la app</w:t>
            </w:r>
          </w:p>
        </w:tc>
      </w:tr>
      <w:tr>
        <w:tc>
          <w:tcPr>
            <w:tcW w:type="dxa" w:w="2160"/>
          </w:tcPr>
          <w:p>
            <w:r>
              <w:t>stop_loss</w:t>
            </w:r>
          </w:p>
        </w:tc>
        <w:tc>
          <w:tcPr>
            <w:tcW w:type="dxa" w:w="1152"/>
          </w:tcPr>
          <w:p>
            <w:r>
              <w:t>numeric</w:t>
            </w:r>
          </w:p>
        </w:tc>
        <w:tc>
          <w:tcPr>
            <w:tcW w:type="dxa" w:w="6048"/>
          </w:tcPr>
          <w:p>
            <w:r>
              <w:t>Stop-loss calculado por la app</w:t>
            </w:r>
          </w:p>
        </w:tc>
      </w:tr>
      <w:tr>
        <w:tc>
          <w:tcPr>
            <w:tcW w:type="dxa" w:w="2160"/>
          </w:tcPr>
          <w:p>
            <w:r>
              <w:t>target</w:t>
            </w:r>
          </w:p>
        </w:tc>
        <w:tc>
          <w:tcPr>
            <w:tcW w:type="dxa" w:w="1152"/>
          </w:tcPr>
          <w:p>
            <w:r>
              <w:t>numeric</w:t>
            </w:r>
          </w:p>
        </w:tc>
        <w:tc>
          <w:tcPr>
            <w:tcW w:type="dxa" w:w="6048"/>
          </w:tcPr>
          <w:p>
            <w:r>
              <w:t>Objetivo calculado por la app</w:t>
            </w:r>
          </w:p>
        </w:tc>
      </w:tr>
      <w:tr>
        <w:tc>
          <w:tcPr>
            <w:tcW w:type="dxa" w:w="2160"/>
          </w:tcPr>
          <w:p>
            <w:r>
              <w:t>entry_price</w:t>
            </w:r>
          </w:p>
        </w:tc>
        <w:tc>
          <w:tcPr>
            <w:tcW w:type="dxa" w:w="1152"/>
          </w:tcPr>
          <w:p>
            <w:r>
              <w:t>numeric</w:t>
            </w:r>
          </w:p>
        </w:tc>
        <w:tc>
          <w:tcPr>
            <w:tcW w:type="dxa" w:w="6048"/>
          </w:tcPr>
          <w:p>
            <w:r>
              <w:t>Precio de entrada real del usuario</w:t>
            </w:r>
          </w:p>
        </w:tc>
      </w:tr>
      <w:tr>
        <w:tc>
          <w:tcPr>
            <w:tcW w:type="dxa" w:w="2160"/>
          </w:tcPr>
          <w:p>
            <w:r>
              <w:t>position_size</w:t>
            </w:r>
          </w:p>
        </w:tc>
        <w:tc>
          <w:tcPr>
            <w:tcW w:type="dxa" w:w="1152"/>
          </w:tcPr>
          <w:p>
            <w:r>
              <w:t>numeric</w:t>
            </w:r>
          </w:p>
        </w:tc>
        <w:tc>
          <w:tcPr>
            <w:tcW w:type="dxa" w:w="6048"/>
          </w:tcPr>
          <w:p>
            <w:r>
              <w:t>Número de acciones compradas</w:t>
            </w:r>
          </w:p>
        </w:tc>
      </w:tr>
      <w:tr>
        <w:tc>
          <w:tcPr>
            <w:tcW w:type="dxa" w:w="2160"/>
          </w:tcPr>
          <w:p>
            <w:r>
              <w:t>exit_price</w:t>
            </w:r>
          </w:p>
        </w:tc>
        <w:tc>
          <w:tcPr>
            <w:tcW w:type="dxa" w:w="1152"/>
          </w:tcPr>
          <w:p>
            <w:r>
              <w:t>numeric</w:t>
            </w:r>
          </w:p>
        </w:tc>
        <w:tc>
          <w:tcPr>
            <w:tcW w:type="dxa" w:w="6048"/>
          </w:tcPr>
          <w:p>
            <w:r>
              <w:t>Precio de cierre real</w:t>
            </w:r>
          </w:p>
        </w:tc>
      </w:tr>
      <w:tr>
        <w:tc>
          <w:tcPr>
            <w:tcW w:type="dxa" w:w="2160"/>
          </w:tcPr>
          <w:p>
            <w:r>
              <w:t>real_stop_loss</w:t>
            </w:r>
          </w:p>
        </w:tc>
        <w:tc>
          <w:tcPr>
            <w:tcW w:type="dxa" w:w="1152"/>
          </w:tcPr>
          <w:p>
            <w:r>
              <w:t>numeric</w:t>
            </w:r>
          </w:p>
        </w:tc>
        <w:tc>
          <w:tcPr>
            <w:tcW w:type="dxa" w:w="6048"/>
          </w:tcPr>
          <w:p>
            <w:r>
              <w:t>SL real configurado en el broker</w:t>
            </w:r>
          </w:p>
        </w:tc>
      </w:tr>
      <w:tr>
        <w:tc>
          <w:tcPr>
            <w:tcW w:type="dxa" w:w="2160"/>
          </w:tcPr>
          <w:p>
            <w:r>
              <w:t>real_target</w:t>
            </w:r>
          </w:p>
        </w:tc>
        <w:tc>
          <w:tcPr>
            <w:tcW w:type="dxa" w:w="1152"/>
          </w:tcPr>
          <w:p>
            <w:r>
              <w:t>numeric</w:t>
            </w:r>
          </w:p>
        </w:tc>
        <w:tc>
          <w:tcPr>
            <w:tcW w:type="dxa" w:w="6048"/>
          </w:tcPr>
          <w:p>
            <w:r>
              <w:t>TP real configurado en el broker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1152"/>
          </w:tcPr>
          <w:p>
            <w:r>
              <w:t>text</w:t>
            </w:r>
          </w:p>
        </w:tc>
        <w:tc>
          <w:tcPr>
            <w:tcW w:type="dxa" w:w="6048"/>
          </w:tcPr>
          <w:p>
            <w:r>
              <w:t>open / breakeven / partial / closed</w:t>
            </w:r>
          </w:p>
        </w:tc>
      </w:tr>
      <w:tr>
        <w:tc>
          <w:tcPr>
            <w:tcW w:type="dxa" w:w="2160"/>
          </w:tcPr>
          <w:p>
            <w:r>
              <w:t>max_days</w:t>
            </w:r>
          </w:p>
        </w:tc>
        <w:tc>
          <w:tcPr>
            <w:tcW w:type="dxa" w:w="1152"/>
          </w:tcPr>
          <w:p>
            <w:r>
              <w:t>numeric</w:t>
            </w:r>
          </w:p>
        </w:tc>
        <w:tc>
          <w:tcPr>
            <w:tcW w:type="dxa" w:w="6048"/>
          </w:tcPr>
          <w:p>
            <w:r>
              <w:t>Plazo dinámico calculado por ATR (10-30 días)</w:t>
            </w:r>
          </w:p>
        </w:tc>
      </w:tr>
      <w:tr>
        <w:tc>
          <w:tcPr>
            <w:tcW w:type="dxa" w:w="2160"/>
          </w:tcPr>
          <w:p>
            <w:r>
              <w:t>notes</w:t>
            </w:r>
          </w:p>
        </w:tc>
        <w:tc>
          <w:tcPr>
            <w:tcW w:type="dxa" w:w="1152"/>
          </w:tcPr>
          <w:p>
            <w:r>
              <w:t>text</w:t>
            </w:r>
          </w:p>
        </w:tc>
        <w:tc>
          <w:tcPr>
            <w:tcW w:type="dxa" w:w="6048"/>
          </w:tcPr>
          <w:p>
            <w:r>
              <w:t>Notas del usuario</w:t>
            </w:r>
          </w:p>
        </w:tc>
      </w:tr>
      <w:tr>
        <w:tc>
          <w:tcPr>
            <w:tcW w:type="dxa" w:w="2160"/>
          </w:tcPr>
          <w:p>
            <w:r>
              <w:t>sma21</w:t>
            </w:r>
          </w:p>
        </w:tc>
        <w:tc>
          <w:tcPr>
            <w:tcW w:type="dxa" w:w="1152"/>
          </w:tcPr>
          <w:p>
            <w:r>
              <w:t>numeric</w:t>
            </w:r>
          </w:p>
        </w:tc>
        <w:tc>
          <w:tcPr>
            <w:tcW w:type="dxa" w:w="6048"/>
          </w:tcPr>
          <w:p>
            <w:r>
              <w:t>SMA21 al momento de guardar el trade (antes: ema20)</w:t>
            </w:r>
          </w:p>
        </w:tc>
      </w:tr>
      <w:tr>
        <w:tc>
          <w:tcPr>
            <w:tcW w:type="dxa" w:w="2160"/>
          </w:tcPr>
          <w:p>
            <w:r>
              <w:t>sma50</w:t>
            </w:r>
          </w:p>
        </w:tc>
        <w:tc>
          <w:tcPr>
            <w:tcW w:type="dxa" w:w="1152"/>
          </w:tcPr>
          <w:p>
            <w:r>
              <w:t>numeric</w:t>
            </w:r>
          </w:p>
        </w:tc>
        <w:tc>
          <w:tcPr>
            <w:tcW w:type="dxa" w:w="6048"/>
          </w:tcPr>
          <w:p>
            <w:r>
              <w:t>SMA50 al momento de guardar el trade (antes: ema50)</w:t>
            </w:r>
          </w:p>
        </w:tc>
      </w:tr>
      <w:tr>
        <w:tc>
          <w:tcPr>
            <w:tcW w:type="dxa" w:w="2160"/>
          </w:tcPr>
          <w:p>
            <w:r>
              <w:t>fundamentals</w:t>
            </w:r>
          </w:p>
        </w:tc>
        <w:tc>
          <w:tcPr>
            <w:tcW w:type="dxa" w:w="1152"/>
          </w:tcPr>
          <w:p>
            <w:r>
              <w:t>jsonb</w:t>
            </w:r>
          </w:p>
        </w:tc>
        <w:tc>
          <w:tcPr>
            <w:tcW w:type="dxa" w:w="6048"/>
          </w:tcPr>
          <w:p>
            <w:r>
              <w:t>Datos fundamentales al momento de entrada (incluye exDividendDate, dividendPerShare, dividendYield)</w:t>
            </w:r>
          </w:p>
        </w:tc>
      </w:tr>
      <w:tr>
        <w:tc>
          <w:tcPr>
            <w:tcW w:type="dxa" w:w="2160"/>
          </w:tcPr>
          <w:p>
            <w:r>
              <w:t>analysis</w:t>
            </w:r>
          </w:p>
        </w:tc>
        <w:tc>
          <w:tcPr>
            <w:tcW w:type="dxa" w:w="1152"/>
          </w:tcPr>
          <w:p>
            <w:r>
              <w:t>text</w:t>
            </w:r>
          </w:p>
        </w:tc>
        <w:tc>
          <w:tcPr>
            <w:tcW w:type="dxa" w:w="6048"/>
          </w:tcPr>
          <w:p>
            <w:r>
              <w:t>Análisis narrativo de Claude</w:t>
            </w:r>
          </w:p>
        </w:tc>
      </w:tr>
    </w:tbl>
    <w:p>
      <w:pPr>
        <w:pStyle w:val="Heading2"/>
      </w:pPr>
      <w:r>
        <w:t>Precio en tiempo real</w:t>
      </w:r>
    </w:p>
    <w:p>
      <w:pPr>
        <w:pStyle w:val="ListBullet"/>
      </w:pPr>
      <w:r>
        <w:t>Alpha Vantage GLOBAL_QUOTE con suscripción premium activa.</w:t>
      </w:r>
    </w:p>
    <w:p>
      <w:pPr>
        <w:pStyle w:val="ListBullet"/>
      </w:pPr>
      <w:r>
        <w:t>La cuenta debe estar registrada con email personal (no corporativo) per política de NASDAQ.</w:t>
      </w:r>
    </w:p>
    <w:p>
      <w:pPr>
        <w:pStyle w:val="ListBullet"/>
      </w:pPr>
      <w:r>
        <w:t>Devuelve precio con 15 minutos de delay durante horario de mercado.</w:t>
      </w:r>
    </w:p>
    <w:p>
      <w:pPr>
        <w:pStyle w:val="ListBullet"/>
      </w:pPr>
      <w:r>
        <w:t>Badge verde 'Precio con 15 min de delay' durante horario de mercado.</w:t>
      </w:r>
    </w:p>
    <w:p>
      <w:pPr>
        <w:pStyle w:val="ListBullet"/>
      </w:pPr>
      <w:r>
        <w:t>Badge amarillo 'Precio de cierre anterior' fuera de horario.</w:t>
      </w:r>
    </w:p>
    <w:p>
      <w:pPr>
        <w:pStyle w:val="ListBullet"/>
      </w:pPr>
      <w:r>
        <w:t>Si GLOBAL_QUOTE falla (rate limit, suspensión), la tarjeta usa el precio de cierre del histórico como fallback.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color="auto" w:fill="DAEEF3"/>
          </w:tcPr>
          <w:p>
            <w:r>
              <w:rPr>
                <w:b/>
              </w:rPr>
              <w:t>Cambio</w:t>
            </w:r>
          </w:p>
        </w:tc>
        <w:tc>
          <w:tcPr>
            <w:tcW w:type="dxa" w:w="6480"/>
            <w:shd w:val="clear" w:color="auto" w:fill="DAEEF3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EMA20/EMA50 → SMA21/SMA50</w:t>
            </w:r>
          </w:p>
        </w:tc>
        <w:tc>
          <w:tcPr>
            <w:tcW w:type="dxa" w:w="6480"/>
          </w:tcPr>
          <w:p>
            <w:r>
              <w:t>Migración completa a estándar IBD/CAN SLIM. SMA21 (21 días) y SMA50 (50 días) en todo el análisis interno. Columnas Supabase renombradas: ema20→sma21, ema50→sma50. Finviz sigue usando ta_ema20_cross50a (no hay equivalente SMA21 en Finviz).</w:t>
            </w:r>
          </w:p>
        </w:tc>
      </w:tr>
      <w:tr>
        <w:tc>
          <w:tcPr>
            <w:tcW w:type="dxa" w:w="2880"/>
          </w:tcPr>
          <w:p>
            <w:r>
              <w:t>Sistema de scoring reformulado</w:t>
            </w:r>
          </w:p>
        </w:tc>
        <w:tc>
          <w:tcPr>
            <w:tcW w:type="dxa" w:w="6480"/>
          </w:tcPr>
          <w:p>
            <w:r>
              <w:t>7 factores con nuevos pesos. Elimina earnings y ex-dividend del score técnico (ahora van en estrellas de contexto). Nuevos factores: momentum 4w, distancia al max20d.</w:t>
            </w:r>
          </w:p>
        </w:tc>
      </w:tr>
      <w:tr>
        <w:tc>
          <w:tcPr>
            <w:tcW w:type="dxa" w:w="2880"/>
          </w:tcPr>
          <w:p>
            <w:r>
              <w:t>Arquitectura 3 capas</w:t>
            </w:r>
          </w:p>
        </w:tc>
        <w:tc>
          <w:tcPr>
            <w:tcW w:type="dxa" w:w="6480"/>
          </w:tcPr>
          <w:p>
            <w:r>
              <w:t>calc_score() + calc_context_stars() + determine_final_signal(). Separación clara entre score técnico, contexto de entrada y señal final.</w:t>
            </w:r>
          </w:p>
        </w:tc>
      </w:tr>
      <w:tr>
        <w:tc>
          <w:tcPr>
            <w:tcW w:type="dxa" w:w="2880"/>
          </w:tcPr>
          <w:p>
            <w:r>
              <w:t>Niveles técnicos anclados</w:t>
            </w:r>
          </w:p>
        </w:tc>
        <w:tc>
          <w:tcPr>
            <w:tcW w:type="dxa" w:w="6480"/>
          </w:tcPr>
          <w:p>
            <w:r>
              <w:t>entryLow/entryHigh anclados a SMA21. stopLoss anclado a mínimo 20 días. target con R:B mínimo 2.5x. max_days usa distancia real al target.</w:t>
            </w:r>
          </w:p>
        </w:tc>
      </w:tr>
      <w:tr>
        <w:tc>
          <w:tcPr>
            <w:tcW w:type="dxa" w:w="2880"/>
          </w:tcPr>
          <w:p>
            <w:r>
              <w:t>Badge entryZone — Método A/B</w:t>
            </w:r>
          </w:p>
        </w:tc>
        <w:tc>
          <w:tcPr>
            <w:tcW w:type="dxa" w:w="6480"/>
          </w:tcPr>
          <w:p>
            <w:r>
              <w:t>Nuevo badge en tarjetas COMPRAR: in_zone (verde), wait_pullback (ámbar), below_zone (rojo). Guía al trader sobre cómo y cuándo entrar.</w:t>
            </w:r>
          </w:p>
        </w:tc>
      </w:tr>
      <w:tr>
        <w:tc>
          <w:tcPr>
            <w:tcW w:type="dxa" w:w="2880"/>
          </w:tcPr>
          <w:p>
            <w:r>
              <w:t>Botón 'En Seguimiento' universal</w:t>
            </w:r>
          </w:p>
        </w:tc>
        <w:tc>
          <w:tcPr>
            <w:tcW w:type="dxa" w:w="6480"/>
          </w:tcPr>
          <w:p>
            <w:r>
              <w:t>Aparece en todas las tarjetas con datos válidos, no solo en MONITOREAR. Permite hacer seguimiento de setups con wait_pullback (Método B).</w:t>
            </w:r>
          </w:p>
        </w:tc>
      </w:tr>
      <w:tr>
        <w:tc>
          <w:tcPr>
            <w:tcW w:type="dxa" w:w="2880"/>
          </w:tcPr>
          <w:p>
            <w:r>
              <w:t>max_days con distancia real</w:t>
            </w:r>
          </w:p>
        </w:tc>
        <w:tc>
          <w:tcPr>
            <w:tcW w:type="dxa" w:w="6480"/>
          </w:tcPr>
          <w:p>
            <w:r>
              <w:t>dist_to_target_pct = (target - price) / price × 100. Antes era 12.5% fijo. Ahora usa la distancia real calculada por calc_levels.</w:t>
            </w:r>
          </w:p>
        </w:tc>
      </w:tr>
      <w:tr>
        <w:tc>
          <w:tcPr>
            <w:tcW w:type="dxa" w:w="2880"/>
          </w:tcPr>
          <w:p>
            <w:r>
              <w:t>Estrellas de contexto separadas del score</w:t>
            </w:r>
          </w:p>
        </w:tc>
        <w:tc>
          <w:tcPr>
            <w:tcW w:type="dxa" w:w="6480"/>
          </w:tcPr>
          <w:p>
            <w:r>
              <w:t>Earnings y ex-dividend ya no penalizan el score técnico. Ahora afectan las estrellas de contexto (calc_context_stars). Nuevo criterio: precio &gt;10% sobre target analistas, Mansfield RS &lt;-2 con SMA21&gt;SMA50.</w:t>
            </w:r>
          </w:p>
        </w:tc>
      </w:tr>
    </w:tbl>
    <w:p>
      <w:pPr>
        <w:pStyle w:val="Heading2"/>
      </w:pPr>
      <w:r>
        <w:t>Mini chart (Sparkline) en tarjetas</w:t>
      </w:r>
    </w:p>
    <w:p>
      <w:pPr>
        <w:pStyle w:val="ListBullet"/>
      </w:pPr>
      <w:r>
        <w:t>Gráfico de precio de los últimos 30 días (prices20d) embebido en cada tarjeta.</w:t>
      </w:r>
    </w:p>
    <w:p>
      <w:pPr>
        <w:pStyle w:val="ListBullet"/>
      </w:pPr>
      <w:r>
        <w:t>Línea de SMA21 diaria superpuesta (sma21Series — array de 30 valores calculados en backend).</w:t>
      </w:r>
    </w:p>
    <w:p>
      <w:pPr>
        <w:pStyle w:val="ListBullet"/>
      </w:pPr>
      <w:r>
        <w:t>Banda de zona de entrada (ReferenceArea verde) entre entryLow y entryHigh.</w:t>
      </w:r>
    </w:p>
    <w:p>
      <w:pPr>
        <w:pStyle w:val="ListBullet"/>
      </w:pPr>
      <w:r>
        <w:t>Líneas de referencia para Stop-Loss (rojo) y Target (verde).</w:t>
      </w:r>
    </w:p>
    <w:p>
      <w:pPr>
        <w:pStyle w:val="ListBullet"/>
      </w:pPr>
      <w:r>
        <w:t>Botón ⤢ expande el gráfico en modal con mayor resolución.</w:t>
      </w:r>
    </w:p>
    <w:p>
      <w:pPr>
        <w:pStyle w:val="ListBullet"/>
      </w:pPr>
      <w:r>
        <w:t>Modal: CartesianGrid, eje Y derecho (tickCount=7), crosshair interactivo (línea vertical + horizontal) al hacer hover — estilo investing.com.</w:t>
      </w:r>
    </w:p>
    <w:p>
      <w:pPr>
        <w:pStyle w:val="ListBullet"/>
      </w:pPr>
      <w:r>
        <w:t>Colores: precio = cyan (#00d4ff), SMA21 = naranja (#fb923c).</w:t>
      </w:r>
    </w:p>
    <w:p>
      <w:pPr>
        <w:pStyle w:val="ListBullet"/>
      </w:pPr>
      <w:r>
        <w:t>Labels dentro del modal: Entrada $X–$Y, SL $X, TP $X.</w:t>
      </w:r>
    </w:p>
    <w:p>
      <w:pPr>
        <w:pStyle w:val="Heading2"/>
      </w:pPr>
      <w:r>
        <w:t>Vista tabla comparativa de watchlist</w:t>
      </w:r>
    </w:p>
    <w:p>
      <w:pPr>
        <w:pStyle w:val="ListBullet"/>
      </w:pPr>
      <w:r>
        <w:t>Toggle ☰/⊞ independiente por tab (Watchlist y En Seguimiento tienen estado separado).</w:t>
      </w:r>
    </w:p>
    <w:p>
      <w:pPr>
        <w:pStyle w:val="ListBullet"/>
      </w:pPr>
      <w:r>
        <w:t>Columnas: Ticker (con fecha de actualización), Precio, Score, Señal, RSI, Zona entrada, Dist. rango, R:B, Acciones.</w:t>
      </w:r>
    </w:p>
    <w:p>
      <w:pPr>
        <w:pStyle w:val="ListBullet"/>
      </w:pPr>
      <w:r>
        <w:t>Dist. rango: calcula % entre precio actual y punto medio del rango de entrada. Muestra "En rango" (verde), "+X% arriba" (ámbar), "−X% abajo" (cyan).</w:t>
      </w:r>
    </w:p>
    <w:p>
      <w:pPr>
        <w:pStyle w:val="ListBullet"/>
      </w:pPr>
      <w:r>
        <w:t>Ordenamiento por click en cabecera de columna: Ticker, Score, Señal, RSI, Dist. rango, R:B. Toggle asc/desc con iconos ↑/↓.</w:t>
      </w:r>
    </w:p>
    <w:p>
      <w:pPr>
        <w:pStyle w:val="ListBullet"/>
      </w:pPr>
      <w:r>
        <w:t>Filtros: búsqueda por texto de ticker + botones por señal (Todas/COMPRAR/MONITOREAR/ESPERAR/EVITAR/VENDER). Contador filas visibles/total.</w:t>
      </w:r>
    </w:p>
    <w:p>
      <w:pPr>
        <w:pStyle w:val="ListBullet"/>
      </w:pPr>
      <w:r>
        <w:t>Columna Acciones: ↻ actualiza el ticker directo via API sin abrir modal (gira mientras carga). × elimina de watchlist.</w:t>
      </w:r>
    </w:p>
    <w:p>
      <w:pPr>
        <w:pStyle w:val="ListBullet"/>
      </w:pPr>
      <w:r>
        <w:t>Click en fila abre StockCard en modal overlay. La × de eliminar está oculta en este modal (hideRemove=true) para evitar eliminación accidental.</w:t>
      </w:r>
    </w:p>
    <w:p>
      <w:pPr>
        <w:pStyle w:val="ListBullet"/>
      </w:pPr>
      <w:r>
        <w:t>Lee de analysisCache — sin nuevas llamadas API.</w:t>
      </w:r>
    </w:p>
    <w:p>
      <w:pPr>
        <w:pStyle w:val="Heading2"/>
      </w:pPr>
      <w:r>
        <w:t>Persistencia del análisis (analysisCache en Supabase)</w:t>
      </w:r>
    </w:p>
    <w:p>
      <w:pPr>
        <w:pStyle w:val="ListBullet"/>
      </w:pPr>
      <w:r>
        <w:t>Campo analysis_cache jsonb agregado a la tabla watchlist.</w:t>
      </w:r>
    </w:p>
    <w:p>
      <w:pPr>
        <w:pStyle w:val="ListBullet"/>
      </w:pPr>
      <w:r>
        <w:t>Cada entrada del cache incluye _savedAt (ISO timestamp) para mostrar antigüedad.</w:t>
      </w:r>
    </w:p>
    <w:p>
      <w:pPr>
        <w:pStyle w:val="ListBullet"/>
      </w:pPr>
      <w:r>
        <w:t>Al cargar la app, el cache previo se restaura inmediatamente desde Supabase — las tarjetas muestran datos sin re-analizar.</w:t>
      </w:r>
    </w:p>
    <w:p>
      <w:pPr>
        <w:pStyle w:val="ListBullet"/>
      </w:pPr>
      <w:r>
        <w:t>upsertAll() — helper único que siempre escribe tickers + monitor_tickers + analysis_cache juntos para evitar sobrescrituras parciales.</w:t>
      </w:r>
    </w:p>
    <w:p>
      <w:pPr>
        <w:pStyle w:val="ListBullet"/>
      </w:pPr>
      <w:r>
        <w:t>Refs (analysisCacheRef, watchlistRef, monitorTickersRef) evitan stale closures en callbacks asíncronos.</w:t>
      </w:r>
    </w:p>
    <w:p>
      <w:pPr>
        <w:pStyle w:val="ListBullet"/>
      </w:pPr>
      <w:r>
        <w:t>Fecha visible en tabla ("hoy/ayer/hace Xd") y en tarjeta ("Actualizado hoy/ayer/hace Xd") junto al badge de precio.</w:t>
      </w:r>
    </w:p>
    <w:p>
      <w:pPr>
        <w:pStyle w:val="Heading2"/>
      </w:pPr>
      <w:r>
        <w:t>Journal — búsqueda por ticker</w:t>
      </w:r>
    </w:p>
    <w:p>
      <w:pPr>
        <w:pStyle w:val="ListBullet"/>
      </w:pPr>
      <w:r>
        <w:t>Input de búsqueda instantánea a la derecha de los filtros de estado.</w:t>
      </w:r>
    </w:p>
    <w:p>
      <w:pPr>
        <w:pStyle w:val="ListBullet"/>
      </w:pPr>
      <w:r>
        <w:t>Combina con el filtro de estado activo (ej: buscar "AAPL" dentro de "Cerradas").</w:t>
      </w:r>
    </w:p>
    <w:p>
      <w:pPr>
        <w:pStyle w:val="ListBullet"/>
      </w:pPr>
      <w:r>
        <w:t>Muestra contador de resultados y botón × para limpiar.</w:t>
      </w:r>
    </w:p>
    <w:p>
      <w:pPr>
        <w:pStyle w:val="Heading2"/>
      </w:pPr>
      <w:r>
        <w:t>exit_date — cierre de trades en Journal</w:t>
      </w:r>
    </w:p>
    <w:p>
      <w:pPr>
        <w:pStyle w:val="ListBullet"/>
      </w:pPr>
      <w:r>
        <w:t>Campo exit_date en tabla journal para tracking correcto del mes de cierre en Dashboard.</w:t>
      </w:r>
    </w:p>
    <w:p>
      <w:pPr>
        <w:pStyle w:val="ListBullet"/>
      </w:pPr>
      <w:r>
        <w:t>tradeToDb asigna exit_date = hoy solo cuando se cierra por primera vez (_originalStatus !== "closed" y exitDate es null).</w:t>
      </w:r>
    </w:p>
    <w:p>
      <w:pPr>
        <w:pStyle w:val="ListBullet"/>
      </w:pPr>
      <w:r>
        <w:t>Si el trade ya tenía exit_date, se preserva al editar — no se sobrescribe con la fecha de edición.</w:t>
      </w:r>
    </w:p>
    <w:p>
      <w:pPr>
        <w:pStyle w:val="ListBullet"/>
      </w:pPr>
      <w:r>
        <w:t>Trades legacy cerrados sin exit_date: se deja null (no se asigna fecha retroactiva).</w:t>
      </w:r>
    </w:p>
    <w:p>
      <w:pPr>
        <w:pStyle w:val="ListBullet"/>
      </w:pPr>
      <w:r>
        <w:t>Confirmación inline al cambiar status a/desde "closed": avisa que afecta exit_date y el Dashboard mensual.</w:t>
      </w:r>
    </w:p>
    <w:p>
      <w:pPr>
        <w:pStyle w:val="Heading2"/>
      </w:pPr>
      <w:r>
        <w:t>Cambios recientes — v18.0</w:t>
      </w:r>
    </w:p>
    <w:p>
      <w:pPr>
        <w:pStyle w:val="ListBullet"/>
      </w:pPr>
      <w:r>
        <w:t>Mini chart 30d con SMA21, zona entrada, SL, TP, modal expandible y crosshair interactivo.</w:t>
      </w:r>
    </w:p>
    <w:p>
      <w:pPr>
        <w:pStyle w:val="ListBullet"/>
      </w:pPr>
      <w:r>
        <w:t>Vista tabla comparativa con ordenamiento, filtros y acciones por fila.</w:t>
      </w:r>
    </w:p>
    <w:p>
      <w:pPr>
        <w:pStyle w:val="ListBullet"/>
      </w:pPr>
      <w:r>
        <w:t>Persistencia del analysisCache en Supabase (analysis_cache jsonb).</w:t>
      </w:r>
    </w:p>
    <w:p>
      <w:pPr>
        <w:pStyle w:val="ListBullet"/>
      </w:pPr>
      <w:r>
        <w:t>Búsqueda por ticker en Journal.</w:t>
      </w:r>
    </w:p>
    <w:p>
      <w:pPr>
        <w:pStyle w:val="ListBullet"/>
      </w:pPr>
      <w:r>
        <w:t>exit_date para tracking mensual correcto en Dashboard.</w:t>
      </w:r>
    </w:p>
    <w:p>
      <w:pPr>
        <w:pStyle w:val="ListBullet"/>
      </w:pPr>
      <w:r>
        <w:t>Botón eliminar oculto en modal de tabla (hideRemove) para evitar eliminación accidental.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