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 xml:space="preserve">ID de Prueba: </w:t>
      </w:r>
      <w:r>
        <w:rPr>
          <w:rFonts w:ascii="Arial" w:hAnsi="Arial"/>
          <w:sz w:val="22"/>
        </w:rPr>
        <w:t>CP-RNF-02</w:t>
      </w:r>
    </w:p>
    <w:p>
      <w:r>
        <w:rPr>
          <w:rFonts w:ascii="Arial" w:hAnsi="Arial"/>
          <w:b/>
          <w:sz w:val="22"/>
        </w:rPr>
        <w:t xml:space="preserve">Categoria de RNF: </w:t>
      </w:r>
      <w:r>
        <w:rPr>
          <w:rFonts w:ascii="Arial" w:hAnsi="Arial"/>
          <w:sz w:val="22"/>
        </w:rPr>
        <w:t>Seguridad / Inyeccion SQL (SQL Injection)</w:t>
      </w:r>
    </w:p>
    <w:p>
      <w:r>
        <w:rPr>
          <w:rFonts w:ascii="Arial" w:hAnsi="Arial"/>
          <w:b/>
          <w:sz w:val="22"/>
        </w:rPr>
        <w:t xml:space="preserve">Objetivo de la prueba: </w:t>
      </w:r>
      <w:r>
        <w:rPr>
          <w:rFonts w:ascii="Arial" w:hAnsi="Arial"/>
          <w:sz w:val="22"/>
        </w:rPr>
        <w:t>Evaluar la resistencia del endpoint de autenticacion (login) del sistema Transalca ante ataques de inyeccion SQL, verificando que los parametros de entrada no sean vulnerables a tecnicas de explotacion automatizadas.</w:t>
      </w:r>
    </w:p>
    <w:p>
      <w:r>
        <w:rPr>
          <w:rFonts w:ascii="Arial" w:hAnsi="Arial"/>
          <w:b/>
          <w:sz w:val="22"/>
        </w:rPr>
        <w:t xml:space="preserve">Entorno de prueba requerido: </w:t>
      </w:r>
      <w:r>
        <w:rPr>
          <w:rFonts w:ascii="Arial" w:hAnsi="Arial"/>
          <w:sz w:val="22"/>
        </w:rPr>
        <w:t>Servidor local (XAMPP con Apache y MySQL/MariaDB), SQLMap v1.10.6 instalado via pip en maquina de pruebas.</w:t>
      </w:r>
    </w:p>
    <w:p>
      <w:r>
        <w:rPr>
          <w:rFonts w:ascii="Arial" w:hAnsi="Arial"/>
          <w:b/>
          <w:sz w:val="22"/>
        </w:rPr>
        <w:t>Procedimiento de prueba (Pasos):</w:t>
      </w:r>
    </w:p>
    <w:p>
      <w:pPr>
        <w:pStyle w:val="ListNumber"/>
      </w:pPr>
      <w:r>
        <w:rPr>
          <w:rFonts w:ascii="Arial" w:hAnsi="Arial"/>
          <w:sz w:val="22"/>
        </w:rPr>
        <w:t>Capturar la peticion HTTP del formulario de login y guardarla en el archivo sqlmap_login.txt con el formato requerido por SQLMap (metodo POST con body JSON conteniendo los campos email y password).</w:t>
      </w:r>
    </w:p>
    <w:p>
      <w:pPr>
        <w:pStyle w:val="ListNumber"/>
      </w:pPr>
      <w:r>
        <w:rPr>
          <w:rFonts w:ascii="Arial" w:hAnsi="Arial"/>
          <w:sz w:val="22"/>
        </w:rPr>
        <w:t>Ejecutar SQLMap con el siguiente comando: sqlmap -r "sqlmap_login.txt" --batch --level=3 --risk=2 --ignore-code=401</w:t>
      </w:r>
    </w:p>
    <w:p>
      <w:pPr>
        <w:pStyle w:val="ListNumber"/>
      </w:pPr>
      <w:r>
        <w:rPr>
          <w:rFonts w:ascii="Arial" w:hAnsi="Arial"/>
          <w:sz w:val="22"/>
        </w:rPr>
        <w:t>Esperar a que SQLMap complete todas las pruebas automatizadas sobre cada parametro detectado (email, password, User-Agent, Referer).</w:t>
      </w:r>
    </w:p>
    <w:p>
      <w:pPr>
        <w:pStyle w:val="ListNumber"/>
      </w:pPr>
      <w:r>
        <w:rPr>
          <w:rFonts w:ascii="Arial" w:hAnsi="Arial"/>
          <w:sz w:val="22"/>
        </w:rPr>
        <w:t>Recopilar y analizar los resultados del escaneo, incluyendo los codigos HTTP de respuesta y el veredicto final de inyectabilidad.</w:t>
      </w:r>
    </w:p>
    <w:p>
      <w:r>
        <w:rPr>
          <w:rFonts w:ascii="Arial" w:hAnsi="Arial"/>
          <w:b/>
          <w:sz w:val="22"/>
        </w:rPr>
        <w:t>Criterios de exito/fracaso:</w:t>
      </w:r>
    </w:p>
    <w:p>
      <w:pPr>
        <w:pStyle w:val="ListBullet"/>
      </w:pPr>
      <w:r>
        <w:rPr>
          <w:rFonts w:ascii="Arial" w:hAnsi="Arial"/>
          <w:i/>
          <w:sz w:val="22"/>
        </w:rPr>
        <w:t xml:space="preserve">Exito: </w:t>
      </w:r>
      <w:r>
        <w:rPr>
          <w:rFonts w:ascii="Arial" w:hAnsi="Arial"/>
          <w:sz w:val="22"/>
        </w:rPr>
        <w:t>Ningun parametro resulta inyectable ante las pruebas automatizadas de SQLMap con level=3 y risk=2, y tasa de errores HTTP 500 del 0%.</w:t>
      </w:r>
    </w:p>
    <w:p>
      <w:pPr>
        <w:pStyle w:val="ListBullet"/>
      </w:pPr>
      <w:r>
        <w:rPr>
          <w:rFonts w:ascii="Arial" w:hAnsi="Arial"/>
          <w:i/>
          <w:sz w:val="22"/>
        </w:rPr>
        <w:t xml:space="preserve">Fracaso: </w:t>
      </w:r>
      <w:r>
        <w:rPr>
          <w:rFonts w:ascii="Arial" w:hAnsi="Arial"/>
          <w:sz w:val="22"/>
        </w:rPr>
        <w:t>Al menos un parametro es identificado como inyectable por SQLMap, o presencia de errores HTTP 500 (Internal Server Error).</w:t>
      </w:r>
    </w:p>
    <w:p>
      <w:r>
        <w:rPr>
          <w:rFonts w:ascii="Arial" w:hAnsi="Arial"/>
          <w:b/>
          <w:sz w:val="22"/>
        </w:rPr>
        <w:t xml:space="preserve">Herramienta: </w:t>
      </w:r>
      <w:r>
        <w:rPr>
          <w:rFonts w:ascii="Arial" w:hAnsi="Arial"/>
          <w:sz w:val="22"/>
        </w:rPr>
        <w:t>SQLMap v1.10.6</w:t>
      </w:r>
    </w:p>
    <w:p>
      <w:r>
        <w:rPr>
          <w:rFonts w:ascii="Arial" w:hAnsi="Arial"/>
          <w:b/>
          <w:sz w:val="22"/>
        </w:rPr>
        <w:t>Resultado de la prueba:</w:t>
      </w:r>
    </w:p>
    <w:p>
      <w:r>
        <w:rPr>
          <w:rFonts w:ascii="Arial" w:hAnsi="Arial"/>
          <w:b/>
          <w:sz w:val="22"/>
        </w:rPr>
        <w:t xml:space="preserve">Veredicto: </w:t>
      </w:r>
      <w:r>
        <w:rPr>
          <w:rFonts w:ascii="Arial" w:hAnsi="Arial"/>
          <w:sz w:val="22"/>
        </w:rPr>
        <w:t>APROBADA - No se detectaron vulnerabilidades de Inyeccion SQL.</w:t>
      </w:r>
    </w:p>
    <w:p>
      <w:r>
        <w:rPr>
          <w:rFonts w:ascii="Arial" w:hAnsi="Arial"/>
          <w:b/>
          <w:sz w:val="22"/>
        </w:rPr>
        <w:t xml:space="preserve">Parametros probados: </w:t>
      </w:r>
      <w:r>
        <w:rPr>
          <w:rFonts w:ascii="Arial" w:hAnsi="Arial"/>
          <w:sz w:val="22"/>
        </w:rPr>
        <w:t>JSON email (POST body), JSON password (POST body), User-Agent (header HTTP), Referer (header HTTP).</w:t>
      </w:r>
    </w:p>
    <w:p>
      <w:r>
        <w:rPr>
          <w:rFonts w:ascii="Arial" w:hAnsi="Arial"/>
          <w:b/>
          <w:sz w:val="22"/>
        </w:rPr>
        <w:t xml:space="preserve">Tecnicas de inyeccion probadas: </w:t>
      </w:r>
      <w:r>
        <w:rPr>
          <w:rFonts w:ascii="Arial" w:hAnsi="Arial"/>
          <w:sz w:val="22"/>
        </w:rPr>
        <w:t>Boolean-based blind, Error-based, Time-based blind, Stacked queries, UNION query, Inline queries.</w:t>
      </w:r>
    </w:p>
    <w:p>
      <w:r>
        <w:rPr>
          <w:rFonts w:ascii="Arial" w:hAnsi="Arial"/>
          <w:b/>
          <w:sz w:val="22"/>
        </w:rPr>
        <w:t xml:space="preserve">Motores de BD evaluados: </w:t>
      </w:r>
      <w:r>
        <w:rPr>
          <w:rFonts w:ascii="Arial" w:hAnsi="Arial"/>
          <w:sz w:val="22"/>
        </w:rPr>
        <w:t>MySQL, PostgreSQL, Oracle, SQL Server, SQLite, Firebird, MonetDB, Vertica, IBM DB2, ClickHouse, Informix, Microsoft Access.</w:t>
      </w:r>
    </w:p>
    <w:p>
      <w:r>
        <w:rPr>
          <w:rFonts w:ascii="Arial" w:hAnsi="Arial"/>
          <w:b/>
          <w:sz w:val="22"/>
        </w:rPr>
        <w:t>Codigos HTTP detectados durante la prueba:</w:t>
      </w:r>
    </w:p>
    <w:p>
      <w:pPr>
        <w:pStyle w:val="ListBullet"/>
      </w:pPr>
      <w:r>
        <w:rPr>
          <w:rFonts w:ascii="Arial" w:hAnsi="Arial"/>
          <w:i/>
          <w:sz w:val="22"/>
        </w:rPr>
        <w:t xml:space="preserve">429 (Too Many Requests): </w:t>
      </w:r>
      <w:r>
        <w:rPr>
          <w:rFonts w:ascii="Arial" w:hAnsi="Arial"/>
          <w:sz w:val="22"/>
        </w:rPr>
        <w:t>4,608 veces. El rate limiter del servidor bloqueo las peticiones excesivas.</w:t>
      </w:r>
    </w:p>
    <w:p>
      <w:pPr>
        <w:pStyle w:val="ListBullet"/>
      </w:pPr>
      <w:r>
        <w:rPr>
          <w:rFonts w:ascii="Arial" w:hAnsi="Arial"/>
          <w:i/>
          <w:sz w:val="22"/>
        </w:rPr>
        <w:t xml:space="preserve">400 (Bad Request): </w:t>
      </w:r>
      <w:r>
        <w:rPr>
          <w:rFonts w:ascii="Arial" w:hAnsi="Arial"/>
          <w:sz w:val="22"/>
        </w:rPr>
        <w:t>1,537 veces. El servidor rechazo las peticiones con datos malformados.</w:t>
      </w:r>
    </w:p>
    <w:p>
      <w:pPr>
        <w:pStyle w:val="ListBullet"/>
      </w:pPr>
      <w:r>
        <w:rPr>
          <w:rFonts w:ascii="Arial" w:hAnsi="Arial"/>
          <w:i/>
          <w:sz w:val="22"/>
        </w:rPr>
        <w:t xml:space="preserve">401 (Unauthorized): </w:t>
      </w:r>
      <w:r>
        <w:rPr>
          <w:rFonts w:ascii="Arial" w:hAnsi="Arial"/>
          <w:sz w:val="22"/>
        </w:rPr>
        <w:t>5 veces. Autenticacion rechazada por credenciales invalidas.</w:t>
      </w:r>
    </w:p>
    <w:p>
      <w:pPr>
        <w:pStyle w:val="ListBullet"/>
      </w:pPr>
      <w:r>
        <w:rPr>
          <w:rFonts w:ascii="Arial" w:hAnsi="Arial"/>
          <w:i/>
          <w:sz w:val="22"/>
        </w:rPr>
        <w:t xml:space="preserve">500 (Internal Server Error): </w:t>
      </w:r>
      <w:r>
        <w:rPr>
          <w:rFonts w:ascii="Arial" w:hAnsi="Arial"/>
          <w:sz w:val="22"/>
        </w:rPr>
        <w:t>0 veces. El servidor no expuso errores internos.</w:t>
      </w:r>
    </w:p>
    <w:p>
      <w:r>
        <w:rPr>
          <w:rFonts w:ascii="Arial" w:hAnsi="Arial"/>
          <w:b/>
          <w:sz w:val="22"/>
        </w:rPr>
        <w:t>Observaciones:</w:t>
      </w:r>
    </w:p>
    <w:p>
      <w:pPr>
        <w:pStyle w:val="ListBullet"/>
      </w:pPr>
      <w:r>
        <w:rPr>
          <w:rFonts w:ascii="Arial" w:hAnsi="Arial"/>
          <w:sz w:val="22"/>
        </w:rPr>
        <w:t>El endpoint de login demostro ser resistente a las 6 categorias de inyeccion SQL probadas.</w:t>
      </w:r>
    </w:p>
    <w:p>
      <w:pPr>
        <w:pStyle w:val="ListBullet"/>
      </w:pPr>
      <w:r>
        <w:rPr>
          <w:rFonts w:ascii="Arial" w:hAnsi="Arial"/>
          <w:sz w:val="22"/>
        </w:rPr>
        <w:t>El rate limiter bloqueo el 74.9% de las peticiones del escaneo (4,608 de 6,150).</w:t>
      </w:r>
    </w:p>
    <w:p>
      <w:pPr>
        <w:pStyle w:val="ListBullet"/>
      </w:pPr>
      <w:r>
        <w:rPr>
          <w:rFonts w:ascii="Arial" w:hAnsi="Arial"/>
          <w:sz w:val="22"/>
        </w:rPr>
        <w:t>Se recomienda mantener las protecciones actuales y realizar pruebas periodicas.</w:t>
      </w:r>
    </w:p>
    <w:p>
      <w:pPr>
        <w:pStyle w:val="ListBullet"/>
      </w:pPr>
      <w:r>
        <w:rPr>
          <w:rFonts w:ascii="Arial" w:hAnsi="Arial"/>
          <w:sz w:val="22"/>
        </w:rPr>
        <w:t>Considerar pruebas adicionales con el flag --tamper para evaluar resistencia ante tecnicas de evasion.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