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 Day 2 - Activity 2: You're the Architect</w:t>
      </w:r>
    </w:p>
    <w:p>
      <w:r>
        <w:rPr>
          <w:b/>
        </w:rPr>
        <w:t>Scenario 4: The Churn Training Dataset</w:t>
      </w:r>
    </w:p>
    <w:p/>
    <w:p>
      <w:pPr>
        <w:pStyle w:val="Heading2"/>
      </w:pPr>
      <w:r>
        <w:t>Team Members</w:t>
      </w:r>
    </w:p>
    <w:p>
      <w:pPr>
        <w:pStyle w:val="ListBullet"/>
      </w:pPr>
      <w:r>
        <w:t>Sheenan Ahsan</w:t>
      </w:r>
    </w:p>
    <w:p>
      <w:pPr>
        <w:pStyle w:val="ListBullet"/>
      </w:pPr>
      <w:r>
        <w:t>Jacob Kelsey</w:t>
      </w:r>
    </w:p>
    <w:p>
      <w:pPr>
        <w:pStyle w:val="ListBullet"/>
      </w:pPr>
      <w:r>
        <w:t>Orlando Marin</w:t>
      </w:r>
    </w:p>
    <w:p/>
    <w:p>
      <w:pPr>
        <w:pStyle w:val="Heading2"/>
      </w:pPr>
      <w:r>
        <w:t>Scenario Description</w:t>
      </w:r>
    </w:p>
    <w:p>
      <w:r>
        <w:t>Data scientists need the last 3 years of cleaned policy and claims data, refreshed weekly, and accessible from Python notebooks to train a churn model. The key design question: do they need a dedicated feature store yet, or can cleaned warehouse data plus managed notebooks meet the stated requirement?</w:t>
      </w:r>
    </w:p>
    <w:p/>
    <w:p>
      <w:pPr>
        <w:pStyle w:val="Heading2"/>
      </w:pPr>
      <w:r>
        <w:t>Worksheet</w:t>
      </w:r>
    </w:p>
    <w:tbl>
      <w:tblPr>
        <w:tblStyle w:val="LightShading-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Batch or streaming? Why?</w:t>
            </w:r>
          </w:p>
        </w:tc>
        <w:tc>
          <w:tcPr>
            <w:tcW w:type="dxa" w:w="4320"/>
          </w:tcPr>
          <w:p>
            <w:r>
              <w:t>Batch. The data is refreshed weekly and used for model training, not real-time scoring. There is no requirement for immediate or continuous processing.</w:t>
            </w:r>
          </w:p>
        </w:tc>
      </w:tr>
      <w:tr>
        <w:tc>
          <w:tcPr>
            <w:tcW w:type="dxa" w:w="4320"/>
          </w:tcPr>
          <w:p>
            <w:r>
              <w:t>What data format is involved?</w:t>
            </w:r>
          </w:p>
        </w:tc>
        <w:tc>
          <w:tcPr>
            <w:tcW w:type="dxa" w:w="4320"/>
          </w:tcPr>
          <w:p>
            <w:r>
              <w:t>CSV (policy and claims data)</w:t>
            </w:r>
          </w:p>
        </w:tc>
      </w:tr>
      <w:tr>
        <w:tc>
          <w:tcPr>
            <w:tcW w:type="dxa" w:w="4320"/>
          </w:tcPr>
          <w:p>
            <w:r>
              <w:t>Primary GCP service(s)</w:t>
            </w:r>
          </w:p>
        </w:tc>
        <w:tc>
          <w:tcPr>
            <w:tcW w:type="dxa" w:w="4320"/>
          </w:tcPr>
          <w:p>
            <w:r>
              <w:t>Google Cloud Storage (GCS) for raw file landing, BigQuery as the data warehouse for cleaned data, Vertex AI Workbench for managed Python notebooks, Cloud Scheduler or Cloud Composer for weekly orchestration</w:t>
            </w:r>
          </w:p>
        </w:tc>
      </w:tr>
      <w:tr>
        <w:tc>
          <w:tcPr>
            <w:tcW w:type="dxa" w:w="4320"/>
          </w:tcPr>
          <w:p>
            <w:r>
              <w:t>AWS equivalent(s)</w:t>
            </w:r>
          </w:p>
        </w:tc>
        <w:tc>
          <w:tcPr>
            <w:tcW w:type="dxa" w:w="4320"/>
          </w:tcPr>
          <w:p>
            <w:r>
              <w:t>Redshift or Athena (warehouse), SageMaker Studio (managed notebooks), Glue (ETL/transformation), MWAA (orchestration)</w:t>
            </w:r>
          </w:p>
        </w:tc>
      </w:tr>
      <w:tr>
        <w:tc>
          <w:tcPr>
            <w:tcW w:type="dxa" w:w="4320"/>
          </w:tcPr>
          <w:p>
            <w:r>
              <w:t>Which data-store family is this?</w:t>
            </w:r>
          </w:p>
        </w:tc>
        <w:tc>
          <w:tcPr>
            <w:tcW w:type="dxa" w:w="4320"/>
          </w:tcPr>
          <w:p>
            <w:r>
              <w:t>OLAP warehouse (BigQuery/Redshift) for storing and querying the cleaned training data. Object store (GCS/S3) for the raw file landing zone.</w:t>
            </w:r>
          </w:p>
        </w:tc>
      </w:tr>
      <w:tr>
        <w:tc>
          <w:tcPr>
            <w:tcW w:type="dxa" w:w="4320"/>
          </w:tcPr>
          <w:p>
            <w:r>
              <w:t>For each service, what is closest: IaaS, PaaS, or SaaS? What does the provider manage?</w:t>
            </w:r>
          </w:p>
        </w:tc>
        <w:tc>
          <w:tcPr>
            <w:tcW w:type="dxa" w:w="4320"/>
          </w:tcPr>
          <w:p>
            <w:r>
              <w:t>PaaS for all selected services. The provider manages the runtime, middleware, OS and virtualization, servers, storage, and networking. We control the code, queries, and data access.</w:t>
            </w:r>
          </w:p>
        </w:tc>
      </w:tr>
      <w:tr>
        <w:tc>
          <w:tcPr>
            <w:tcW w:type="dxa" w:w="4320"/>
          </w:tcPr>
          <w:p>
            <w:r>
              <w:t>How is the pipeline triggered or scheduled?</w:t>
            </w:r>
          </w:p>
        </w:tc>
        <w:tc>
          <w:tcPr>
            <w:tcW w:type="dxa" w:w="4320"/>
          </w:tcPr>
          <w:p>
            <w:r>
              <w:t>Weekly schedule via Cloud Scheduler or Cloud Composer (Airflow). The scheduled job runs a cleaning/refresh pipeline that updates the training-ready tables in BigQuery.</w:t>
            </w:r>
          </w:p>
        </w:tc>
      </w:tr>
      <w:tr>
        <w:tc>
          <w:tcPr>
            <w:tcW w:type="dxa" w:w="4320"/>
          </w:tcPr>
          <w:p>
            <w:r>
              <w:t>Cost risk</w:t>
            </w:r>
          </w:p>
        </w:tc>
        <w:tc>
          <w:tcPr>
            <w:tcW w:type="dxa" w:w="4320"/>
          </w:tcPr>
          <w:p>
            <w:r>
              <w:t>Notebook instances left running 24/7 when not in use. Three years of data in BigQuery incurs ongoing storage costs. Large training queries scanning full history can be expensive if not optimized (e.g., missing partitioning or selecting unnecessary columns).</w:t>
            </w:r>
          </w:p>
        </w:tc>
      </w:tr>
      <w:tr>
        <w:tc>
          <w:tcPr>
            <w:tcW w:type="dxa" w:w="4320"/>
          </w:tcPr>
          <w:p>
            <w:r>
              <w:t>Security / PII consideration</w:t>
            </w:r>
          </w:p>
        </w:tc>
        <w:tc>
          <w:tcPr>
            <w:tcW w:type="dxa" w:w="4320"/>
          </w:tcPr>
          <w:p>
            <w:r>
              <w:t>Policy and claims data likely contains PII (names, SSN, health information). Use IAM roles to restrict access to authorized data scientists only. Apply column-level security or data masking in BigQuery to protect sensitive fields. Ensure notebook access is limited to prevent unauthorized users from viewing PII.</w:t>
            </w:r>
          </w:p>
        </w:tc>
      </w:tr>
      <w:tr>
        <w:tc>
          <w:tcPr>
            <w:tcW w:type="dxa" w:w="4320"/>
          </w:tcPr>
          <w:p>
            <w:r>
              <w:t>One alternative you rejected, and why</w:t>
            </w:r>
          </w:p>
        </w:tc>
        <w:tc>
          <w:tcPr>
            <w:tcW w:type="dxa" w:w="4320"/>
          </w:tcPr>
          <w:p>
            <w:r>
              <w:t>Rejected: A dedicated feature store (e.g., Vertex AI Feature Store). Cleaned warehouse data plus managed notebooks is sufficient for the stated requirement. A feature store would add unnecessary complexity and cost when there is no need for online feature serving, cross-team feature reuse, or point-in-time consistency beyond what BigQuery provides.</w:t>
            </w:r>
          </w:p>
        </w:tc>
      </w:tr>
    </w:tbl>
    <w:p/>
    <w:p>
      <w:pPr>
        <w:pStyle w:val="Heading2"/>
      </w:pPr>
      <w:r>
        <w:t>Challenge Question Response</w:t>
      </w:r>
    </w:p>
    <w:p>
      <w:r>
        <w:rPr>
          <w:i/>
        </w:rPr>
        <w:t>"Who pays for the notebook when a data scientist forgets to shut it down?"</w:t>
      </w:r>
    </w:p>
    <w:p>
      <w:r>
        <w:t>Mitigate with auto-shutdown policies (idle timeout) on Vertex AI Workbench instances. Set budget alerts and organizational policies to cap notebook spending. Configure automatic idle shutdown after a defined period (e.g., 60 minutes of inactivity) to prevent runaway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