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Monitor Audio IA Series</w:t>
      </w:r>
    </w:p>
    <w:p>
      <w:pPr>
        <w:spacing w:after="60"/>
      </w:pPr>
      <w:r>
        <w:rPr>
          <w:color w:val="444444"/>
          <w:sz w:val="28"/>
          <w:szCs w:val="28"/>
        </w:rPr>
        <w:t xml:space="preserve">Control por LAN — Documento de Protocolo (Ingeniería Inversa de Drivers)</w:t>
      </w:r>
    </w:p>
    <w:p>
      <w:pPr>
        <w:spacing w:after="400"/>
      </w:pPr>
      <w:r>
        <w:rPr>
          <w:i/>
          <w:iCs/>
          <w:color w:val="666666"/>
          <w:sz w:val="20"/>
          <w:szCs w:val="20"/>
        </w:rPr>
        <w:t xml:space="preserve">Fuentes analizadas: Crestron 1.0.1 · Control4 v100 · RTI 1.0</w:t>
      </w:r>
    </w:p>
    <w:p>
      <w:pPr>
        <w:pStyle w:val="Heading1"/>
        <w:spacing w:after="150" w:before="300"/>
      </w:pPr>
      <w:r>
        <w:t xml:space="preserve">1. Introducción y alcance</w:t>
      </w:r>
    </w:p>
    <w:p>
      <w:pPr>
        <w:spacing w:after="120"/>
      </w:pPr>
      <w:r>
        <w:t xml:space="preserve">Este documento describe el protocolo de control por red (LAN/TCP) del amplificador Monitor Audio serie IA (IA60-4, IA125-4, IA800-2, IA800-4), obtenido mediante ingeniería inversa de los tres paquetes de drivers de control proporcionados: Crestron (SIMPL+/SIMPL# 1.0.1), Control4 (DriverWorks v100) y RTI (XML 1.0).</w:t>
      </w:r>
    </w:p>
    <w:p>
      <w:pPr>
        <w:spacing w:after="120"/>
      </w:pPr>
      <w:r>
        <w:t xml:space="preserve">Nota metodológica: los drivers de Crestron y Control4 encapsulan la lógica de comunicación en componentes compilados o cifrados — Crestron distribuye la librería “Blaze” como una .clz (DLL .NET compilada) y Control4 cifra su driver.lua — por lo que no exponen las tramas de red en texto plano. El driver de RTI, en cambio, es un contenedor OLE2 que almacena sus módulos de comunicación como archivos JavaScript comprimidos con zlib; al descomprimirlos se recupera el código fuente completo del protocolo (archivos avReceiver.js y avReceiverComms.js), que es el que se ha documentado a continuación. Como las tres plataformas controlan el mismo firmware del amplificador, el protocolo aquí descrito aplica igualmente a integraciones de terceros o desarrollos a medida, independientemente del sistema de control empleado.</w:t>
      </w:r>
    </w:p>
    <w:p>
      <w:pPr>
        <w:spacing w:after="120"/>
      </w:pPr>
      <w:r>
        <w:rPr>
          <w:i/>
          <w:iCs/>
          <w:color w:val="993333"/>
        </w:rPr>
        <w:t xml:space="preserve">Aviso: este es un documento derivado de ingeniería inversa de archivos de terceros, no documentación oficial de Monitor Audio. Se recomienda validar cada comando contra una unidad real antes de desplegarlo en producción.</w:t>
      </w:r>
    </w:p>
    <w:p>
      <w:pPr>
        <w:pStyle w:val="Heading1"/>
        <w:spacing w:after="150" w:before="300"/>
      </w:pPr>
      <w:r>
        <w:t xml:space="preserve">2. Parámetros de conexión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Parámetro</w:t>
            </w:r>
          </w:p>
        </w:tc>
        <w:tc>
          <w:tcPr>
            <w:tcW w:type="dxa" w:w="5700"/>
            <w:shd w:fill="1F3864" w:val="clear"/>
            <w:tcMar>
              <w:top w:type="dxa" w:w="80"/>
              <w:left w:type="dxa" w:w="100"/>
              <w:bottom w:type="dxa" w:w="80"/>
              <w:right w:type="dxa" w:w="100"/>
            </w:tcMar>
            <w:vAlign w:val="center"/>
          </w:tcPr>
          <w:p>
            <w:r>
              <w:rPr>
                <w:b/>
                <w:bCs/>
                <w:color w:val="FFFFFF"/>
                <w:sz w:val="20"/>
                <w:szCs w:val="20"/>
              </w:rPr>
              <w:t xml:space="preserve">Valor</w:t>
            </w:r>
          </w:p>
        </w:tc>
      </w:tr>
      <w:tr>
        <w:tc>
          <w:tcPr>
            <w:tcW w:type="dxa" w:w="3600"/>
            <w:shd w:fill="FFFFFF" w:val="clear"/>
            <w:tcMar>
              <w:top w:type="dxa" w:w="60"/>
              <w:left w:type="dxa" w:w="100"/>
              <w:bottom w:type="dxa" w:w="60"/>
              <w:right w:type="dxa" w:w="100"/>
            </w:tcMar>
          </w:tcPr>
          <w:p>
            <w:r>
              <w:rPr>
                <w:sz w:val="20"/>
                <w:szCs w:val="20"/>
              </w:rPr>
              <w:t xml:space="preserve">Protocolo de transporte</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TCP</w:t>
            </w:r>
          </w:p>
        </w:tc>
      </w:tr>
      <w:tr>
        <w:tc>
          <w:tcPr>
            <w:tcW w:type="dxa" w:w="3600"/>
            <w:shd w:fill="F2F2F2" w:val="clear"/>
            <w:tcMar>
              <w:top w:type="dxa" w:w="60"/>
              <w:left w:type="dxa" w:w="100"/>
              <w:bottom w:type="dxa" w:w="60"/>
              <w:right w:type="dxa" w:w="100"/>
            </w:tcMar>
          </w:tcPr>
          <w:p>
            <w:r>
              <w:rPr>
                <w:sz w:val="20"/>
                <w:szCs w:val="20"/>
              </w:rPr>
              <w:t xml:space="preserve">Puerto</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7621</w:t>
            </w:r>
          </w:p>
        </w:tc>
      </w:tr>
      <w:tr>
        <w:tc>
          <w:tcPr>
            <w:tcW w:type="dxa" w:w="3600"/>
            <w:shd w:fill="FFFFFF" w:val="clear"/>
            <w:tcMar>
              <w:top w:type="dxa" w:w="60"/>
              <w:left w:type="dxa" w:w="100"/>
              <w:bottom w:type="dxa" w:w="60"/>
              <w:right w:type="dxa" w:w="100"/>
            </w:tcMar>
          </w:tcPr>
          <w:p>
            <w:r>
              <w:rPr>
                <w:sz w:val="20"/>
                <w:szCs w:val="20"/>
              </w:rPr>
              <w:t xml:space="preserve">Terminador de comando (enviado)</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\r\n (CR LF)</w:t>
            </w:r>
          </w:p>
        </w:tc>
      </w:tr>
      <w:tr>
        <w:tc>
          <w:tcPr>
            <w:tcW w:type="dxa" w:w="3600"/>
            <w:shd w:fill="F2F2F2" w:val="clear"/>
            <w:tcMar>
              <w:top w:type="dxa" w:w="60"/>
              <w:left w:type="dxa" w:w="100"/>
              <w:bottom w:type="dxa" w:w="60"/>
              <w:right w:type="dxa" w:w="100"/>
            </w:tcMar>
          </w:tcPr>
          <w:p>
            <w:r>
              <w:rPr>
                <w:sz w:val="20"/>
                <w:szCs w:val="20"/>
              </w:rPr>
              <w:t xml:space="preserve">Terminador de respuesta</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\n (LF) por línea</w:t>
            </w:r>
          </w:p>
        </w:tc>
      </w:tr>
      <w:tr>
        <w:tc>
          <w:tcPr>
            <w:tcW w:type="dxa" w:w="3600"/>
            <w:shd w:fill="FFFFFF" w:val="clear"/>
            <w:tcMar>
              <w:top w:type="dxa" w:w="60"/>
              <w:left w:type="dxa" w:w="100"/>
              <w:bottom w:type="dxa" w:w="60"/>
              <w:right w:type="dxa" w:w="100"/>
            </w:tcMar>
          </w:tcPr>
          <w:p>
            <w:r>
              <w:rPr>
                <w:sz w:val="20"/>
                <w:szCs w:val="20"/>
              </w:rPr>
              <w:t xml:space="preserve">Timeout de conexión</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5000 ms (específico de este driver; el framework base usa 30000 ms)</w:t>
            </w:r>
          </w:p>
        </w:tc>
      </w:tr>
      <w:tr>
        <w:tc>
          <w:tcPr>
            <w:tcW w:type="dxa" w:w="3600"/>
            <w:shd w:fill="F2F2F2" w:val="clear"/>
            <w:tcMar>
              <w:top w:type="dxa" w:w="60"/>
              <w:left w:type="dxa" w:w="100"/>
              <w:bottom w:type="dxa" w:w="60"/>
              <w:right w:type="dxa" w:w="100"/>
            </w:tcMar>
          </w:tcPr>
          <w:p>
            <w:r>
              <w:rPr>
                <w:sz w:val="20"/>
                <w:szCs w:val="20"/>
              </w:rPr>
              <w:t xml:space="preserve">Keep-alive / ping</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Ninguno periódico — se recomienda mantener un poll o SUBSCRIBE activo</w:t>
            </w:r>
          </w:p>
        </w:tc>
      </w:tr>
      <w:tr>
        <w:tc>
          <w:tcPr>
            <w:tcW w:type="dxa" w:w="3600"/>
            <w:shd w:fill="FFFFFF" w:val="clear"/>
            <w:tcMar>
              <w:top w:type="dxa" w:w="60"/>
              <w:left w:type="dxa" w:w="100"/>
              <w:bottom w:type="dxa" w:w="60"/>
              <w:right w:type="dxa" w:w="100"/>
            </w:tcMar>
          </w:tcPr>
          <w:p>
            <w:r>
              <w:rPr>
                <w:sz w:val="20"/>
                <w:szCs w:val="20"/>
              </w:rPr>
              <w:t xml:space="preserve">Frecuencia de poll por defecto</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0.2 s (configurable)</w:t>
            </w:r>
          </w:p>
        </w:tc>
      </w:tr>
      <w:tr>
        <w:tc>
          <w:tcPr>
            <w:tcW w:type="dxa" w:w="3600"/>
            <w:shd w:fill="F2F2F2" w:val="clear"/>
            <w:tcMar>
              <w:top w:type="dxa" w:w="60"/>
              <w:left w:type="dxa" w:w="100"/>
              <w:bottom w:type="dxa" w:w="60"/>
              <w:right w:type="dxa" w:w="100"/>
            </w:tcMar>
          </w:tcPr>
          <w:p>
            <w:r>
              <w:rPr>
                <w:sz w:val="20"/>
                <w:szCs w:val="20"/>
              </w:rPr>
              <w:t xml:space="preserve">Dirección IP</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Estática recomendada</w:t>
            </w:r>
          </w:p>
        </w:tc>
      </w:tr>
      <w:tr>
        <w:tc>
          <w:tcPr>
            <w:tcW w:type="dxa" w:w="3600"/>
            <w:shd w:fill="FFFFFF" w:val="clear"/>
            <w:tcMar>
              <w:top w:type="dxa" w:w="60"/>
              <w:left w:type="dxa" w:w="100"/>
              <w:bottom w:type="dxa" w:w="60"/>
              <w:right w:type="dxa" w:w="100"/>
            </w:tcMar>
          </w:tcPr>
          <w:p>
            <w:r>
              <w:rPr>
                <w:sz w:val="20"/>
                <w:szCs w:val="20"/>
              </w:rPr>
              <w:t xml:space="preserve">Requisito para encendido remoto</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En la webapp del equipo, Settings &gt; Power Management debe ser Audio, Trigger o Network Only (nunca Eco)</w:t>
            </w:r>
          </w:p>
        </w:tc>
      </w:tr>
    </w:tbl>
    <w:p>
      <w:pPr>
        <w:pStyle w:val="Heading1"/>
        <w:spacing w:after="150" w:before="300"/>
      </w:pPr>
      <w:r>
        <w:t xml:space="preserve">3. Sintaxis general de comandos</w:t>
      </w:r>
    </w:p>
    <w:p>
      <w:pPr>
        <w:spacing w:after="120"/>
      </w:pPr>
      <w:r>
        <w:t xml:space="preserve">El protocolo es un protocolo de texto ASCII con espacio de nombres jerárquico del tipo OBJETO-ID.PROPIEDAD, con tres verbos principales:</w:t>
      </w:r>
    </w:p>
    <w:p>
      <w:pPr>
        <w:pStyle w:val="ListParagraph"/>
        <w:numPr>
          <w:ilvl w:val="0"/>
          <w:numId w:val="1"/>
        </w:numPr>
        <w:spacing w:after="60"/>
      </w:pPr>
      <w:r>
        <w:t xml:space="preserve">GET &lt;ruta&gt;  — solicita el valor actual de una propiedad. Admite comodín “*” para solicitar todas las instancias de una categoría.</w:t>
      </w:r>
    </w:p>
    <w:p>
      <w:pPr>
        <w:pStyle w:val="ListParagraph"/>
        <w:numPr>
          <w:ilvl w:val="0"/>
          <w:numId w:val="1"/>
        </w:numPr>
        <w:spacing w:after="60"/>
      </w:pPr>
      <w:r>
        <w:t xml:space="preserve">SET &lt;ruta&gt; &lt;valor&gt;  — establece el valor de una propiedad.</w:t>
      </w:r>
    </w:p>
    <w:p>
      <w:pPr>
        <w:pStyle w:val="ListParagraph"/>
        <w:numPr>
          <w:ilvl w:val="0"/>
          <w:numId w:val="1"/>
        </w:numPr>
        <w:spacing w:after="60"/>
      </w:pPr>
      <w:r>
        <w:t xml:space="preserve">SUBSCRIBE &lt;modo&gt; [periodo]  — activa el envío de feedback asíncrono ante cambios.</w:t>
      </w:r>
    </w:p>
    <w:p>
      <w:pPr>
        <w:spacing w:after="120"/>
      </w:pPr>
      <w:r>
        <w:t xml:space="preserve">Dos comandos de encendido/apagado son la excepción: no usan ruta, se envían como palabra suelta:</w:t>
      </w:r>
    </w:p>
    <w:p>
      <w:pPr>
        <w:shd w:fill="F4F4F4" w:val="clear"/>
        <w:spacing w:after="120"/>
      </w:pPr>
      <w:r>
        <w:rPr>
          <w:rFonts w:ascii="Consolas" w:cs="Consolas" w:eastAsia="Consolas" w:hAnsi="Consolas"/>
          <w:sz w:val="20"/>
          <w:szCs w:val="20"/>
        </w:rPr>
        <w:t xml:space="preserve">POWER_ON</w:t>
      </w:r>
    </w:p>
    <w:p>
      <w:pPr>
        <w:shd w:fill="F4F4F4" w:val="clear"/>
        <w:spacing w:after="120"/>
      </w:pPr>
      <w:r>
        <w:rPr>
          <w:rFonts w:ascii="Consolas" w:cs="Consolas" w:eastAsia="Consolas" w:hAnsi="Consolas"/>
          <w:sz w:val="20"/>
          <w:szCs w:val="20"/>
        </w:rPr>
        <w:t xml:space="preserve">POWER_OFF</w:t>
      </w:r>
    </w:p>
    <w:p>
      <w:pPr>
        <w:spacing w:after="120"/>
      </w:pPr>
      <w:r>
        <w:t xml:space="preserve">Cada comando se envía terminado en \r\n. Las respuestas llegan de forma asíncrona, una por línea terminada en \n, con el valor consultado o modificado precedido por “+”, por ejemplo:</w:t>
      </w:r>
    </w:p>
    <w:p>
      <w:pPr>
        <w:shd w:fill="F4F4F4" w:val="clear"/>
        <w:spacing w:after="120"/>
      </w:pPr>
      <w:r>
        <w:rPr>
          <w:rFonts w:ascii="Consolas" w:cs="Consolas" w:eastAsia="Consolas" w:hAnsi="Consolas"/>
          <w:sz w:val="20"/>
          <w:szCs w:val="20"/>
        </w:rPr>
        <w:t xml:space="preserve">+ZONE-A.GAIN -20</w:t>
      </w:r>
    </w:p>
    <w:p>
      <w:pPr>
        <w:spacing w:after="120"/>
      </w:pPr>
      <w:r>
        <w:t xml:space="preserve">Si el equipo no puede procesar un comando, la línea de respuesta contiene un carácter “#” seguido de la descripción del error.</w:t>
      </w:r>
    </w:p>
    <w:p>
      <w:pPr>
        <w:pStyle w:val="Heading1"/>
        <w:spacing w:after="150" w:before="300"/>
      </w:pPr>
      <w:r>
        <w:t xml:space="preserve">4. Identificadores de zonas y entradas</w:t>
      </w:r>
    </w:p>
    <w:p>
      <w:pPr>
        <w:pStyle w:val="Heading2"/>
        <w:spacing w:after="120" w:before="240"/>
      </w:pPr>
      <w:r>
        <w:t xml:space="preserve">4.1 Zonas de salida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Modelo</w:t>
            </w:r>
          </w:p>
        </w:tc>
        <w:tc>
          <w:tcPr>
            <w:tcW w:type="dxa" w:w="2000"/>
            <w:shd w:fill="1F3864" w:val="clear"/>
            <w:tcMar>
              <w:top w:type="dxa" w:w="80"/>
              <w:left w:type="dxa" w:w="100"/>
              <w:bottom w:type="dxa" w:w="80"/>
              <w:right w:type="dxa" w:w="100"/>
            </w:tcMar>
            <w:vAlign w:val="center"/>
          </w:tcPr>
          <w:p>
            <w:r>
              <w:rPr>
                <w:b/>
                <w:bCs/>
                <w:color w:val="FFFFFF"/>
                <w:sz w:val="20"/>
                <w:szCs w:val="20"/>
              </w:rPr>
              <w:t xml:space="preserve">ID interno</w:t>
            </w:r>
          </w:p>
        </w:tc>
        <w:tc>
          <w:tcPr>
            <w:tcW w:type="dxa" w:w="4700"/>
            <w:shd w:fill="1F3864" w:val="clear"/>
            <w:tcMar>
              <w:top w:type="dxa" w:w="80"/>
              <w:left w:type="dxa" w:w="100"/>
              <w:bottom w:type="dxa" w:w="80"/>
              <w:right w:type="dxa" w:w="100"/>
            </w:tcMar>
            <w:vAlign w:val="center"/>
          </w:tcPr>
          <w:p>
            <w:r>
              <w:rPr>
                <w:b/>
                <w:bCs/>
                <w:color w:val="FFFFFF"/>
                <w:sz w:val="20"/>
                <w:szCs w:val="20"/>
              </w:rPr>
              <w:t xml:space="preserve">Zonas disponibles</w:t>
            </w:r>
          </w:p>
        </w:tc>
      </w:tr>
      <w:tr>
        <w:tc>
          <w:tcPr>
            <w:tcW w:type="dxa" w:w="2600"/>
            <w:shd w:fill="FFFFFF" w:val="clear"/>
            <w:tcMar>
              <w:top w:type="dxa" w:w="60"/>
              <w:left w:type="dxa" w:w="100"/>
              <w:bottom w:type="dxa" w:w="60"/>
              <w:right w:type="dxa" w:w="100"/>
            </w:tcMar>
          </w:tcPr>
          <w:p>
            <w:r>
              <w:rPr>
                <w:sz w:val="20"/>
                <w:szCs w:val="20"/>
              </w:rPr>
              <w:t xml:space="preserve">IA60-4</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13</w:t>
            </w:r>
          </w:p>
        </w:tc>
        <w:tc>
          <w:tcPr>
            <w:tcW w:type="dxa" w:w="4700"/>
            <w:shd w:fill="FFFFFF" w:val="clear"/>
            <w:tcMar>
              <w:top w:type="dxa" w:w="60"/>
              <w:left w:type="dxa" w:w="100"/>
              <w:bottom w:type="dxa" w:w="60"/>
              <w:right w:type="dxa" w:w="100"/>
            </w:tcMar>
          </w:tcPr>
          <w:p>
            <w:r>
              <w:rPr>
                <w:rFonts w:ascii="Consolas" w:cs="Consolas" w:eastAsia="Consolas" w:hAnsi="Consolas"/>
                <w:sz w:val="20"/>
                <w:szCs w:val="20"/>
              </w:rPr>
              <w:t xml:space="preserve">ZONE-A, ZONE-B, ZONE-C, ZONE-D</w:t>
            </w:r>
          </w:p>
        </w:tc>
      </w:tr>
      <w:tr>
        <w:tc>
          <w:tcPr>
            <w:tcW w:type="dxa" w:w="2600"/>
            <w:shd w:fill="F2F2F2" w:val="clear"/>
            <w:tcMar>
              <w:top w:type="dxa" w:w="60"/>
              <w:left w:type="dxa" w:w="100"/>
              <w:bottom w:type="dxa" w:w="60"/>
              <w:right w:type="dxa" w:w="100"/>
            </w:tcMar>
          </w:tcPr>
          <w:p>
            <w:r>
              <w:rPr>
                <w:sz w:val="20"/>
                <w:szCs w:val="20"/>
              </w:rPr>
              <w:t xml:space="preserve">IA125-4</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14</w:t>
            </w:r>
          </w:p>
        </w:tc>
        <w:tc>
          <w:tcPr>
            <w:tcW w:type="dxa" w:w="4700"/>
            <w:shd w:fill="F2F2F2" w:val="clear"/>
            <w:tcMar>
              <w:top w:type="dxa" w:w="60"/>
              <w:left w:type="dxa" w:w="100"/>
              <w:bottom w:type="dxa" w:w="60"/>
              <w:right w:type="dxa" w:w="100"/>
            </w:tcMar>
          </w:tcPr>
          <w:p>
            <w:r>
              <w:rPr>
                <w:rFonts w:ascii="Consolas" w:cs="Consolas" w:eastAsia="Consolas" w:hAnsi="Consolas"/>
                <w:sz w:val="20"/>
                <w:szCs w:val="20"/>
              </w:rPr>
              <w:t xml:space="preserve">ZONE-A, ZONE-B, ZONE-C, ZONE-D</w:t>
            </w:r>
          </w:p>
        </w:tc>
      </w:tr>
      <w:tr>
        <w:tc>
          <w:tcPr>
            <w:tcW w:type="dxa" w:w="2600"/>
            <w:shd w:fill="FFFFFF" w:val="clear"/>
            <w:tcMar>
              <w:top w:type="dxa" w:w="60"/>
              <w:left w:type="dxa" w:w="100"/>
              <w:bottom w:type="dxa" w:w="60"/>
              <w:right w:type="dxa" w:w="100"/>
            </w:tcMar>
          </w:tcPr>
          <w:p>
            <w:r>
              <w:rPr>
                <w:sz w:val="20"/>
                <w:szCs w:val="20"/>
              </w:rPr>
              <w:t xml:space="preserve">IA800-2</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15</w:t>
            </w:r>
          </w:p>
        </w:tc>
        <w:tc>
          <w:tcPr>
            <w:tcW w:type="dxa" w:w="4700"/>
            <w:shd w:fill="FFFFFF" w:val="clear"/>
            <w:tcMar>
              <w:top w:type="dxa" w:w="60"/>
              <w:left w:type="dxa" w:w="100"/>
              <w:bottom w:type="dxa" w:w="60"/>
              <w:right w:type="dxa" w:w="100"/>
            </w:tcMar>
          </w:tcPr>
          <w:p>
            <w:r>
              <w:rPr>
                <w:rFonts w:ascii="Consolas" w:cs="Consolas" w:eastAsia="Consolas" w:hAnsi="Consolas"/>
                <w:sz w:val="20"/>
                <w:szCs w:val="20"/>
              </w:rPr>
              <w:t xml:space="preserve">ZONE-A, ZONE-B</w:t>
            </w:r>
          </w:p>
        </w:tc>
      </w:tr>
      <w:tr>
        <w:tc>
          <w:tcPr>
            <w:tcW w:type="dxa" w:w="2600"/>
            <w:shd w:fill="F2F2F2" w:val="clear"/>
            <w:tcMar>
              <w:top w:type="dxa" w:w="60"/>
              <w:left w:type="dxa" w:w="100"/>
              <w:bottom w:type="dxa" w:w="60"/>
              <w:right w:type="dxa" w:w="100"/>
            </w:tcMar>
          </w:tcPr>
          <w:p>
            <w:r>
              <w:rPr>
                <w:sz w:val="20"/>
                <w:szCs w:val="20"/>
              </w:rPr>
              <w:t xml:space="preserve">IA800-4</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16</w:t>
            </w:r>
          </w:p>
        </w:tc>
        <w:tc>
          <w:tcPr>
            <w:tcW w:type="dxa" w:w="4700"/>
            <w:shd w:fill="F2F2F2" w:val="clear"/>
            <w:tcMar>
              <w:top w:type="dxa" w:w="60"/>
              <w:left w:type="dxa" w:w="100"/>
              <w:bottom w:type="dxa" w:w="60"/>
              <w:right w:type="dxa" w:w="100"/>
            </w:tcMar>
          </w:tcPr>
          <w:p>
            <w:r>
              <w:rPr>
                <w:rFonts w:ascii="Consolas" w:cs="Consolas" w:eastAsia="Consolas" w:hAnsi="Consolas"/>
                <w:sz w:val="20"/>
                <w:szCs w:val="20"/>
              </w:rPr>
              <w:t xml:space="preserve">ZONE-A, ZONE-B, ZONE-C, ZONE-D</w:t>
            </w:r>
          </w:p>
        </w:tc>
      </w:tr>
    </w:tbl>
    <w:p>
      <w:pPr>
        <w:pStyle w:val="Heading2"/>
        <w:spacing w:after="120" w:before="240"/>
      </w:pPr>
      <w:r>
        <w:t xml:space="preserve">4.2 Entradas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ID de entrada</w:t>
            </w:r>
          </w:p>
        </w:tc>
        <w:tc>
          <w:tcPr>
            <w:tcW w:type="dxa" w:w="5700"/>
            <w:shd w:fill="1F3864" w:val="clear"/>
            <w:tcMar>
              <w:top w:type="dxa" w:w="80"/>
              <w:left w:type="dxa" w:w="100"/>
              <w:bottom w:type="dxa" w:w="80"/>
              <w:right w:type="dxa" w:w="100"/>
            </w:tcMar>
            <w:vAlign w:val="center"/>
          </w:tcPr>
          <w:p>
            <w:r>
              <w:rPr>
                <w:b/>
                <w:bCs/>
                <w:color w:val="FFFFFF"/>
                <w:sz w:val="20"/>
                <w:szCs w:val="20"/>
              </w:rPr>
              <w:t xml:space="preserve">Descripción</w:t>
            </w:r>
          </w:p>
        </w:tc>
      </w:tr>
      <w:tr>
        <w:tc>
          <w:tcPr>
            <w:tcW w:type="dxa" w:w="3600"/>
            <w:shd w:fill="FFFFFF" w:val="clear"/>
            <w:tcMar>
              <w:top w:type="dxa" w:w="60"/>
              <w:left w:type="dxa" w:w="100"/>
              <w:bottom w:type="dxa" w:w="60"/>
              <w:right w:type="dxa" w:w="100"/>
            </w:tcMar>
          </w:tcPr>
          <w:p>
            <w:r>
              <w:rPr>
                <w:sz w:val="20"/>
                <w:szCs w:val="20"/>
              </w:rPr>
              <w:t xml:space="preserve">100</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Entrada analógica 1</w:t>
            </w:r>
          </w:p>
        </w:tc>
      </w:tr>
      <w:tr>
        <w:tc>
          <w:tcPr>
            <w:tcW w:type="dxa" w:w="3600"/>
            <w:shd w:fill="F2F2F2" w:val="clear"/>
            <w:tcMar>
              <w:top w:type="dxa" w:w="60"/>
              <w:left w:type="dxa" w:w="100"/>
              <w:bottom w:type="dxa" w:w="60"/>
              <w:right w:type="dxa" w:w="100"/>
            </w:tcMar>
          </w:tcPr>
          <w:p>
            <w:r>
              <w:rPr>
                <w:sz w:val="20"/>
                <w:szCs w:val="20"/>
              </w:rPr>
              <w:t xml:space="preserve">101</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Entrada analógica 2</w:t>
            </w:r>
          </w:p>
        </w:tc>
      </w:tr>
      <w:tr>
        <w:tc>
          <w:tcPr>
            <w:tcW w:type="dxa" w:w="3600"/>
            <w:shd w:fill="FFFFFF" w:val="clear"/>
            <w:tcMar>
              <w:top w:type="dxa" w:w="60"/>
              <w:left w:type="dxa" w:w="100"/>
              <w:bottom w:type="dxa" w:w="60"/>
              <w:right w:type="dxa" w:w="100"/>
            </w:tcMar>
          </w:tcPr>
          <w:p>
            <w:r>
              <w:rPr>
                <w:sz w:val="20"/>
                <w:szCs w:val="20"/>
              </w:rPr>
              <w:t xml:space="preserve">102</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Entrada analógica 3</w:t>
            </w:r>
          </w:p>
        </w:tc>
      </w:tr>
      <w:tr>
        <w:tc>
          <w:tcPr>
            <w:tcW w:type="dxa" w:w="3600"/>
            <w:shd w:fill="F2F2F2" w:val="clear"/>
            <w:tcMar>
              <w:top w:type="dxa" w:w="60"/>
              <w:left w:type="dxa" w:w="100"/>
              <w:bottom w:type="dxa" w:w="60"/>
              <w:right w:type="dxa" w:w="100"/>
            </w:tcMar>
          </w:tcPr>
          <w:p>
            <w:r>
              <w:rPr>
                <w:sz w:val="20"/>
                <w:szCs w:val="20"/>
              </w:rPr>
              <w:t xml:space="preserve">103</w:t>
            </w:r>
          </w:p>
        </w:tc>
        <w:tc>
          <w:tcPr>
            <w:tcW w:type="dxa" w:w="5700"/>
            <w:shd w:fill="F2F2F2" w:val="clear"/>
            <w:tcMar>
              <w:top w:type="dxa" w:w="60"/>
              <w:left w:type="dxa" w:w="100"/>
              <w:bottom w:type="dxa" w:w="60"/>
              <w:right w:type="dxa" w:w="100"/>
            </w:tcMar>
          </w:tcPr>
          <w:p>
            <w:r>
              <w:rPr>
                <w:rFonts w:ascii="Consolas" w:cs="Consolas" w:eastAsia="Consolas" w:hAnsi="Consolas"/>
                <w:sz w:val="20"/>
                <w:szCs w:val="20"/>
              </w:rPr>
              <w:t xml:space="preserve">Entrada analógica 4</w:t>
            </w:r>
          </w:p>
        </w:tc>
      </w:tr>
      <w:tr>
        <w:tc>
          <w:tcPr>
            <w:tcW w:type="dxa" w:w="3600"/>
            <w:shd w:fill="FFFFFF" w:val="clear"/>
            <w:tcMar>
              <w:top w:type="dxa" w:w="60"/>
              <w:left w:type="dxa" w:w="100"/>
              <w:bottom w:type="dxa" w:w="60"/>
              <w:right w:type="dxa" w:w="100"/>
            </w:tcMar>
          </w:tcPr>
          <w:p>
            <w:r>
              <w:rPr>
                <w:sz w:val="20"/>
                <w:szCs w:val="20"/>
              </w:rPr>
              <w:t xml:space="preserve">200</w:t>
            </w:r>
          </w:p>
        </w:tc>
        <w:tc>
          <w:tcPr>
            <w:tcW w:type="dxa" w:w="5700"/>
            <w:shd w:fill="FFFFFF" w:val="clear"/>
            <w:tcMar>
              <w:top w:type="dxa" w:w="60"/>
              <w:left w:type="dxa" w:w="100"/>
              <w:bottom w:type="dxa" w:w="60"/>
              <w:right w:type="dxa" w:w="100"/>
            </w:tcMar>
          </w:tcPr>
          <w:p>
            <w:r>
              <w:rPr>
                <w:rFonts w:ascii="Consolas" w:cs="Consolas" w:eastAsia="Consolas" w:hAnsi="Consolas"/>
                <w:sz w:val="20"/>
                <w:szCs w:val="20"/>
              </w:rPr>
              <w:t xml:space="preserve">Entrada S/PDIF (estéreo únicamente)</w:t>
            </w:r>
          </w:p>
        </w:tc>
      </w:tr>
    </w:tbl>
    <w:p>
      <w:pPr>
        <w:pStyle w:val="Heading2"/>
        <w:spacing w:after="120" w:before="240"/>
      </w:pPr>
      <w:r>
        <w:t xml:space="preserve">4.3 Configuración estéreo / mono</w:t>
      </w:r>
    </w:p>
    <w:p>
      <w:pPr>
        <w:spacing w:after="120"/>
      </w:pPr>
      <w:r>
        <w:t xml:space="preserve">Las entradas analógicas 1-2 (100/101) y 3-4 (102/103), así como las zonas A-B y C-D, pueden configurarse como par estéreo o como dos canales mono independientes desde el propio equipo. Cuando un par está configurado en modo estéreo, solo debe usarse el identificador más bajo del par (p. ej. ZONE-A para el par A-B, o la entrada 100 para el par 100/101); en modo mono se controla cada zona o entrada de forma independiente. El estado de esta configuración puede consultarse con GET IN-&lt;id&gt;.STEREO y GET ZONE-&lt;zona&gt;.STEREO (0 = Mono, 1 = Estéreo).</w:t>
      </w:r>
    </w:p>
    <w:p>
      <w:r>
        <w:br w:type="page"/>
      </w:r>
    </w:p>
    <w:p>
      <w:pPr>
        <w:pStyle w:val="Heading1"/>
        <w:spacing w:after="150" w:before="300"/>
      </w:pPr>
      <w:r>
        <w:t xml:space="preserve">5. Tabla de comandos de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200"/>
        <w:gridCol w:w="2000"/>
      </w:tblGrid>
      <w:tr>
        <w:trPr>
          <w:tblHeader/>
        </w:trPr>
        <w:tc>
          <w:tcPr>
            <w:tcW w:type="dxa" w:w="2500"/>
            <w:shd w:fill="1F3864" w:val="clear"/>
            <w:tcMar>
              <w:top w:type="dxa" w:w="80"/>
              <w:left w:type="dxa" w:w="100"/>
              <w:bottom w:type="dxa" w:w="80"/>
              <w:right w:type="dxa" w:w="100"/>
            </w:tcMar>
            <w:vAlign w:val="center"/>
          </w:tcPr>
          <w:p>
            <w:r>
              <w:rPr>
                <w:b/>
                <w:bCs/>
                <w:color w:val="FFFFFF"/>
                <w:sz w:val="20"/>
                <w:szCs w:val="20"/>
              </w:rPr>
              <w:t xml:space="preserve">Función</w:t>
            </w:r>
          </w:p>
        </w:tc>
        <w:tc>
          <w:tcPr>
            <w:tcW w:type="dxa" w:w="2900"/>
            <w:shd w:fill="1F3864" w:val="clear"/>
            <w:tcMar>
              <w:top w:type="dxa" w:w="80"/>
              <w:left w:type="dxa" w:w="100"/>
              <w:bottom w:type="dxa" w:w="80"/>
              <w:right w:type="dxa" w:w="100"/>
            </w:tcMar>
            <w:vAlign w:val="center"/>
          </w:tcPr>
          <w:p>
            <w:r>
              <w:rPr>
                <w:b/>
                <w:bCs/>
                <w:color w:val="FFFFFF"/>
                <w:sz w:val="20"/>
                <w:szCs w:val="20"/>
              </w:rPr>
              <w:t xml:space="preserve">Comando</w:t>
            </w:r>
          </w:p>
        </w:tc>
        <w:tc>
          <w:tcPr>
            <w:tcW w:type="dxa" w:w="2200"/>
            <w:shd w:fill="1F3864" w:val="clear"/>
            <w:tcMar>
              <w:top w:type="dxa" w:w="80"/>
              <w:left w:type="dxa" w:w="100"/>
              <w:bottom w:type="dxa" w:w="80"/>
              <w:right w:type="dxa" w:w="100"/>
            </w:tcMar>
            <w:vAlign w:val="center"/>
          </w:tcPr>
          <w:p>
            <w:r>
              <w:rPr>
                <w:b/>
                <w:bCs/>
                <w:color w:val="FFFFFF"/>
                <w:sz w:val="20"/>
                <w:szCs w:val="20"/>
              </w:rPr>
              <w:t xml:space="preserve">Ejemplo</w:t>
            </w:r>
          </w:p>
        </w:tc>
        <w:tc>
          <w:tcPr>
            <w:tcW w:type="dxa" w:w="2000"/>
            <w:shd w:fill="1F3864" w:val="clear"/>
            <w:tcMar>
              <w:top w:type="dxa" w:w="80"/>
              <w:left w:type="dxa" w:w="100"/>
              <w:bottom w:type="dxa" w:w="80"/>
              <w:right w:type="dxa" w:w="100"/>
            </w:tcMar>
            <w:vAlign w:val="center"/>
          </w:tcPr>
          <w:p>
            <w:r>
              <w:rPr>
                <w:b/>
                <w:bCs/>
                <w:color w:val="FFFFFF"/>
                <w:sz w:val="20"/>
                <w:szCs w:val="20"/>
              </w:rPr>
              <w:t xml:space="preserve">Notas</w:t>
            </w:r>
          </w:p>
        </w:tc>
      </w:tr>
      <w:tr>
        <w:tc>
          <w:tcPr>
            <w:tcW w:type="dxa" w:w="2500"/>
            <w:shd w:fill="FFFFFF" w:val="clear"/>
            <w:tcMar>
              <w:top w:type="dxa" w:w="60"/>
              <w:left w:type="dxa" w:w="100"/>
              <w:bottom w:type="dxa" w:w="60"/>
              <w:right w:type="dxa" w:w="100"/>
            </w:tcMar>
          </w:tcPr>
          <w:p>
            <w:r>
              <w:rPr>
                <w:sz w:val="20"/>
                <w:szCs w:val="20"/>
              </w:rPr>
              <w:t xml:space="preserve">Encender equipo</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POWER_ON</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POWER_ON</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Sin ruta; sacar de standby</w:t>
            </w:r>
          </w:p>
        </w:tc>
      </w:tr>
      <w:tr>
        <w:tc>
          <w:tcPr>
            <w:tcW w:type="dxa" w:w="2500"/>
            <w:shd w:fill="F2F2F2" w:val="clear"/>
            <w:tcMar>
              <w:top w:type="dxa" w:w="60"/>
              <w:left w:type="dxa" w:w="100"/>
              <w:bottom w:type="dxa" w:w="60"/>
              <w:right w:type="dxa" w:w="100"/>
            </w:tcMar>
          </w:tcPr>
          <w:p>
            <w:r>
              <w:rPr>
                <w:sz w:val="20"/>
                <w:szCs w:val="20"/>
              </w:rPr>
              <w:t xml:space="preserve">Apagar equipo (standby)</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POWER_OFF</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POWER_OFF</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Sin ruta</w:t>
            </w:r>
          </w:p>
        </w:tc>
      </w:tr>
      <w:tr>
        <w:tc>
          <w:tcPr>
            <w:tcW w:type="dxa" w:w="2500"/>
            <w:shd w:fill="FFFFFF" w:val="clear"/>
            <w:tcMar>
              <w:top w:type="dxa" w:w="60"/>
              <w:left w:type="dxa" w:w="100"/>
              <w:bottom w:type="dxa" w:w="60"/>
              <w:right w:type="dxa" w:w="100"/>
            </w:tcMar>
          </w:tcPr>
          <w:p>
            <w:r>
              <w:rPr>
                <w:sz w:val="20"/>
                <w:szCs w:val="20"/>
              </w:rPr>
              <w:t xml:space="preserve">Activar identificación (LED)</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SET SETUP.SYSTEM.LOCATING 1</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SET SETUP.SYSTEM.LOCATING 1</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2F2F2" w:val="clear"/>
            <w:tcMar>
              <w:top w:type="dxa" w:w="60"/>
              <w:left w:type="dxa" w:w="100"/>
              <w:bottom w:type="dxa" w:w="60"/>
              <w:right w:type="dxa" w:w="100"/>
            </w:tcMar>
          </w:tcPr>
          <w:p>
            <w:r>
              <w:rPr>
                <w:sz w:val="20"/>
                <w:szCs w:val="20"/>
              </w:rPr>
              <w:t xml:space="preserve">Desactivar identificación</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SET SETUP.SYSTEM.LOCATING 0</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SET SETUP.SYSTEM.LOCATING 0</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FFFFF" w:val="clear"/>
            <w:tcMar>
              <w:top w:type="dxa" w:w="60"/>
              <w:left w:type="dxa" w:w="100"/>
              <w:bottom w:type="dxa" w:w="60"/>
              <w:right w:type="dxa" w:w="100"/>
            </w:tcMar>
          </w:tcPr>
          <w:p>
            <w:r>
              <w:rPr>
                <w:sz w:val="20"/>
                <w:szCs w:val="20"/>
              </w:rPr>
              <w:t xml:space="preserve">Seleccionar fuente de zona</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SET ZONE-&lt;z&gt;.PRIMARY_SRC &lt;in&gt;</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SET ZONE-A.PRIMARY_SRC 101</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z = A|B|C|D ; in = 100/101/102/103/200</w:t>
            </w:r>
          </w:p>
        </w:tc>
      </w:tr>
      <w:tr>
        <w:tc>
          <w:tcPr>
            <w:tcW w:type="dxa" w:w="2500"/>
            <w:shd w:fill="F2F2F2" w:val="clear"/>
            <w:tcMar>
              <w:top w:type="dxa" w:w="60"/>
              <w:left w:type="dxa" w:w="100"/>
              <w:bottom w:type="dxa" w:w="60"/>
              <w:right w:type="dxa" w:w="100"/>
            </w:tcMar>
          </w:tcPr>
          <w:p>
            <w:r>
              <w:rPr>
                <w:sz w:val="20"/>
                <w:szCs w:val="20"/>
              </w:rPr>
              <w:t xml:space="preserve">Fijar volumen (nivel absoluto)</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SET ZONE-&lt;z&gt;.GAIN &lt;dB&gt;</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SET ZONE-A.GAIN -20</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Entero, rango -80 (mín.) a 0 (máx.), en dB</w:t>
            </w:r>
          </w:p>
        </w:tc>
      </w:tr>
      <w:tr>
        <w:tc>
          <w:tcPr>
            <w:tcW w:type="dxa" w:w="2500"/>
            <w:shd w:fill="FFFFFF" w:val="clear"/>
            <w:tcMar>
              <w:top w:type="dxa" w:w="60"/>
              <w:left w:type="dxa" w:w="100"/>
              <w:bottom w:type="dxa" w:w="60"/>
              <w:right w:type="dxa" w:w="100"/>
            </w:tcMar>
          </w:tcPr>
          <w:p>
            <w:r>
              <w:rPr>
                <w:sz w:val="20"/>
                <w:szCs w:val="20"/>
              </w:rPr>
              <w:t xml:space="preserve">Silenciar zona</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SET ZONE-&lt;z&gt;.MUTE 1</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SET ZONE-A.MUTE 1</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2F2F2" w:val="clear"/>
            <w:tcMar>
              <w:top w:type="dxa" w:w="60"/>
              <w:left w:type="dxa" w:w="100"/>
              <w:bottom w:type="dxa" w:w="60"/>
              <w:right w:type="dxa" w:w="100"/>
            </w:tcMar>
          </w:tcPr>
          <w:p>
            <w:r>
              <w:rPr>
                <w:sz w:val="20"/>
                <w:szCs w:val="20"/>
              </w:rPr>
              <w:t xml:space="preserve">Quitar silencio de zona</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SET ZONE-&lt;z&gt;.MUTE 0</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SET ZONE-A.MUTE 0</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FFFFF" w:val="clear"/>
            <w:tcMar>
              <w:top w:type="dxa" w:w="60"/>
              <w:left w:type="dxa" w:w="100"/>
              <w:bottom w:type="dxa" w:w="60"/>
              <w:right w:type="dxa" w:w="100"/>
            </w:tcMar>
          </w:tcPr>
          <w:p>
            <w:r>
              <w:rPr>
                <w:sz w:val="20"/>
                <w:szCs w:val="20"/>
              </w:rPr>
              <w:t xml:space="preserve">Consultar volumen de una zona</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GET ZONE-&lt;z&gt;.GAIN</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GET ZONE-A.GAIN</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2F2F2" w:val="clear"/>
            <w:tcMar>
              <w:top w:type="dxa" w:w="60"/>
              <w:left w:type="dxa" w:w="100"/>
              <w:bottom w:type="dxa" w:w="60"/>
              <w:right w:type="dxa" w:w="100"/>
            </w:tcMar>
          </w:tcPr>
          <w:p>
            <w:r>
              <w:rPr>
                <w:sz w:val="20"/>
                <w:szCs w:val="20"/>
              </w:rPr>
              <w:t xml:space="preserve">Consultar volumen de todas</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GET ZONE-*.GAIN</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GET ZONE-*.GAIN</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Comodín "*"</w:t>
            </w:r>
          </w:p>
        </w:tc>
      </w:tr>
      <w:tr>
        <w:tc>
          <w:tcPr>
            <w:tcW w:type="dxa" w:w="2500"/>
            <w:shd w:fill="FFFFFF" w:val="clear"/>
            <w:tcMar>
              <w:top w:type="dxa" w:w="60"/>
              <w:left w:type="dxa" w:w="100"/>
              <w:bottom w:type="dxa" w:w="60"/>
              <w:right w:type="dxa" w:w="100"/>
            </w:tcMar>
          </w:tcPr>
          <w:p>
            <w:r>
              <w:rPr>
                <w:sz w:val="20"/>
                <w:szCs w:val="20"/>
              </w:rPr>
              <w:t xml:space="preserve">Consultar estado de silencio</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GET ZONE-&lt;z&gt;.MUTE</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GET ZONE-A.MUTE</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2F2F2" w:val="clear"/>
            <w:tcMar>
              <w:top w:type="dxa" w:w="60"/>
              <w:left w:type="dxa" w:w="100"/>
              <w:bottom w:type="dxa" w:w="60"/>
              <w:right w:type="dxa" w:w="100"/>
            </w:tcMar>
          </w:tcPr>
          <w:p>
            <w:r>
              <w:rPr>
                <w:sz w:val="20"/>
                <w:szCs w:val="20"/>
              </w:rPr>
              <w:t xml:space="preserve">Consultar fuente activa</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GET ZONE-&lt;z&gt;.PRIMARY_SRC</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GET ZONE-A.PRIMARY_SRC</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FFFFF" w:val="clear"/>
            <w:tcMar>
              <w:top w:type="dxa" w:w="60"/>
              <w:left w:type="dxa" w:w="100"/>
              <w:bottom w:type="dxa" w:w="60"/>
              <w:right w:type="dxa" w:w="100"/>
            </w:tcMar>
          </w:tcPr>
          <w:p>
            <w:r>
              <w:rPr>
                <w:sz w:val="20"/>
                <w:szCs w:val="20"/>
              </w:rPr>
              <w:t xml:space="preserve">Consultar estéreo/mono de entrada</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GET IN-&lt;n&gt;.STEREO</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GET IN-100.STEREO</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2F2F2" w:val="clear"/>
            <w:tcMar>
              <w:top w:type="dxa" w:w="60"/>
              <w:left w:type="dxa" w:w="100"/>
              <w:bottom w:type="dxa" w:w="60"/>
              <w:right w:type="dxa" w:w="100"/>
            </w:tcMar>
          </w:tcPr>
          <w:p>
            <w:r>
              <w:rPr>
                <w:sz w:val="20"/>
                <w:szCs w:val="20"/>
              </w:rPr>
              <w:t xml:space="preserve">Consultar estéreo/mono de zona</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GET ZONE-&lt;z&gt;.STEREO</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GET ZONE-A.STEREO</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
            </w:r>
          </w:p>
        </w:tc>
      </w:tr>
      <w:tr>
        <w:tc>
          <w:tcPr>
            <w:tcW w:type="dxa" w:w="2500"/>
            <w:shd w:fill="FFFFFF" w:val="clear"/>
            <w:tcMar>
              <w:top w:type="dxa" w:w="60"/>
              <w:left w:type="dxa" w:w="100"/>
              <w:bottom w:type="dxa" w:w="60"/>
              <w:right w:type="dxa" w:w="100"/>
            </w:tcMar>
          </w:tcPr>
          <w:p>
            <w:r>
              <w:rPr>
                <w:sz w:val="20"/>
                <w:szCs w:val="20"/>
              </w:rPr>
              <w:t xml:space="preserve">Suscribirse a cambios de configuración</w:t>
            </w:r>
          </w:p>
        </w:tc>
        <w:tc>
          <w:tcPr>
            <w:tcW w:type="dxa" w:w="2900"/>
            <w:shd w:fill="FFFFFF" w:val="clear"/>
            <w:tcMar>
              <w:top w:type="dxa" w:w="60"/>
              <w:left w:type="dxa" w:w="100"/>
              <w:bottom w:type="dxa" w:w="60"/>
              <w:right w:type="dxa" w:w="100"/>
            </w:tcMar>
          </w:tcPr>
          <w:p>
            <w:r>
              <w:rPr>
                <w:rFonts w:ascii="Consolas" w:cs="Consolas" w:eastAsia="Consolas" w:hAnsi="Consolas"/>
                <w:sz w:val="20"/>
                <w:szCs w:val="20"/>
              </w:rPr>
              <w:t xml:space="preserve">SUBSCRIBE REG</w:t>
            </w:r>
          </w:p>
        </w:tc>
        <w:tc>
          <w:tcPr>
            <w:tcW w:type="dxa" w:w="2200"/>
            <w:shd w:fill="FFFFFF" w:val="clear"/>
            <w:tcMar>
              <w:top w:type="dxa" w:w="60"/>
              <w:left w:type="dxa" w:w="100"/>
              <w:bottom w:type="dxa" w:w="60"/>
              <w:right w:type="dxa" w:w="100"/>
            </w:tcMar>
          </w:tcPr>
          <w:p>
            <w:r>
              <w:rPr>
                <w:rFonts w:ascii="Consolas" w:cs="Consolas" w:eastAsia="Consolas" w:hAnsi="Consolas"/>
                <w:sz w:val="20"/>
                <w:szCs w:val="20"/>
              </w:rPr>
              <w:t xml:space="preserve">SUBSCRIBE REG</w:t>
            </w:r>
          </w:p>
        </w:tc>
        <w:tc>
          <w:tcPr>
            <w:tcW w:type="dxa" w:w="2000"/>
            <w:shd w:fill="FFFFFF" w:val="clear"/>
            <w:tcMar>
              <w:top w:type="dxa" w:w="60"/>
              <w:left w:type="dxa" w:w="100"/>
              <w:bottom w:type="dxa" w:w="60"/>
              <w:right w:type="dxa" w:w="100"/>
            </w:tcMar>
          </w:tcPr>
          <w:p>
            <w:r>
              <w:rPr>
                <w:rFonts w:ascii="Consolas" w:cs="Consolas" w:eastAsia="Consolas" w:hAnsi="Consolas"/>
                <w:sz w:val="20"/>
                <w:szCs w:val="20"/>
              </w:rPr>
              <w:t xml:space="preserve">Feedback ante cambios de registro/config</w:t>
            </w:r>
          </w:p>
        </w:tc>
      </w:tr>
      <w:tr>
        <w:tc>
          <w:tcPr>
            <w:tcW w:type="dxa" w:w="2500"/>
            <w:shd w:fill="F2F2F2" w:val="clear"/>
            <w:tcMar>
              <w:top w:type="dxa" w:w="60"/>
              <w:left w:type="dxa" w:w="100"/>
              <w:bottom w:type="dxa" w:w="60"/>
              <w:right w:type="dxa" w:w="100"/>
            </w:tcMar>
          </w:tcPr>
          <w:p>
            <w:r>
              <w:rPr>
                <w:sz w:val="20"/>
                <w:szCs w:val="20"/>
              </w:rPr>
              <w:t xml:space="preserve">Suscribirse a valores dinámicos (VU, señal)</w:t>
            </w:r>
          </w:p>
        </w:tc>
        <w:tc>
          <w:tcPr>
            <w:tcW w:type="dxa" w:w="2900"/>
            <w:shd w:fill="F2F2F2" w:val="clear"/>
            <w:tcMar>
              <w:top w:type="dxa" w:w="60"/>
              <w:left w:type="dxa" w:w="100"/>
              <w:bottom w:type="dxa" w:w="60"/>
              <w:right w:type="dxa" w:w="100"/>
            </w:tcMar>
          </w:tcPr>
          <w:p>
            <w:r>
              <w:rPr>
                <w:rFonts w:ascii="Consolas" w:cs="Consolas" w:eastAsia="Consolas" w:hAnsi="Consolas"/>
                <w:sz w:val="20"/>
                <w:szCs w:val="20"/>
              </w:rPr>
              <w:t xml:space="preserve">SUBSCRIBE DYN &lt;seg&gt;</w:t>
            </w:r>
          </w:p>
        </w:tc>
        <w:tc>
          <w:tcPr>
            <w:tcW w:type="dxa" w:w="2200"/>
            <w:shd w:fill="F2F2F2" w:val="clear"/>
            <w:tcMar>
              <w:top w:type="dxa" w:w="60"/>
              <w:left w:type="dxa" w:w="100"/>
              <w:bottom w:type="dxa" w:w="60"/>
              <w:right w:type="dxa" w:w="100"/>
            </w:tcMar>
          </w:tcPr>
          <w:p>
            <w:r>
              <w:rPr>
                <w:rFonts w:ascii="Consolas" w:cs="Consolas" w:eastAsia="Consolas" w:hAnsi="Consolas"/>
                <w:sz w:val="20"/>
                <w:szCs w:val="20"/>
              </w:rPr>
              <w:t xml:space="preserve">SUBSCRIBE DYN 0.2</w:t>
            </w:r>
          </w:p>
        </w:tc>
        <w:tc>
          <w:tcPr>
            <w:tcW w:type="dxa" w:w="2000"/>
            <w:shd w:fill="F2F2F2" w:val="clear"/>
            <w:tcMar>
              <w:top w:type="dxa" w:w="60"/>
              <w:left w:type="dxa" w:w="100"/>
              <w:bottom w:type="dxa" w:w="60"/>
              <w:right w:type="dxa" w:w="100"/>
            </w:tcMar>
          </w:tcPr>
          <w:p>
            <w:r>
              <w:rPr>
                <w:rFonts w:ascii="Consolas" w:cs="Consolas" w:eastAsia="Consolas" w:hAnsi="Consolas"/>
                <w:sz w:val="20"/>
                <w:szCs w:val="20"/>
              </w:rPr>
              <w:t xml:space="preserve">Streaming continuo de nivel de señal</w:t>
            </w:r>
          </w:p>
        </w:tc>
      </w:tr>
    </w:tbl>
    <w:p>
      <w:pPr>
        <w:spacing w:after="120"/>
      </w:pPr>
      <w:r>
        <w:t xml:space="preserve">El paso de volumen (Volume Step, subir/bajar) no envía un comando dedicado: el driver calcula internamente el nuevo nivel absoluto (nivel actual ± tamaño de paso, 1 a 10 dB) y lo envía como SET ZONE-&lt;z&gt;.GAIN &lt;nuevo_nivel&gt;.</w:t>
      </w:r>
    </w:p>
    <w:p>
      <w:pPr>
        <w:pStyle w:val="Heading1"/>
        <w:spacing w:after="150" w:before="300"/>
      </w:pPr>
      <w:r>
        <w:t xml:space="preserve">6. Feedback asíncrono (estados reportados por el equipo)</w:t>
      </w:r>
    </w:p>
    <w:p>
      <w:pPr>
        <w:spacing w:after="120"/>
      </w:pPr>
      <w:r>
        <w:t xml:space="preserve">Una vez enviado SUBSCRIBE REG y SUBSCRIBE DYN, o tras cada GET/SET, el equipo reporta cambios de forma asíncrona con estas rutas: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00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Ruta</w:t>
            </w:r>
          </w:p>
        </w:tc>
        <w:tc>
          <w:tcPr>
            <w:tcW w:type="dxa" w:w="3700"/>
            <w:shd w:fill="1F3864" w:val="clear"/>
            <w:tcMar>
              <w:top w:type="dxa" w:w="80"/>
              <w:left w:type="dxa" w:w="100"/>
              <w:bottom w:type="dxa" w:w="80"/>
              <w:right w:type="dxa" w:w="100"/>
            </w:tcMar>
            <w:vAlign w:val="center"/>
          </w:tcPr>
          <w:p>
            <w:r>
              <w:rPr>
                <w:b/>
                <w:bCs/>
                <w:color w:val="FFFFFF"/>
                <w:sz w:val="20"/>
                <w:szCs w:val="20"/>
              </w:rPr>
              <w:t xml:space="preserve">Significado</w:t>
            </w:r>
          </w:p>
        </w:tc>
        <w:tc>
          <w:tcPr>
            <w:tcW w:type="dxa" w:w="3000"/>
            <w:shd w:fill="1F3864" w:val="clear"/>
            <w:tcMar>
              <w:top w:type="dxa" w:w="80"/>
              <w:left w:type="dxa" w:w="100"/>
              <w:bottom w:type="dxa" w:w="80"/>
              <w:right w:type="dxa" w:w="100"/>
            </w:tcMar>
            <w:vAlign w:val="center"/>
          </w:tcPr>
          <w:p>
            <w:r>
              <w:rPr>
                <w:b/>
                <w:bCs/>
                <w:color w:val="FFFFFF"/>
                <w:sz w:val="20"/>
                <w:szCs w:val="20"/>
              </w:rPr>
              <w:t xml:space="preserve">Valores</w:t>
            </w:r>
          </w:p>
        </w:tc>
      </w:tr>
      <w:tr>
        <w:tc>
          <w:tcPr>
            <w:tcW w:type="dxa" w:w="2900"/>
            <w:shd w:fill="FFFFFF" w:val="clear"/>
            <w:tcMar>
              <w:top w:type="dxa" w:w="60"/>
              <w:left w:type="dxa" w:w="100"/>
              <w:bottom w:type="dxa" w:w="60"/>
              <w:right w:type="dxa" w:w="100"/>
            </w:tcMar>
          </w:tcPr>
          <w:p>
            <w:r>
              <w:rPr>
                <w:sz w:val="20"/>
                <w:szCs w:val="20"/>
              </w:rPr>
              <w:t xml:space="preserve">+SYSTEM.STATUS.STATE</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Estado de energía</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ON / STANDBY</w:t>
            </w:r>
          </w:p>
        </w:tc>
      </w:tr>
      <w:tr>
        <w:tc>
          <w:tcPr>
            <w:tcW w:type="dxa" w:w="2900"/>
            <w:shd w:fill="F2F2F2" w:val="clear"/>
            <w:tcMar>
              <w:top w:type="dxa" w:w="60"/>
              <w:left w:type="dxa" w:w="100"/>
              <w:bottom w:type="dxa" w:w="60"/>
              <w:right w:type="dxa" w:w="100"/>
            </w:tcMar>
          </w:tcPr>
          <w:p>
            <w:r>
              <w:rPr>
                <w:sz w:val="20"/>
                <w:szCs w:val="20"/>
              </w:rPr>
              <w:t xml:space="preserve">+SYSTEM.STATUS.SIGNAL_IN</w:t>
            </w:r>
          </w:p>
        </w:tc>
        <w:tc>
          <w:tcPr>
            <w:tcW w:type="dxa" w:w="3700"/>
            <w:shd w:fill="F2F2F2" w:val="clear"/>
            <w:tcMar>
              <w:top w:type="dxa" w:w="60"/>
              <w:left w:type="dxa" w:w="100"/>
              <w:bottom w:type="dxa" w:w="60"/>
              <w:right w:type="dxa" w:w="100"/>
            </w:tcMar>
          </w:tcPr>
          <w:p>
            <w:r>
              <w:rPr>
                <w:rFonts w:ascii="Consolas" w:cs="Consolas" w:eastAsia="Consolas" w:hAnsi="Consolas"/>
                <w:sz w:val="20"/>
                <w:szCs w:val="20"/>
              </w:rPr>
              <w:t xml:space="preserve">Estado de señal de entrada (texto)</w:t>
            </w:r>
          </w:p>
        </w:tc>
        <w:tc>
          <w:tcPr>
            <w:tcW w:type="dxa" w:w="3000"/>
            <w:shd w:fill="F2F2F2" w:val="clear"/>
            <w:tcMar>
              <w:top w:type="dxa" w:w="60"/>
              <w:left w:type="dxa" w:w="100"/>
              <w:bottom w:type="dxa" w:w="60"/>
              <w:right w:type="dxa" w:w="100"/>
            </w:tcMar>
          </w:tcPr>
          <w:p>
            <w:r>
              <w:rPr>
                <w:rFonts w:ascii="Consolas" w:cs="Consolas" w:eastAsia="Consolas" w:hAnsi="Consolas"/>
                <w:sz w:val="20"/>
                <w:szCs w:val="20"/>
              </w:rPr>
              <w:t xml:space="preserve">cadena entre comillas</w:t>
            </w:r>
          </w:p>
        </w:tc>
      </w:tr>
      <w:tr>
        <w:tc>
          <w:tcPr>
            <w:tcW w:type="dxa" w:w="2900"/>
            <w:shd w:fill="FFFFFF" w:val="clear"/>
            <w:tcMar>
              <w:top w:type="dxa" w:w="60"/>
              <w:left w:type="dxa" w:w="100"/>
              <w:bottom w:type="dxa" w:w="60"/>
              <w:right w:type="dxa" w:w="100"/>
            </w:tcMar>
          </w:tcPr>
          <w:p>
            <w:r>
              <w:rPr>
                <w:sz w:val="20"/>
                <w:szCs w:val="20"/>
              </w:rPr>
              <w:t xml:space="preserve">+SYSTEM.STATUS.SIGNAL_OUT</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Estado de señal de salida (texto)</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cadena entre comillas</w:t>
            </w:r>
          </w:p>
        </w:tc>
      </w:tr>
      <w:tr>
        <w:tc>
          <w:tcPr>
            <w:tcW w:type="dxa" w:w="2900"/>
            <w:shd w:fill="F2F2F2" w:val="clear"/>
            <w:tcMar>
              <w:top w:type="dxa" w:w="60"/>
              <w:left w:type="dxa" w:w="100"/>
              <w:bottom w:type="dxa" w:w="60"/>
              <w:right w:type="dxa" w:w="100"/>
            </w:tcMar>
          </w:tcPr>
          <w:p>
            <w:r>
              <w:rPr>
                <w:sz w:val="20"/>
                <w:szCs w:val="20"/>
              </w:rPr>
              <w:t xml:space="preserve">+ZONE-&lt;z&gt;.PRIMARY_SRC</w:t>
            </w:r>
          </w:p>
        </w:tc>
        <w:tc>
          <w:tcPr>
            <w:tcW w:type="dxa" w:w="3700"/>
            <w:shd w:fill="F2F2F2" w:val="clear"/>
            <w:tcMar>
              <w:top w:type="dxa" w:w="60"/>
              <w:left w:type="dxa" w:w="100"/>
              <w:bottom w:type="dxa" w:w="60"/>
              <w:right w:type="dxa" w:w="100"/>
            </w:tcMar>
          </w:tcPr>
          <w:p>
            <w:r>
              <w:rPr>
                <w:rFonts w:ascii="Consolas" w:cs="Consolas" w:eastAsia="Consolas" w:hAnsi="Consolas"/>
                <w:sz w:val="20"/>
                <w:szCs w:val="20"/>
              </w:rPr>
              <w:t xml:space="preserve">Fuente activa de la zona</w:t>
            </w:r>
          </w:p>
        </w:tc>
        <w:tc>
          <w:tcPr>
            <w:tcW w:type="dxa" w:w="3000"/>
            <w:shd w:fill="F2F2F2" w:val="clear"/>
            <w:tcMar>
              <w:top w:type="dxa" w:w="60"/>
              <w:left w:type="dxa" w:w="100"/>
              <w:bottom w:type="dxa" w:w="60"/>
              <w:right w:type="dxa" w:w="100"/>
            </w:tcMar>
          </w:tcPr>
          <w:p>
            <w:r>
              <w:rPr>
                <w:rFonts w:ascii="Consolas" w:cs="Consolas" w:eastAsia="Consolas" w:hAnsi="Consolas"/>
                <w:sz w:val="20"/>
                <w:szCs w:val="20"/>
              </w:rPr>
              <w:t xml:space="preserve">id de entrada, p. ej. 101</w:t>
            </w:r>
          </w:p>
        </w:tc>
      </w:tr>
      <w:tr>
        <w:tc>
          <w:tcPr>
            <w:tcW w:type="dxa" w:w="2900"/>
            <w:shd w:fill="FFFFFF" w:val="clear"/>
            <w:tcMar>
              <w:top w:type="dxa" w:w="60"/>
              <w:left w:type="dxa" w:w="100"/>
              <w:bottom w:type="dxa" w:w="60"/>
              <w:right w:type="dxa" w:w="100"/>
            </w:tcMar>
          </w:tcPr>
          <w:p>
            <w:r>
              <w:rPr>
                <w:sz w:val="20"/>
                <w:szCs w:val="20"/>
              </w:rPr>
              <w:t xml:space="preserve">+ZONE-&lt;z&gt;.GAIN</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Nivel de volumen de la zona</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entero -80 a 0</w:t>
            </w:r>
          </w:p>
        </w:tc>
      </w:tr>
      <w:tr>
        <w:tc>
          <w:tcPr>
            <w:tcW w:type="dxa" w:w="2900"/>
            <w:shd w:fill="F2F2F2" w:val="clear"/>
            <w:tcMar>
              <w:top w:type="dxa" w:w="60"/>
              <w:left w:type="dxa" w:w="100"/>
              <w:bottom w:type="dxa" w:w="60"/>
              <w:right w:type="dxa" w:w="100"/>
            </w:tcMar>
          </w:tcPr>
          <w:p>
            <w:r>
              <w:rPr>
                <w:sz w:val="20"/>
                <w:szCs w:val="20"/>
              </w:rPr>
              <w:t xml:space="preserve">+ZONE-&lt;z&gt;.MUTE</w:t>
            </w:r>
          </w:p>
        </w:tc>
        <w:tc>
          <w:tcPr>
            <w:tcW w:type="dxa" w:w="3700"/>
            <w:shd w:fill="F2F2F2" w:val="clear"/>
            <w:tcMar>
              <w:top w:type="dxa" w:w="60"/>
              <w:left w:type="dxa" w:w="100"/>
              <w:bottom w:type="dxa" w:w="60"/>
              <w:right w:type="dxa" w:w="100"/>
            </w:tcMar>
          </w:tcPr>
          <w:p>
            <w:r>
              <w:rPr>
                <w:rFonts w:ascii="Consolas" w:cs="Consolas" w:eastAsia="Consolas" w:hAnsi="Consolas"/>
                <w:sz w:val="20"/>
                <w:szCs w:val="20"/>
              </w:rPr>
              <w:t xml:space="preserve">Estado de silencio de la zona</w:t>
            </w:r>
          </w:p>
        </w:tc>
        <w:tc>
          <w:tcPr>
            <w:tcW w:type="dxa" w:w="3000"/>
            <w:shd w:fill="F2F2F2" w:val="clear"/>
            <w:tcMar>
              <w:top w:type="dxa" w:w="60"/>
              <w:left w:type="dxa" w:w="100"/>
              <w:bottom w:type="dxa" w:w="60"/>
              <w:right w:type="dxa" w:w="100"/>
            </w:tcMar>
          </w:tcPr>
          <w:p>
            <w:r>
              <w:rPr>
                <w:rFonts w:ascii="Consolas" w:cs="Consolas" w:eastAsia="Consolas" w:hAnsi="Consolas"/>
                <w:sz w:val="20"/>
                <w:szCs w:val="20"/>
              </w:rPr>
              <w:t xml:space="preserve">0 / 1</w:t>
            </w:r>
          </w:p>
        </w:tc>
      </w:tr>
      <w:tr>
        <w:tc>
          <w:tcPr>
            <w:tcW w:type="dxa" w:w="2900"/>
            <w:shd w:fill="FFFFFF" w:val="clear"/>
            <w:tcMar>
              <w:top w:type="dxa" w:w="60"/>
              <w:left w:type="dxa" w:w="100"/>
              <w:bottom w:type="dxa" w:w="60"/>
              <w:right w:type="dxa" w:w="100"/>
            </w:tcMar>
          </w:tcPr>
          <w:p>
            <w:r>
              <w:rPr>
                <w:sz w:val="20"/>
                <w:szCs w:val="20"/>
              </w:rPr>
              <w:t xml:space="preserve">+ZONE-&lt;z&gt;.STEREO</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Configuración de la zona</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0 = Mono, 1 = Estéreo</w:t>
            </w:r>
          </w:p>
        </w:tc>
      </w:tr>
      <w:tr>
        <w:tc>
          <w:tcPr>
            <w:tcW w:type="dxa" w:w="2900"/>
            <w:shd w:fill="F2F2F2" w:val="clear"/>
            <w:tcMar>
              <w:top w:type="dxa" w:w="60"/>
              <w:left w:type="dxa" w:w="100"/>
              <w:bottom w:type="dxa" w:w="60"/>
              <w:right w:type="dxa" w:w="100"/>
            </w:tcMar>
          </w:tcPr>
          <w:p>
            <w:r>
              <w:rPr>
                <w:sz w:val="20"/>
                <w:szCs w:val="20"/>
              </w:rPr>
              <w:t xml:space="preserve">+ZONE-&lt;z&gt;.DYN.SIGNAL</w:t>
            </w:r>
          </w:p>
        </w:tc>
        <w:tc>
          <w:tcPr>
            <w:tcW w:type="dxa" w:w="3700"/>
            <w:shd w:fill="F2F2F2" w:val="clear"/>
            <w:tcMar>
              <w:top w:type="dxa" w:w="60"/>
              <w:left w:type="dxa" w:w="100"/>
              <w:bottom w:type="dxa" w:w="60"/>
              <w:right w:type="dxa" w:w="100"/>
            </w:tcMar>
          </w:tcPr>
          <w:p>
            <w:r>
              <w:rPr>
                <w:rFonts w:ascii="Consolas" w:cs="Consolas" w:eastAsia="Consolas" w:hAnsi="Consolas"/>
                <w:sz w:val="20"/>
                <w:szCs w:val="20"/>
              </w:rPr>
              <w:t xml:space="preserve">Nivel de señal dinámico (VU) de zona</w:t>
            </w:r>
          </w:p>
        </w:tc>
        <w:tc>
          <w:tcPr>
            <w:tcW w:type="dxa" w:w="3000"/>
            <w:shd w:fill="F2F2F2" w:val="clear"/>
            <w:tcMar>
              <w:top w:type="dxa" w:w="60"/>
              <w:left w:type="dxa" w:w="100"/>
              <w:bottom w:type="dxa" w:w="60"/>
              <w:right w:type="dxa" w:w="100"/>
            </w:tcMar>
          </w:tcPr>
          <w:p>
            <w:r>
              <w:rPr>
                <w:rFonts w:ascii="Consolas" w:cs="Consolas" w:eastAsia="Consolas" w:hAnsi="Consolas"/>
                <w:sz w:val="20"/>
                <w:szCs w:val="20"/>
              </w:rPr>
              <w:t xml:space="preserve">entero</w:t>
            </w:r>
          </w:p>
        </w:tc>
      </w:tr>
      <w:tr>
        <w:tc>
          <w:tcPr>
            <w:tcW w:type="dxa" w:w="2900"/>
            <w:shd w:fill="FFFFFF" w:val="clear"/>
            <w:tcMar>
              <w:top w:type="dxa" w:w="60"/>
              <w:left w:type="dxa" w:w="100"/>
              <w:bottom w:type="dxa" w:w="60"/>
              <w:right w:type="dxa" w:w="100"/>
            </w:tcMar>
          </w:tcPr>
          <w:p>
            <w:r>
              <w:rPr>
                <w:sz w:val="20"/>
                <w:szCs w:val="20"/>
              </w:rPr>
              <w:t xml:space="preserve">+IN-&lt;n&gt;.STEREO</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Configuración de la entrada</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0 = Mono, 1 = Estéreo</w:t>
            </w:r>
          </w:p>
        </w:tc>
      </w:tr>
      <w:tr>
        <w:tc>
          <w:tcPr>
            <w:tcW w:type="dxa" w:w="2900"/>
            <w:shd w:fill="F2F2F2" w:val="clear"/>
            <w:tcMar>
              <w:top w:type="dxa" w:w="60"/>
              <w:left w:type="dxa" w:w="100"/>
              <w:bottom w:type="dxa" w:w="60"/>
              <w:right w:type="dxa" w:w="100"/>
            </w:tcMar>
          </w:tcPr>
          <w:p>
            <w:r>
              <w:rPr>
                <w:sz w:val="20"/>
                <w:szCs w:val="20"/>
              </w:rPr>
              <w:t xml:space="preserve">+IN-&lt;n&gt;.DYN.SIGNAL</w:t>
            </w:r>
          </w:p>
        </w:tc>
        <w:tc>
          <w:tcPr>
            <w:tcW w:type="dxa" w:w="3700"/>
            <w:shd w:fill="F2F2F2" w:val="clear"/>
            <w:tcMar>
              <w:top w:type="dxa" w:w="60"/>
              <w:left w:type="dxa" w:w="100"/>
              <w:bottom w:type="dxa" w:w="60"/>
              <w:right w:type="dxa" w:w="100"/>
            </w:tcMar>
          </w:tcPr>
          <w:p>
            <w:r>
              <w:rPr>
                <w:rFonts w:ascii="Consolas" w:cs="Consolas" w:eastAsia="Consolas" w:hAnsi="Consolas"/>
                <w:sz w:val="20"/>
                <w:szCs w:val="20"/>
              </w:rPr>
              <w:t xml:space="preserve">Nivel de señal dinámico (VU) de entrada</w:t>
            </w:r>
          </w:p>
        </w:tc>
        <w:tc>
          <w:tcPr>
            <w:tcW w:type="dxa" w:w="3000"/>
            <w:shd w:fill="F2F2F2" w:val="clear"/>
            <w:tcMar>
              <w:top w:type="dxa" w:w="60"/>
              <w:left w:type="dxa" w:w="100"/>
              <w:bottom w:type="dxa" w:w="60"/>
              <w:right w:type="dxa" w:w="100"/>
            </w:tcMar>
          </w:tcPr>
          <w:p>
            <w:r>
              <w:rPr>
                <w:rFonts w:ascii="Consolas" w:cs="Consolas" w:eastAsia="Consolas" w:hAnsi="Consolas"/>
                <w:sz w:val="20"/>
                <w:szCs w:val="20"/>
              </w:rPr>
              <w:t xml:space="preserve">entero</w:t>
            </w:r>
          </w:p>
        </w:tc>
      </w:tr>
      <w:tr>
        <w:tc>
          <w:tcPr>
            <w:tcW w:type="dxa" w:w="2900"/>
            <w:shd w:fill="FFFFFF" w:val="clear"/>
            <w:tcMar>
              <w:top w:type="dxa" w:w="60"/>
              <w:left w:type="dxa" w:w="100"/>
              <w:bottom w:type="dxa" w:w="60"/>
              <w:right w:type="dxa" w:w="100"/>
            </w:tcMar>
          </w:tcPr>
          <w:p>
            <w:r>
              <w:rPr>
                <w:sz w:val="20"/>
                <w:szCs w:val="20"/>
              </w:rPr>
              <w:t xml:space="preserve">+IN-&lt;n&gt;.DYN.CLIP</w:t>
            </w:r>
          </w:p>
        </w:tc>
        <w:tc>
          <w:tcPr>
            <w:tcW w:type="dxa" w:w="3700"/>
            <w:shd w:fill="FFFFFF" w:val="clear"/>
            <w:tcMar>
              <w:top w:type="dxa" w:w="60"/>
              <w:left w:type="dxa" w:w="100"/>
              <w:bottom w:type="dxa" w:w="60"/>
              <w:right w:type="dxa" w:w="100"/>
            </w:tcMar>
          </w:tcPr>
          <w:p>
            <w:r>
              <w:rPr>
                <w:rFonts w:ascii="Consolas" w:cs="Consolas" w:eastAsia="Consolas" w:hAnsi="Consolas"/>
                <w:sz w:val="20"/>
                <w:szCs w:val="20"/>
              </w:rPr>
              <w:t xml:space="preserve">Recorte (clipping) de la entrada</w:t>
            </w:r>
          </w:p>
        </w:tc>
        <w:tc>
          <w:tcPr>
            <w:tcW w:type="dxa" w:w="3000"/>
            <w:shd w:fill="FFFFFF" w:val="clear"/>
            <w:tcMar>
              <w:top w:type="dxa" w:w="60"/>
              <w:left w:type="dxa" w:w="100"/>
              <w:bottom w:type="dxa" w:w="60"/>
              <w:right w:type="dxa" w:w="100"/>
            </w:tcMar>
          </w:tcPr>
          <w:p>
            <w:r>
              <w:rPr>
                <w:rFonts w:ascii="Consolas" w:cs="Consolas" w:eastAsia="Consolas" w:hAnsi="Consolas"/>
                <w:sz w:val="20"/>
                <w:szCs w:val="20"/>
              </w:rPr>
              <w:t xml:space="preserve">0 / 1</w:t>
            </w:r>
          </w:p>
        </w:tc>
      </w:tr>
    </w:tbl>
    <w:p>
      <w:pPr>
        <w:pStyle w:val="Heading1"/>
        <w:spacing w:after="150" w:before="300"/>
      </w:pPr>
      <w:r>
        <w:t xml:space="preserve">7. Secuencia de inicialización recomendada</w:t>
      </w:r>
    </w:p>
    <w:p>
      <w:pPr>
        <w:spacing w:after="120"/>
      </w:pPr>
      <w:r>
        <w:t xml:space="preserve">Al establecer la conexión TCP, se recomienda replicar la secuencia usada por los drivers analizados para sincronizar el estado inicial:</w:t>
      </w:r>
    </w:p>
    <w:p>
      <w:pPr>
        <w:pStyle w:val="ListParagraph"/>
        <w:numPr>
          <w:ilvl w:val="0"/>
          <w:numId w:val="1"/>
        </w:numPr>
        <w:spacing w:after="60"/>
      </w:pPr>
      <w:r>
        <w:t xml:space="preserve">1. Abrir conexión TCP al puerto 7621.</w:t>
      </w:r>
    </w:p>
    <w:p>
      <w:pPr>
        <w:pStyle w:val="ListParagraph"/>
        <w:numPr>
          <w:ilvl w:val="0"/>
          <w:numId w:val="1"/>
        </w:numPr>
        <w:spacing w:after="60"/>
      </w:pPr>
      <w:r>
        <w:t xml:space="preserve">2. GET ZONE-*.GAIN</w:t>
      </w:r>
    </w:p>
    <w:p>
      <w:pPr>
        <w:pStyle w:val="ListParagraph"/>
        <w:numPr>
          <w:ilvl w:val="0"/>
          <w:numId w:val="1"/>
        </w:numPr>
        <w:spacing w:after="60"/>
      </w:pPr>
      <w:r>
        <w:t xml:space="preserve">3. GET ZONE-*.MUTE</w:t>
      </w:r>
    </w:p>
    <w:p>
      <w:pPr>
        <w:pStyle w:val="ListParagraph"/>
        <w:numPr>
          <w:ilvl w:val="0"/>
          <w:numId w:val="1"/>
        </w:numPr>
        <w:spacing w:after="60"/>
      </w:pPr>
      <w:r>
        <w:t xml:space="preserve">4. GET ZONE-*.PRIMARY_SRC</w:t>
      </w:r>
    </w:p>
    <w:p>
      <w:pPr>
        <w:pStyle w:val="ListParagraph"/>
        <w:numPr>
          <w:ilvl w:val="0"/>
          <w:numId w:val="1"/>
        </w:numPr>
        <w:spacing w:after="60"/>
      </w:pPr>
      <w:r>
        <w:t xml:space="preserve">5. GET IN-*.STEREO</w:t>
      </w:r>
    </w:p>
    <w:p>
      <w:pPr>
        <w:pStyle w:val="ListParagraph"/>
        <w:numPr>
          <w:ilvl w:val="0"/>
          <w:numId w:val="1"/>
        </w:numPr>
        <w:spacing w:after="60"/>
      </w:pPr>
      <w:r>
        <w:t xml:space="preserve">6. GET ZONE-*.STEREO</w:t>
      </w:r>
    </w:p>
    <w:p>
      <w:pPr>
        <w:pStyle w:val="ListParagraph"/>
        <w:numPr>
          <w:ilvl w:val="0"/>
          <w:numId w:val="1"/>
        </w:numPr>
        <w:spacing w:after="60"/>
      </w:pPr>
      <w:r>
        <w:t xml:space="preserve">7. SUBSCRIBE REG</w:t>
      </w:r>
    </w:p>
    <w:p>
      <w:pPr>
        <w:pStyle w:val="ListParagraph"/>
        <w:numPr>
          <w:ilvl w:val="0"/>
          <w:numId w:val="1"/>
        </w:numPr>
        <w:spacing w:after="60"/>
      </w:pPr>
      <w:r>
        <w:t xml:space="preserve">8. SUBSCRIBE DYN &lt;periodo_de_poll&gt;</w:t>
      </w:r>
    </w:p>
    <w:p>
      <w:pPr>
        <w:spacing w:after="120"/>
      </w:pPr>
      <w:r>
        <w:t xml:space="preserve">A partir de este punto, el amplificador enviará feedback asíncrono ante cualquier cambio de estado, sea originado de forma local (panel/app del equipo) o remota (por este mismo canal u otro cliente).</w:t>
      </w:r>
    </w:p>
    <w:p>
      <w:pPr>
        <w:pStyle w:val="Heading1"/>
        <w:spacing w:after="150" w:before="300"/>
      </w:pPr>
      <w:r>
        <w:t xml:space="preserve">8. Notas de implementación y resolución de problemas</w:t>
      </w:r>
    </w:p>
    <w:p>
      <w:pPr>
        <w:pStyle w:val="ListParagraph"/>
        <w:numPr>
          <w:ilvl w:val="0"/>
          <w:numId w:val="1"/>
        </w:numPr>
        <w:spacing w:after="60"/>
      </w:pPr>
      <w:r>
        <w:t xml:space="preserve">Configurar una IP estática en el amplificador antes de la puesta en marcha.</w:t>
      </w:r>
    </w:p>
    <w:p>
      <w:pPr>
        <w:pStyle w:val="ListParagraph"/>
        <w:numPr>
          <w:ilvl w:val="0"/>
          <w:numId w:val="1"/>
        </w:numPr>
        <w:spacing w:after="60"/>
      </w:pPr>
      <w:r>
        <w:t xml:space="preserve">Verificar que Settings &gt; Power Management no esté en modo Eco, o el equipo no responderá a POWER_ON estando en standby.</w:t>
      </w:r>
    </w:p>
    <w:p>
      <w:pPr>
        <w:pStyle w:val="ListParagraph"/>
        <w:numPr>
          <w:ilvl w:val="0"/>
          <w:numId w:val="1"/>
        </w:numPr>
        <w:spacing w:after="60"/>
      </w:pPr>
      <w:r>
        <w:t xml:space="preserve">El driver de referencia no implementa reintentos automáticos de conexión (retry = 0); se recomienda implementar lógica de reconexión en la capa de integración.</w:t>
      </w:r>
    </w:p>
    <w:p>
      <w:pPr>
        <w:pStyle w:val="ListParagraph"/>
        <w:numPr>
          <w:ilvl w:val="0"/>
          <w:numId w:val="1"/>
        </w:numPr>
        <w:spacing w:after="60"/>
      </w:pPr>
      <w:r>
        <w:t xml:space="preserve">No hay mecanismo de ping/keep-alive nativo; mantener viva la sesión mediante el poll periódico o el SUBSCRIBE activo.</w:t>
      </w:r>
    </w:p>
    <w:p>
      <w:pPr>
        <w:pStyle w:val="ListParagraph"/>
        <w:numPr>
          <w:ilvl w:val="0"/>
          <w:numId w:val="1"/>
        </w:numPr>
        <w:spacing w:after="60"/>
      </w:pPr>
      <w:r>
        <w:t xml:space="preserve">Ante fallos de análisis de una respuesta, buscar líneas que contengan “#”, que indican un error reportado por el equipo.</w:t>
      </w:r>
    </w:p>
    <w:p>
      <w:pPr>
        <w:pStyle w:val="ListParagraph"/>
        <w:numPr>
          <w:ilvl w:val="0"/>
          <w:numId w:val="1"/>
        </w:numPr>
        <w:spacing w:after="60"/>
      </w:pPr>
      <w:r>
        <w:t xml:space="preserve">Confirmar el switch de red al que está conectado el amplificador esté en la misma red/VLAN que el controlador.</w:t>
      </w:r>
    </w:p>
    <w:p>
      <w:pPr>
        <w:pStyle w:val="Heading1"/>
        <w:spacing w:after="150" w:before="300"/>
      </w:pPr>
      <w:r>
        <w:t xml:space="preserve">9. Fuentes analizadas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0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Plataforma</w:t>
            </w:r>
          </w:p>
        </w:tc>
        <w:tc>
          <w:tcPr>
            <w:tcW w:type="dxa" w:w="3200"/>
            <w:shd w:fill="1F3864" w:val="clear"/>
            <w:tcMar>
              <w:top w:type="dxa" w:w="80"/>
              <w:left w:type="dxa" w:w="100"/>
              <w:bottom w:type="dxa" w:w="80"/>
              <w:right w:type="dxa" w:w="100"/>
            </w:tcMar>
            <w:vAlign w:val="center"/>
          </w:tcPr>
          <w:p>
            <w:r>
              <w:rPr>
                <w:b/>
                <w:bCs/>
                <w:color w:val="FFFFFF"/>
                <w:sz w:val="20"/>
                <w:szCs w:val="20"/>
              </w:rPr>
              <w:t xml:space="preserve">Archivo(s)</w:t>
            </w:r>
          </w:p>
        </w:tc>
        <w:tc>
          <w:tcPr>
            <w:tcW w:type="dxa" w:w="4600"/>
            <w:shd w:fill="1F3864" w:val="clear"/>
            <w:tcMar>
              <w:top w:type="dxa" w:w="80"/>
              <w:left w:type="dxa" w:w="100"/>
              <w:bottom w:type="dxa" w:w="80"/>
              <w:right w:type="dxa" w:w="100"/>
            </w:tcMar>
            <w:vAlign w:val="center"/>
          </w:tcPr>
          <w:p>
            <w:r>
              <w:rPr>
                <w:b/>
                <w:bCs/>
                <w:color w:val="FFFFFF"/>
                <w:sz w:val="20"/>
                <w:szCs w:val="20"/>
              </w:rPr>
              <w:t xml:space="preserve">Resultado del análisis</w:t>
            </w:r>
          </w:p>
        </w:tc>
      </w:tr>
      <w:tr>
        <w:tc>
          <w:tcPr>
            <w:tcW w:type="dxa" w:w="1800"/>
            <w:shd w:fill="FFFFFF" w:val="clear"/>
            <w:tcMar>
              <w:top w:type="dxa" w:w="60"/>
              <w:left w:type="dxa" w:w="100"/>
              <w:bottom w:type="dxa" w:w="60"/>
              <w:right w:type="dxa" w:w="100"/>
            </w:tcMar>
          </w:tcPr>
          <w:p>
            <w:r>
              <w:rPr>
                <w:sz w:val="20"/>
                <w:szCs w:val="20"/>
              </w:rPr>
              <w:t xml:space="preserve">Crestron 1.0.1</w:t>
            </w:r>
          </w:p>
        </w:tc>
        <w:tc>
          <w:tcPr>
            <w:tcW w:type="dxa" w:w="3200"/>
            <w:shd w:fill="FFFFFF" w:val="clear"/>
            <w:tcMar>
              <w:top w:type="dxa" w:w="60"/>
              <w:left w:type="dxa" w:w="100"/>
              <w:bottom w:type="dxa" w:w="60"/>
              <w:right w:type="dxa" w:w="100"/>
            </w:tcMar>
          </w:tcPr>
          <w:p>
            <w:r>
              <w:rPr>
                <w:rFonts w:ascii="Consolas" w:cs="Consolas" w:eastAsia="Consolas" w:hAnsi="Consolas"/>
                <w:sz w:val="20"/>
                <w:szCs w:val="20"/>
              </w:rPr>
              <w:t xml:space="preserve">libMonitor_Audio_IA_Series_1.0.1.clz, .usp, .ush, UserGuide.pdf</w:t>
            </w:r>
          </w:p>
        </w:tc>
        <w:tc>
          <w:tcPr>
            <w:tcW w:type="dxa" w:w="4600"/>
            <w:shd w:fill="FFFFFF" w:val="clear"/>
            <w:tcMar>
              <w:top w:type="dxa" w:w="60"/>
              <w:left w:type="dxa" w:w="100"/>
              <w:bottom w:type="dxa" w:w="60"/>
              <w:right w:type="dxa" w:w="100"/>
            </w:tcMar>
          </w:tcPr>
          <w:p>
            <w:r>
              <w:rPr>
                <w:rFonts w:ascii="Consolas" w:cs="Consolas" w:eastAsia="Consolas" w:hAnsi="Consolas"/>
                <w:sz w:val="20"/>
                <w:szCs w:val="20"/>
              </w:rPr>
              <w:t xml:space="preserve">El .clz contiene una DLL .NET compilada (“Blaze.dll”); no se recuperaron tramas en texto. El .usp confirma las señales/variables expuestas al programador y el nombre de la librería “Blaze”. El UserGuide confirma requisitos de Power Management.</w:t>
            </w:r>
          </w:p>
        </w:tc>
      </w:tr>
      <w:tr>
        <w:tc>
          <w:tcPr>
            <w:tcW w:type="dxa" w:w="1800"/>
            <w:shd w:fill="F2F2F2" w:val="clear"/>
            <w:tcMar>
              <w:top w:type="dxa" w:w="60"/>
              <w:left w:type="dxa" w:w="100"/>
              <w:bottom w:type="dxa" w:w="60"/>
              <w:right w:type="dxa" w:w="100"/>
            </w:tcMar>
          </w:tcPr>
          <w:p>
            <w:r>
              <w:rPr>
                <w:sz w:val="20"/>
                <w:szCs w:val="20"/>
              </w:rPr>
              <w:t xml:space="preserve">Control4 v100</w:t>
            </w:r>
          </w:p>
        </w:tc>
        <w:tc>
          <w:tcPr>
            <w:tcW w:type="dxa" w:w="3200"/>
            <w:shd w:fill="F2F2F2" w:val="clear"/>
            <w:tcMar>
              <w:top w:type="dxa" w:w="60"/>
              <w:left w:type="dxa" w:w="100"/>
              <w:bottom w:type="dxa" w:w="60"/>
              <w:right w:type="dxa" w:w="100"/>
            </w:tcMar>
          </w:tcPr>
          <w:p>
            <w:r>
              <w:rPr>
                <w:rFonts w:ascii="Consolas" w:cs="Consolas" w:eastAsia="Consolas" w:hAnsi="Consolas"/>
                <w:sz w:val="20"/>
                <w:szCs w:val="20"/>
              </w:rPr>
              <w:t xml:space="preserve">amplifier_ip_monitor_audio_*.c4z (driver.lua.encrypted, driver.xml, userguide.rtf)</w:t>
            </w:r>
          </w:p>
        </w:tc>
        <w:tc>
          <w:tcPr>
            <w:tcW w:type="dxa" w:w="4600"/>
            <w:shd w:fill="F2F2F2" w:val="clear"/>
            <w:tcMar>
              <w:top w:type="dxa" w:w="60"/>
              <w:left w:type="dxa" w:w="100"/>
              <w:bottom w:type="dxa" w:w="60"/>
              <w:right w:type="dxa" w:w="100"/>
            </w:tcMar>
          </w:tcPr>
          <w:p>
            <w:r>
              <w:rPr>
                <w:rFonts w:ascii="Consolas" w:cs="Consolas" w:eastAsia="Consolas" w:hAnsi="Consolas"/>
                <w:sz w:val="20"/>
                <w:szCs w:val="20"/>
              </w:rPr>
              <w:t xml:space="preserve">El driver.lua está cifrado (encryption="2"); no se recuperaron tramas en texto. driver.xml confirma variables/propiedades y capacidades expuestas al integrador.</w:t>
            </w:r>
          </w:p>
        </w:tc>
      </w:tr>
      <w:tr>
        <w:tc>
          <w:tcPr>
            <w:tcW w:type="dxa" w:w="1800"/>
            <w:shd w:fill="FFFFFF" w:val="clear"/>
            <w:tcMar>
              <w:top w:type="dxa" w:w="60"/>
              <w:left w:type="dxa" w:w="100"/>
              <w:bottom w:type="dxa" w:w="60"/>
              <w:right w:type="dxa" w:w="100"/>
            </w:tcMar>
          </w:tcPr>
          <w:p>
            <w:r>
              <w:rPr>
                <w:sz w:val="20"/>
                <w:szCs w:val="20"/>
              </w:rPr>
              <w:t xml:space="preserve">RTI 1.0</w:t>
            </w:r>
          </w:p>
        </w:tc>
        <w:tc>
          <w:tcPr>
            <w:tcW w:type="dxa" w:w="3200"/>
            <w:shd w:fill="FFFFFF" w:val="clear"/>
            <w:tcMar>
              <w:top w:type="dxa" w:w="60"/>
              <w:left w:type="dxa" w:w="100"/>
              <w:bottom w:type="dxa" w:w="60"/>
              <w:right w:type="dxa" w:w="100"/>
            </w:tcMar>
          </w:tcPr>
          <w:p>
            <w:r>
              <w:rPr>
                <w:rFonts w:ascii="Consolas" w:cs="Consolas" w:eastAsia="Consolas" w:hAnsi="Consolas"/>
                <w:sz w:val="20"/>
                <w:szCs w:val="20"/>
              </w:rPr>
              <w:t xml:space="preserve">Monitor_Audio_IA_Series.rtidriver</w:t>
            </w:r>
          </w:p>
        </w:tc>
        <w:tc>
          <w:tcPr>
            <w:tcW w:type="dxa" w:w="4600"/>
            <w:shd w:fill="FFFFFF" w:val="clear"/>
            <w:tcMar>
              <w:top w:type="dxa" w:w="60"/>
              <w:left w:type="dxa" w:w="100"/>
              <w:bottom w:type="dxa" w:w="60"/>
              <w:right w:type="dxa" w:w="100"/>
            </w:tcMar>
          </w:tcPr>
          <w:p>
            <w:r>
              <w:rPr>
                <w:rFonts w:ascii="Consolas" w:cs="Consolas" w:eastAsia="Consolas" w:hAnsi="Consolas"/>
                <w:sz w:val="20"/>
                <w:szCs w:val="20"/>
              </w:rPr>
              <w:t xml:space="preserve">Contenedor OLE2; se extrajeron y descomprimieron (zlib) los streams internos avReceiver.js y avReceiverComms.js, que contienen la implementación completa del protocolo documentado en este informe.</w:t>
            </w:r>
          </w:p>
        </w:tc>
      </w:tr>
    </w:tbl>
    <w:p>
      <w:pPr>
        <w:pStyle w:val="Heading1"/>
        <w:spacing w:after="150" w:before="300"/>
      </w:pPr>
      <w:r>
        <w:t xml:space="preserve">10. Ejemplo de sesión (referencia rápida)</w:t>
      </w:r>
    </w:p>
    <w:p>
      <w:pPr>
        <w:shd w:fill="F4F4F4" w:val="clear"/>
        <w:spacing w:after="120"/>
      </w:pPr>
      <w:r>
        <w:rPr>
          <w:rFonts w:ascii="Consolas" w:cs="Consolas" w:eastAsia="Consolas" w:hAnsi="Consolas"/>
          <w:sz w:val="20"/>
          <w:szCs w:val="20"/>
        </w:rPr>
        <w:t xml:space="preserve">Cliente -&gt; Equipo : POWER_ON</w:t>
      </w:r>
    </w:p>
    <w:p>
      <w:pPr>
        <w:shd w:fill="F4F4F4" w:val="clear"/>
        <w:spacing w:after="120"/>
      </w:pPr>
      <w:r>
        <w:rPr>
          <w:rFonts w:ascii="Consolas" w:cs="Consolas" w:eastAsia="Consolas" w:hAnsi="Consolas"/>
          <w:sz w:val="20"/>
          <w:szCs w:val="20"/>
        </w:rPr>
        <w:t xml:space="preserve">Equipo  -&gt; Cliente: +SYSTEM.STATUS.STATE ON</w:t>
      </w:r>
    </w:p>
    <w:p>
      <w:pPr>
        <w:shd w:fill="F4F4F4" w:val="clear"/>
        <w:spacing w:after="120"/>
      </w:pPr>
      <w:r>
        <w:rPr>
          <w:rFonts w:ascii="Consolas" w:cs="Consolas" w:eastAsia="Consolas" w:hAnsi="Consolas"/>
          <w:sz w:val="20"/>
          <w:szCs w:val="20"/>
        </w:rPr>
        <w:t xml:space="preserve">Cliente -&gt; Equipo : SET ZONE-A.PRIMARY_SRC 101</w:t>
      </w:r>
    </w:p>
    <w:p>
      <w:pPr>
        <w:shd w:fill="F4F4F4" w:val="clear"/>
        <w:spacing w:after="120"/>
      </w:pPr>
      <w:r>
        <w:rPr>
          <w:rFonts w:ascii="Consolas" w:cs="Consolas" w:eastAsia="Consolas" w:hAnsi="Consolas"/>
          <w:sz w:val="20"/>
          <w:szCs w:val="20"/>
        </w:rPr>
        <w:t xml:space="preserve">Equipo  -&gt; Cliente: +ZONE-A.PRIMARY_SRC 101</w:t>
      </w:r>
    </w:p>
    <w:p>
      <w:pPr>
        <w:shd w:fill="F4F4F4" w:val="clear"/>
        <w:spacing w:after="120"/>
      </w:pPr>
      <w:r>
        <w:rPr>
          <w:rFonts w:ascii="Consolas" w:cs="Consolas" w:eastAsia="Consolas" w:hAnsi="Consolas"/>
          <w:sz w:val="20"/>
          <w:szCs w:val="20"/>
        </w:rPr>
        <w:t xml:space="preserve">Cliente -&gt; Equipo : SET ZONE-A.GAIN -20</w:t>
      </w:r>
    </w:p>
    <w:p>
      <w:pPr>
        <w:shd w:fill="F4F4F4" w:val="clear"/>
        <w:spacing w:after="120"/>
      </w:pPr>
      <w:r>
        <w:rPr>
          <w:rFonts w:ascii="Consolas" w:cs="Consolas" w:eastAsia="Consolas" w:hAnsi="Consolas"/>
          <w:sz w:val="20"/>
          <w:szCs w:val="20"/>
        </w:rPr>
        <w:t xml:space="preserve">Equipo  -&gt; Cliente: +ZONE-A.GAIN -20</w:t>
      </w:r>
    </w:p>
    <w:p>
      <w:pPr>
        <w:shd w:fill="F4F4F4" w:val="clear"/>
        <w:spacing w:after="120"/>
      </w:pPr>
      <w:r>
        <w:rPr>
          <w:rFonts w:ascii="Consolas" w:cs="Consolas" w:eastAsia="Consolas" w:hAnsi="Consolas"/>
          <w:sz w:val="20"/>
          <w:szCs w:val="20"/>
        </w:rPr>
        <w:t xml:space="preserve">Cliente -&gt; Equipo : SET ZONE-A.MUTE 1</w:t>
      </w:r>
    </w:p>
    <w:p>
      <w:pPr>
        <w:shd w:fill="F4F4F4" w:val="clear"/>
        <w:spacing w:after="120"/>
      </w:pPr>
      <w:r>
        <w:rPr>
          <w:rFonts w:ascii="Consolas" w:cs="Consolas" w:eastAsia="Consolas" w:hAnsi="Consolas"/>
          <w:sz w:val="20"/>
          <w:szCs w:val="20"/>
        </w:rPr>
        <w:t xml:space="preserve">Equipo  -&gt; Cliente: +ZONE-A.MUTE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2026-07-28T05:45:25.832Z</dcterms:created>
  <dcterms:modified xsi:type="dcterms:W3CDTF">2026-07-28T05:45:25.846Z</dcterms:modified>
</cp:coreProperties>
</file>

<file path=docProps/custom.xml><?xml version="1.0" encoding="utf-8"?>
<Properties xmlns="http://schemas.openxmlformats.org/officeDocument/2006/custom-properties" xmlns:vt="http://schemas.openxmlformats.org/officeDocument/2006/docPropsVTypes"/>
</file>