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3689" w14:textId="77777777" w:rsidR="00470A55" w:rsidRPr="008116A2" w:rsidRDefault="00470A55">
      <w:pPr>
        <w:spacing w:after="120" w:line="252" w:lineRule="auto"/>
        <w:rPr>
          <w:rFonts w:ascii="Arial" w:hAnsi="Arial" w:cs="Arial"/>
          <w:color w:val="000000"/>
        </w:rPr>
      </w:pPr>
    </w:p>
    <w:p w14:paraId="4BD8C7B6" w14:textId="77777777" w:rsidR="00470A55" w:rsidRPr="008116A2" w:rsidRDefault="00470A55">
      <w:pPr>
        <w:spacing w:after="120" w:line="252" w:lineRule="auto"/>
        <w:rPr>
          <w:rFonts w:ascii="Arial" w:hAnsi="Arial" w:cs="Arial"/>
          <w:color w:val="000000"/>
        </w:rPr>
      </w:pPr>
    </w:p>
    <w:p w14:paraId="567275D2" w14:textId="77777777" w:rsidR="00470A55" w:rsidRPr="008116A2" w:rsidRDefault="00470A55">
      <w:pPr>
        <w:spacing w:after="120" w:line="252" w:lineRule="auto"/>
        <w:rPr>
          <w:rFonts w:ascii="Arial" w:hAnsi="Arial" w:cs="Arial"/>
          <w:color w:val="000000"/>
        </w:rPr>
      </w:pPr>
    </w:p>
    <w:p w14:paraId="001EE364" w14:textId="77777777" w:rsidR="00470A55" w:rsidRPr="008116A2" w:rsidRDefault="00470A55">
      <w:pPr>
        <w:spacing w:after="120" w:line="252" w:lineRule="auto"/>
        <w:rPr>
          <w:rFonts w:ascii="Arial" w:hAnsi="Arial" w:cs="Arial"/>
          <w:color w:val="000000"/>
        </w:rPr>
      </w:pPr>
    </w:p>
    <w:p w14:paraId="3C062E99" w14:textId="77777777" w:rsidR="00470A55" w:rsidRPr="008116A2" w:rsidRDefault="00470A55">
      <w:pPr>
        <w:spacing w:after="120" w:line="252" w:lineRule="auto"/>
        <w:rPr>
          <w:rFonts w:ascii="Arial" w:hAnsi="Arial" w:cs="Arial"/>
          <w:color w:val="000000"/>
        </w:rPr>
      </w:pPr>
    </w:p>
    <w:p w14:paraId="5436710F" w14:textId="77777777" w:rsidR="00470A55" w:rsidRPr="008116A2" w:rsidRDefault="00470A55">
      <w:pPr>
        <w:spacing w:after="120" w:line="252" w:lineRule="auto"/>
        <w:rPr>
          <w:rFonts w:ascii="Arial" w:hAnsi="Arial" w:cs="Arial"/>
          <w:color w:val="000000"/>
        </w:rPr>
      </w:pPr>
    </w:p>
    <w:p w14:paraId="479C2DA2" w14:textId="77777777" w:rsidR="00470A55" w:rsidRPr="008116A2" w:rsidRDefault="00470A55">
      <w:pPr>
        <w:spacing w:after="120" w:line="252" w:lineRule="auto"/>
        <w:rPr>
          <w:rFonts w:ascii="Arial" w:hAnsi="Arial" w:cs="Arial"/>
          <w:color w:val="000000"/>
        </w:rPr>
      </w:pPr>
    </w:p>
    <w:p w14:paraId="4D8F69E1" w14:textId="77777777" w:rsidR="00470A55" w:rsidRPr="008116A2" w:rsidRDefault="00470A55">
      <w:pPr>
        <w:spacing w:after="120" w:line="252" w:lineRule="auto"/>
        <w:rPr>
          <w:rFonts w:ascii="Arial" w:hAnsi="Arial" w:cs="Arial"/>
          <w:color w:val="000000"/>
        </w:rPr>
      </w:pPr>
    </w:p>
    <w:p w14:paraId="11DDC843" w14:textId="77777777" w:rsidR="00470A55" w:rsidRPr="008116A2" w:rsidRDefault="00470A55">
      <w:pPr>
        <w:spacing w:after="120" w:line="252" w:lineRule="auto"/>
        <w:rPr>
          <w:rFonts w:ascii="Arial" w:hAnsi="Arial" w:cs="Arial"/>
          <w:color w:val="000000"/>
        </w:rPr>
      </w:pPr>
    </w:p>
    <w:p w14:paraId="04587EEC" w14:textId="77777777" w:rsidR="00470A55" w:rsidRPr="008116A2" w:rsidRDefault="004D7B6D">
      <w:pPr>
        <w:spacing w:after="240" w:line="252" w:lineRule="auto"/>
        <w:jc w:val="center"/>
        <w:rPr>
          <w:rFonts w:ascii="Arial" w:hAnsi="Arial" w:cs="Arial"/>
          <w:color w:val="000000"/>
        </w:rPr>
      </w:pPr>
      <w:r w:rsidRPr="008116A2">
        <w:rPr>
          <w:rFonts w:ascii="Arial" w:hAnsi="Arial" w:cs="Arial"/>
          <w:b/>
          <w:color w:val="000000"/>
        </w:rPr>
        <w:t>TRABAJO FINAL DE ASIGNATURA</w:t>
      </w:r>
    </w:p>
    <w:p w14:paraId="5209C946" w14:textId="77777777" w:rsidR="00470A55" w:rsidRPr="008116A2" w:rsidRDefault="004D7B6D">
      <w:pPr>
        <w:pStyle w:val="Ttulo"/>
        <w:spacing w:after="240" w:line="252" w:lineRule="auto"/>
        <w:jc w:val="center"/>
        <w:rPr>
          <w:rFonts w:ascii="Arial" w:hAnsi="Arial" w:cs="Arial"/>
          <w:color w:val="000000"/>
          <w:sz w:val="24"/>
        </w:rPr>
      </w:pPr>
      <w:r w:rsidRPr="008116A2">
        <w:rPr>
          <w:rFonts w:ascii="Arial" w:hAnsi="Arial" w:cs="Arial"/>
          <w:b/>
          <w:color w:val="000000"/>
          <w:sz w:val="24"/>
          <w:spacing w:val="0"/>
        </w:rPr>
        <w:t>Evaluación funcional y calidad del producto NeonPlay</w:t>
      </w:r>
    </w:p>
    <w:p w14:paraId="5C7B5C58" w14:textId="77777777" w:rsidR="00470A55" w:rsidRPr="008116A2" w:rsidRDefault="004D7B6D">
      <w:pPr>
        <w:spacing w:after="360" w:line="252" w:lineRule="auto"/>
        <w:jc w:val="center"/>
        <w:rPr>
          <w:rFonts w:ascii="Arial" w:hAnsi="Arial" w:cs="Arial"/>
          <w:color w:val="000000"/>
        </w:rPr>
      </w:pPr>
      <w:r w:rsidRPr="008116A2">
        <w:rPr>
          <w:rFonts w:ascii="Arial" w:hAnsi="Arial" w:cs="Arial"/>
          <w:color w:val="000000"/>
        </w:rPr>
        <w:t>Calidad de Software</w:t>
      </w:r>
    </w:p>
    <w:p w14:paraId="0392749D" w14:textId="77777777" w:rsidR="00470A55" w:rsidRPr="008116A2" w:rsidRDefault="004D7B6D">
      <w:pPr>
        <w:spacing w:after="360" w:line="252" w:lineRule="auto"/>
        <w:jc w:val="center"/>
        <w:rPr>
          <w:rFonts w:ascii="Arial" w:hAnsi="Arial" w:cs="Arial"/>
          <w:color w:val="000000"/>
        </w:rPr>
      </w:pPr>
      <w:r w:rsidRPr="008116A2">
        <w:rPr>
          <w:rFonts w:ascii="Arial" w:hAnsi="Arial" w:cs="Arial"/>
          <w:color w:val="000000"/>
        </w:rPr>
        <w:t>Kevin Adrián Quiñonez Rocha</w:t>
      </w:r>
      <w:r w:rsidRPr="008116A2">
        <w:rPr>
          <w:rFonts w:ascii="Arial" w:hAnsi="Arial" w:cs="Arial"/>
          <w:color w:val="000000"/>
        </w:rPr>
        <w:br/>
        <w:t>Orlando Eloy Trujillo</w:t>
      </w:r>
    </w:p>
    <w:p w14:paraId="249059F1" w14:textId="77777777" w:rsidR="00470A55" w:rsidRPr="008116A2" w:rsidRDefault="004D7B6D">
      <w:pPr>
        <w:spacing w:after="360" w:line="252" w:lineRule="auto"/>
        <w:jc w:val="center"/>
        <w:rPr>
          <w:rFonts w:ascii="Arial" w:hAnsi="Arial" w:cs="Arial"/>
          <w:color w:val="000000"/>
        </w:rPr>
      </w:pPr>
      <w:r w:rsidRPr="008116A2">
        <w:rPr>
          <w:rFonts w:ascii="Arial" w:hAnsi="Arial" w:cs="Arial"/>
          <w:color w:val="000000"/>
        </w:rPr>
        <w:t>Desarrollo de Software</w:t>
      </w:r>
      <w:r w:rsidRPr="008116A2">
        <w:rPr>
          <w:rFonts w:ascii="Arial" w:hAnsi="Arial" w:cs="Arial"/>
          <w:color w:val="000000"/>
        </w:rPr>
        <w:br/>
        <w:t>Nivel 4</w:t>
      </w:r>
    </w:p>
    <w:p w14:paraId="50D74126" w14:textId="77777777" w:rsidR="00470A55" w:rsidRPr="008116A2" w:rsidRDefault="004D7B6D">
      <w:pPr>
        <w:spacing w:after="360" w:line="252" w:lineRule="auto"/>
        <w:jc w:val="center"/>
        <w:rPr>
          <w:rFonts w:ascii="Arial" w:hAnsi="Arial" w:cs="Arial"/>
          <w:color w:val="000000"/>
        </w:rPr>
      </w:pPr>
      <w:r w:rsidRPr="008116A2">
        <w:rPr>
          <w:rFonts w:ascii="Arial" w:hAnsi="Arial" w:cs="Arial"/>
          <w:color w:val="000000"/>
        </w:rPr>
        <w:t>Ing. Sebastián Landázuri G</w:t>
      </w:r>
      <w:r w:rsidRPr="008116A2">
        <w:rPr>
          <w:rFonts w:ascii="Arial" w:hAnsi="Arial" w:cs="Arial"/>
          <w:color w:val="000000"/>
        </w:rPr>
        <w:br/>
        <w:t>Docente</w:t>
      </w:r>
    </w:p>
    <w:p w14:paraId="6CEB3D65" w14:textId="77777777" w:rsidR="00470A55" w:rsidRPr="008116A2" w:rsidRDefault="004D7B6D">
      <w:pPr>
        <w:spacing w:after="120" w:line="252" w:lineRule="auto"/>
        <w:jc w:val="center"/>
        <w:rPr>
          <w:rFonts w:ascii="Arial" w:hAnsi="Arial" w:cs="Arial"/>
          <w:color w:val="000000"/>
        </w:rPr>
      </w:pPr>
      <w:r w:rsidRPr="008116A2">
        <w:rPr>
          <w:rFonts w:ascii="Arial" w:hAnsi="Arial" w:cs="Arial"/>
          <w:color w:val="000000"/>
        </w:rPr>
        <w:t>15 de octubre de 2026</w:t>
      </w:r>
    </w:p>
    <w:p w14:paraId="179F4FCB" w14:textId="77777777" w:rsidR="00470A55" w:rsidRPr="008116A2" w:rsidRDefault="004D7B6D">
      <w:pPr>
        <w:pStyle w:val="Ttulo1"/>
        <w:pageBreakBefore/>
        <w:spacing w:before="0" w:after="160" w:line="252" w:lineRule="auto"/>
        <w:rPr>
          <w:rFonts w:ascii="Arial" w:hAnsi="Arial" w:cs="Arial"/>
          <w:color w:val="000000"/>
          <w:sz w:val="24"/>
        </w:rPr>
      </w:pPr>
      <w:r w:rsidRPr="008116A2">
        <w:rPr>
          <w:rFonts w:ascii="Arial" w:hAnsi="Arial" w:cs="Arial"/>
          <w:b/>
          <w:color w:val="000000"/>
          <w:sz w:val="24"/>
        </w:rPr>
        <w:t>Contenido</w:t>
      </w:r>
    </w:p>
    <w:p w14:paraId="55C4DB36" w14:textId="42274344" w:rsidR="00470A55" w:rsidRPr="008116A2" w:rsidRDefault="004D7B6D">
      <w:pPr>
        <w:tabs>
          <w:tab w:val="right" w:leader="dot" w:pos="8504"/>
        </w:tabs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4"/>
          <w:szCs w:val="24"/>
        </w:rPr>
        <w:t xml:space="preserve">1 Descripción del trabajo final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PAGEREF descripcion \h </w:instrText>
      </w:r>
      <w:r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color w:val="000000"/>
          <w:sz w:val="24"/>
          <w:szCs w:val="24"/>
        </w:rPr>
        <w:t>3</w:t>
      </w:r>
      <w:r>
        <w:rPr>
          <w:rFonts w:ascii="Arial" w:hAnsi="Arial" w:cs="Arial"/>
          <w:color w:val="000000"/>
          <w:sz w:val="24"/>
          <w:szCs w:val="24"/>
        </w:rPr>
        <w:fldChar w:fldCharType="end"/>
      </w:r>
    </w:p>
    <w:p w14:paraId="55C4DB36" w14:textId="42274344" w:rsidR="00470A55" w:rsidRPr="008116A2" w:rsidRDefault="004D7B6D">
      <w:pPr>
        <w:tabs>
          <w:tab w:val="right" w:leader="dot" w:pos="8504"/>
        </w:tabs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4"/>
          <w:szCs w:val="24"/>
        </w:rPr>
        <w:t xml:space="preserve">2 Objetivo general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PAGEREF objetivo_general \h </w:instrText>
      </w:r>
      <w:r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color w:val="000000"/>
          <w:sz w:val="24"/>
          <w:szCs w:val="24"/>
        </w:rPr>
        <w:t>3</w:t>
      </w:r>
      <w:r>
        <w:rPr>
          <w:rFonts w:ascii="Arial" w:hAnsi="Arial" w:cs="Arial"/>
          <w:color w:val="000000"/>
          <w:sz w:val="24"/>
          <w:szCs w:val="24"/>
        </w:rPr>
        <w:fldChar w:fldCharType="end"/>
      </w:r>
    </w:p>
    <w:p w14:paraId="55C4DB36" w14:textId="42274344" w:rsidR="00470A55" w:rsidRPr="008116A2" w:rsidRDefault="004D7B6D">
      <w:pPr>
        <w:tabs>
          <w:tab w:val="right" w:leader="dot" w:pos="8504"/>
        </w:tabs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4"/>
          <w:szCs w:val="24"/>
        </w:rPr>
        <w:t xml:space="preserve">3 Objetivos específicos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PAGEREF objetivos_especificos \h </w:instrText>
      </w:r>
      <w:r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color w:val="000000"/>
          <w:sz w:val="24"/>
          <w:szCs w:val="24"/>
        </w:rPr>
        <w:t>3</w:t>
      </w:r>
      <w:r>
        <w:rPr>
          <w:rFonts w:ascii="Arial" w:hAnsi="Arial" w:cs="Arial"/>
          <w:color w:val="000000"/>
          <w:sz w:val="24"/>
          <w:szCs w:val="24"/>
        </w:rPr>
        <w:fldChar w:fldCharType="end"/>
      </w:r>
    </w:p>
    <w:p w14:paraId="55C4DB36" w14:textId="42274344" w:rsidR="00470A55" w:rsidRPr="008116A2" w:rsidRDefault="004D7B6D">
      <w:pPr>
        <w:tabs>
          <w:tab w:val="right" w:leader="dot" w:pos="8504"/>
        </w:tabs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4"/>
          <w:szCs w:val="24"/>
        </w:rPr>
        <w:t xml:space="preserve">4 Resultado de aprendizaje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PAGEREF resultado_aprendizaje \h </w:instrText>
      </w:r>
      <w:r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color w:val="000000"/>
          <w:sz w:val="24"/>
          <w:szCs w:val="24"/>
        </w:rPr>
        <w:t>3</w:t>
      </w:r>
      <w:r>
        <w:rPr>
          <w:rFonts w:ascii="Arial" w:hAnsi="Arial" w:cs="Arial"/>
          <w:color w:val="000000"/>
          <w:sz w:val="24"/>
          <w:szCs w:val="24"/>
        </w:rPr>
        <w:fldChar w:fldCharType="end"/>
      </w:r>
    </w:p>
    <w:p w14:paraId="55C4DB36" w14:textId="42274344" w:rsidR="00470A55" w:rsidRPr="008116A2" w:rsidRDefault="004D7B6D">
      <w:pPr>
        <w:tabs>
          <w:tab w:val="right" w:leader="dot" w:pos="8504"/>
        </w:tabs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4"/>
          <w:szCs w:val="24"/>
        </w:rPr>
        <w:t xml:space="preserve">5 Recursos necesarios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PAGEREF recursos \h </w:instrText>
      </w:r>
      <w:r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color w:val="000000"/>
          <w:sz w:val="24"/>
          <w:szCs w:val="24"/>
        </w:rPr>
        <w:t>3</w:t>
      </w:r>
      <w:r>
        <w:rPr>
          <w:rFonts w:ascii="Arial" w:hAnsi="Arial" w:cs="Arial"/>
          <w:color w:val="000000"/>
          <w:sz w:val="24"/>
          <w:szCs w:val="24"/>
        </w:rPr>
        <w:fldChar w:fldCharType="end"/>
      </w:r>
    </w:p>
    <w:p w14:paraId="55C4DB36" w14:textId="42274344" w:rsidR="00470A55" w:rsidRPr="008116A2" w:rsidRDefault="004D7B6D">
      <w:pPr>
        <w:tabs>
          <w:tab w:val="right" w:leader="dot" w:pos="8504"/>
        </w:tabs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4"/>
          <w:szCs w:val="24"/>
        </w:rPr>
        <w:t xml:space="preserve">6 Desarrollo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PAGEREF desarrollo \h </w:instrText>
      </w:r>
      <w:r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color w:val="000000"/>
          <w:sz w:val="24"/>
          <w:szCs w:val="24"/>
        </w:rPr>
        <w:t>4</w:t>
      </w:r>
      <w:r>
        <w:rPr>
          <w:rFonts w:ascii="Arial" w:hAnsi="Arial" w:cs="Arial"/>
          <w:color w:val="000000"/>
          <w:sz w:val="24"/>
          <w:szCs w:val="24"/>
        </w:rPr>
        <w:fldChar w:fldCharType="end"/>
      </w:r>
    </w:p>
    <w:p w14:paraId="55C4DB36" w14:textId="42274344" w:rsidR="00470A55" w:rsidRPr="008116A2" w:rsidRDefault="004D7B6D">
      <w:pPr>
        <w:tabs>
          <w:tab w:val="right" w:leader="dot" w:pos="8504"/>
        </w:tabs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4"/>
          <w:szCs w:val="24"/>
        </w:rPr>
        <w:t xml:space="preserve">6.1 Aplicativo y método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PAGEREF contexto_metodo \h </w:instrText>
      </w:r>
      <w:r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color w:val="000000"/>
          <w:sz w:val="24"/>
          <w:szCs w:val="24"/>
        </w:rPr>
        <w:t>4</w:t>
      </w:r>
      <w:r>
        <w:rPr>
          <w:rFonts w:ascii="Arial" w:hAnsi="Arial" w:cs="Arial"/>
          <w:color w:val="000000"/>
          <w:sz w:val="24"/>
          <w:szCs w:val="24"/>
        </w:rPr>
        <w:fldChar w:fldCharType="end"/>
      </w:r>
    </w:p>
    <w:p w14:paraId="55C4DB36" w14:textId="42274344" w:rsidR="00470A55" w:rsidRPr="008116A2" w:rsidRDefault="004D7B6D">
      <w:pPr>
        <w:tabs>
          <w:tab w:val="right" w:leader="dot" w:pos="8504"/>
        </w:tabs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4"/>
          <w:szCs w:val="24"/>
        </w:rPr>
        <w:t xml:space="preserve">6.2 Interesados y riesgos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PAGEREF interesados_riesgos \h </w:instrText>
      </w:r>
      <w:r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color w:val="000000"/>
          <w:sz w:val="24"/>
          <w:szCs w:val="24"/>
        </w:rPr>
        <w:t>4</w:t>
      </w:r>
      <w:r>
        <w:rPr>
          <w:rFonts w:ascii="Arial" w:hAnsi="Arial" w:cs="Arial"/>
          <w:color w:val="000000"/>
          <w:sz w:val="24"/>
          <w:szCs w:val="24"/>
        </w:rPr>
        <w:fldChar w:fldCharType="end"/>
      </w:r>
    </w:p>
    <w:p w14:paraId="55C4DB36" w14:textId="42274344" w:rsidR="00470A55" w:rsidRPr="008116A2" w:rsidRDefault="004D7B6D">
      <w:pPr>
        <w:tabs>
          <w:tab w:val="right" w:leader="dot" w:pos="8504"/>
        </w:tabs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4"/>
          <w:szCs w:val="24"/>
        </w:rPr>
        <w:t xml:space="preserve">6.3 Versión base y pruebas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PAGEREF baseline_pruebas \h </w:instrText>
      </w:r>
      <w:r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color w:val="000000"/>
          <w:sz w:val="24"/>
          <w:szCs w:val="24"/>
        </w:rPr>
        <w:t>5</w:t>
      </w:r>
      <w:r>
        <w:rPr>
          <w:rFonts w:ascii="Arial" w:hAnsi="Arial" w:cs="Arial"/>
          <w:color w:val="000000"/>
          <w:sz w:val="24"/>
          <w:szCs w:val="24"/>
        </w:rPr>
        <w:fldChar w:fldCharType="end"/>
      </w:r>
    </w:p>
    <w:p w14:paraId="55C4DB36" w14:textId="42274344" w:rsidR="00470A55" w:rsidRPr="008116A2" w:rsidRDefault="004D7B6D">
      <w:pPr>
        <w:tabs>
          <w:tab w:val="right" w:leader="dot" w:pos="8504"/>
        </w:tabs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4"/>
          <w:szCs w:val="24"/>
        </w:rPr>
        <w:t xml:space="preserve">6.4 Métricas y resultados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PAGEREF metricas \h </w:instrText>
      </w:r>
      <w:r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color w:val="000000"/>
          <w:sz w:val="24"/>
          <w:szCs w:val="24"/>
        </w:rPr>
        <w:t>6</w:t>
      </w:r>
      <w:r>
        <w:rPr>
          <w:rFonts w:ascii="Arial" w:hAnsi="Arial" w:cs="Arial"/>
          <w:color w:val="000000"/>
          <w:sz w:val="24"/>
          <w:szCs w:val="24"/>
        </w:rPr>
        <w:fldChar w:fldCharType="end"/>
      </w:r>
    </w:p>
    <w:p w14:paraId="55C4DB36" w14:textId="42274344" w:rsidR="00470A55" w:rsidRPr="008116A2" w:rsidRDefault="004D7B6D">
      <w:pPr>
        <w:tabs>
          <w:tab w:val="right" w:leader="dot" w:pos="8504"/>
        </w:tabs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4"/>
          <w:szCs w:val="24"/>
        </w:rPr>
        <w:t xml:space="preserve">6.5 Hallazgos y corrección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PAGEREF hallazgos_correccion \h </w:instrText>
      </w:r>
      <w:r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color w:val="000000"/>
          <w:sz w:val="24"/>
          <w:szCs w:val="24"/>
        </w:rPr>
        <w:t>7</w:t>
      </w:r>
      <w:r>
        <w:rPr>
          <w:rFonts w:ascii="Arial" w:hAnsi="Arial" w:cs="Arial"/>
          <w:color w:val="000000"/>
          <w:sz w:val="24"/>
          <w:szCs w:val="24"/>
        </w:rPr>
        <w:fldChar w:fldCharType="end"/>
      </w:r>
    </w:p>
    <w:p w14:paraId="55C4DB36" w14:textId="42274344" w:rsidR="00470A55" w:rsidRPr="008116A2" w:rsidRDefault="004D7B6D">
      <w:pPr>
        <w:tabs>
          <w:tab w:val="right" w:leader="dot" w:pos="8504"/>
        </w:tabs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4"/>
          <w:szCs w:val="24"/>
        </w:rPr>
        <w:t xml:space="preserve">6.6 Plan de mejora y discusión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PAGEREF plan_discusion \h </w:instrText>
      </w:r>
      <w:r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color w:val="000000"/>
          <w:sz w:val="24"/>
          <w:szCs w:val="24"/>
        </w:rPr>
        <w:t>8</w:t>
      </w:r>
      <w:r>
        <w:rPr>
          <w:rFonts w:ascii="Arial" w:hAnsi="Arial" w:cs="Arial"/>
          <w:color w:val="000000"/>
          <w:sz w:val="24"/>
          <w:szCs w:val="24"/>
        </w:rPr>
        <w:fldChar w:fldCharType="end"/>
      </w:r>
    </w:p>
    <w:p w14:paraId="55C4DB36" w14:textId="42274344" w:rsidR="00470A55" w:rsidRPr="008116A2" w:rsidRDefault="004D7B6D">
      <w:pPr>
        <w:tabs>
          <w:tab w:val="right" w:leader="dot" w:pos="8504"/>
        </w:tabs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4"/>
          <w:szCs w:val="24"/>
        </w:rPr>
        <w:t xml:space="preserve">7 Conclusiones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PAGEREF conclusiones \h </w:instrText>
      </w:r>
      <w:r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color w:val="000000"/>
          <w:sz w:val="24"/>
          <w:szCs w:val="24"/>
        </w:rPr>
        <w:t>8</w:t>
      </w:r>
      <w:r>
        <w:rPr>
          <w:rFonts w:ascii="Arial" w:hAnsi="Arial" w:cs="Arial"/>
          <w:color w:val="000000"/>
          <w:sz w:val="24"/>
          <w:szCs w:val="24"/>
        </w:rPr>
        <w:fldChar w:fldCharType="end"/>
      </w:r>
    </w:p>
    <w:p w14:paraId="55C4DB36" w14:textId="42274344" w:rsidR="00470A55" w:rsidRPr="008116A2" w:rsidRDefault="004D7B6D">
      <w:pPr>
        <w:tabs>
          <w:tab w:val="right" w:leader="dot" w:pos="8504"/>
        </w:tabs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4"/>
          <w:szCs w:val="24"/>
        </w:rPr>
        <w:t xml:space="preserve">8 Bibliografía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PAGEREF bibliografia \h </w:instrText>
      </w:r>
      <w:r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color w:val="000000"/>
          <w:sz w:val="24"/>
          <w:szCs w:val="24"/>
        </w:rPr>
        <w:t>9</w:t>
      </w:r>
      <w:r>
        <w:rPr>
          <w:rFonts w:ascii="Arial" w:hAnsi="Arial" w:cs="Arial"/>
          <w:color w:val="000000"/>
          <w:sz w:val="24"/>
          <w:szCs w:val="24"/>
        </w:rPr>
        <w:fldChar w:fldCharType="end"/>
      </w:r>
    </w:p>
    <w:p w14:paraId="55C4DB36" w14:textId="42274344" w:rsidR="00470A55" w:rsidRPr="008116A2" w:rsidRDefault="004D7B6D">
      <w:pPr>
        <w:tabs>
          <w:tab w:val="right" w:leader="dot" w:pos="8504"/>
        </w:tabs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4"/>
          <w:szCs w:val="24"/>
        </w:rPr>
        <w:t xml:space="preserve">9 Anexos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PAGEREF anexos \h </w:instrText>
      </w:r>
      <w:r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color w:val="000000"/>
          <w:sz w:val="24"/>
          <w:szCs w:val="24"/>
        </w:rPr>
        <w:t>9</w:t>
      </w:r>
      <w:r>
        <w:rPr>
          <w:rFonts w:ascii="Arial" w:hAnsi="Arial" w:cs="Arial"/>
          <w:color w:val="000000"/>
          <w:sz w:val="24"/>
          <w:szCs w:val="24"/>
        </w:rPr>
        <w:fldChar w:fldCharType="end"/>
      </w:r>
    </w:p>
    <w:p w14:paraId="55C4DB36" w14:textId="42274344" w:rsidR="00470A55" w:rsidRPr="008116A2" w:rsidRDefault="004D7B6D">
      <w:pPr>
        <w:tabs>
          <w:tab w:val="right" w:leader="dot" w:pos="8504"/>
        </w:tabs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4"/>
          <w:szCs w:val="24"/>
        </w:rPr>
        <w:t xml:space="preserve">Anexo A Casos de prueba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PAGEREF anexo_a \h </w:instrText>
      </w:r>
      <w:r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color w:val="000000"/>
          <w:sz w:val="24"/>
          <w:szCs w:val="24"/>
        </w:rPr>
        <w:t>10</w:t>
      </w:r>
      <w:r>
        <w:rPr>
          <w:rFonts w:ascii="Arial" w:hAnsi="Arial" w:cs="Arial"/>
          <w:color w:val="000000"/>
          <w:sz w:val="24"/>
          <w:szCs w:val="24"/>
        </w:rPr>
        <w:fldChar w:fldCharType="end"/>
      </w:r>
    </w:p>
    <w:p w14:paraId="55C4DB36" w14:textId="42274344" w:rsidR="00470A55" w:rsidRPr="008116A2" w:rsidRDefault="004D7B6D">
      <w:pPr>
        <w:tabs>
          <w:tab w:val="right" w:leader="dot" w:pos="8504"/>
        </w:tabs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4"/>
          <w:szCs w:val="24"/>
        </w:rPr>
        <w:t xml:space="preserve">Anexo B Imágenes del proyecto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PAGEREF anexo_b \h </w:instrText>
      </w:r>
      <w:r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color w:val="000000"/>
          <w:sz w:val="24"/>
          <w:szCs w:val="24"/>
        </w:rPr>
        <w:t>15</w:t>
      </w:r>
      <w:r>
        <w:rPr>
          <w:rFonts w:ascii="Arial" w:hAnsi="Arial" w:cs="Arial"/>
          <w:color w:val="000000"/>
          <w:sz w:val="24"/>
          <w:szCs w:val="24"/>
        </w:rPr>
        <w:fldChar w:fldCharType="end"/>
      </w:r>
    </w:p>
    <w:p w14:paraId="55C4DB36" w14:textId="42274344" w:rsidR="00470A55" w:rsidRPr="008116A2" w:rsidRDefault="004D7B6D">
      <w:pPr>
        <w:tabs>
          <w:tab w:val="right" w:leader="dot" w:pos="8504"/>
        </w:tabs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4"/>
          <w:szCs w:val="24"/>
        </w:rPr>
        <w:t xml:space="preserve">Anexo C Reproducción y trazabilidad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PAGEREF anexo_c \h </w:instrText>
      </w:r>
      <w:r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color w:val="000000"/>
          <w:sz w:val="24"/>
          <w:szCs w:val="24"/>
        </w:rPr>
        <w:t>18</w:t>
      </w:r>
      <w:r>
        <w:rPr>
          <w:rFonts w:ascii="Arial" w:hAnsi="Arial" w:cs="Arial"/>
          <w:color w:val="000000"/>
          <w:sz w:val="24"/>
          <w:szCs w:val="24"/>
        </w:rPr>
        <w:fldChar w:fldCharType="end"/>
      </w:r>
    </w:p>
    <w:p w14:paraId="54BBB10B" w14:textId="77777777" w:rsidR="00470A55" w:rsidRPr="008116A2" w:rsidRDefault="004D7B6D">
      <w:pPr>
        <w:pStyle w:val="Ttulo1"/>
        <w:pageBreakBefore/>
        <w:spacing w:before="0" w:after="160" w:line="252" w:lineRule="auto"/>
        <w:rPr>
          <w:rFonts w:ascii="Arial" w:hAnsi="Arial" w:cs="Arial"/>
          <w:color w:val="000000"/>
          <w:sz w:val="24"/>
        </w:rPr>
      </w:pPr>
      <w:r w:rsidRPr="008116A2">
        <w:rPr>
          <w:rFonts w:ascii="Arial" w:hAnsi="Arial" w:cs="Arial"/>
          <w:b/>
          <w:color w:val="000000"/>
          <w:sz w:val="24"/>
        </w:rPr>
        <w:t>Trabajo final de asignatura</w:t>
      </w:r>
    </w:p>
    <w:p w14:paraId="3F83E45D" w14:textId="77777777" w:rsidR="00470A55" w:rsidRPr="008116A2" w:rsidRDefault="004D7B6D">
      <w:pPr>
        <w:spacing w:after="200" w:line="252" w:lineRule="auto"/>
        <w:jc w:val="center"/>
        <w:rPr>
          <w:rFonts w:ascii="Arial" w:hAnsi="Arial" w:cs="Arial"/>
          <w:color w:val="000000"/>
        </w:rPr>
      </w:pPr>
      <w:r w:rsidRPr="008116A2">
        <w:rPr>
          <w:rFonts w:ascii="Arial" w:hAnsi="Arial" w:cs="Arial"/>
          <w:b/>
          <w:color w:val="000000"/>
        </w:rPr>
        <w:t>Evaluación funcional y calidad del producto NeonPlay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405"/>
        <w:gridCol w:w="2758"/>
        <w:gridCol w:w="77"/>
        <w:gridCol w:w="1701"/>
        <w:gridCol w:w="1547"/>
      </w:tblGrid>
      <w:tr w:rsidR="00060992" w:rsidRPr="008116A2" w14:paraId="51AFCFD2" w14:textId="77777777" w:rsidTr="00AF7619">
        <w:trPr>
          <w:trHeight w:val="391"/>
        </w:trPr>
        <w:tc>
          <w:tcPr>
            <w:tcW w:w="2405" w:type="dxa"/>
            <w:vAlign w:val="center"/>
          </w:tcPr>
          <w:p w14:paraId="41DC96CE" w14:textId="77777777" w:rsidR="00470A55" w:rsidRPr="008116A2" w:rsidRDefault="004D7B6D">
            <w:pPr>
              <w:spacing w:after="6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Nombre del Estudiante</w:t>
            </w:r>
          </w:p>
        </w:tc>
        <w:tc>
          <w:tcPr>
            <w:tcW w:w="2758" w:type="dxa"/>
            <w:vAlign w:val="center"/>
          </w:tcPr>
          <w:p w14:paraId="46924091" w14:textId="77777777" w:rsidR="00470A55" w:rsidRPr="008116A2" w:rsidRDefault="004D7B6D">
            <w:pPr>
              <w:spacing w:after="6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Kevin Adrián Quiñonez Rocha</w:t>
            </w:r>
            <w:r w:rsidRPr="008116A2">
              <w:rPr>
                <w:rFonts w:ascii="Arial" w:hAnsi="Arial" w:cs="Arial"/>
                <w:color w:val="000000"/>
              </w:rPr>
              <w:br/>
              <w:t>Orlando Eloy Trujillo</w:t>
            </w:r>
          </w:p>
        </w:tc>
        <w:tc>
          <w:tcPr>
            <w:tcW w:w="1778" w:type="dxa"/>
            <w:gridSpan w:val="2"/>
            <w:vAlign w:val="center"/>
          </w:tcPr>
          <w:p w14:paraId="73C3CB72" w14:textId="77777777" w:rsidR="00470A55" w:rsidRPr="008116A2" w:rsidRDefault="004D7B6D">
            <w:pPr>
              <w:spacing w:after="6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Fecha de entrega:</w:t>
            </w:r>
          </w:p>
        </w:tc>
        <w:tc>
          <w:tcPr>
            <w:tcW w:w="1547" w:type="dxa"/>
            <w:vAlign w:val="center"/>
          </w:tcPr>
          <w:p w14:paraId="3960CD46" w14:textId="77777777" w:rsidR="00470A55" w:rsidRPr="008116A2" w:rsidRDefault="004D7B6D">
            <w:pPr>
              <w:spacing w:after="6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15/10/2026</w:t>
            </w:r>
          </w:p>
        </w:tc>
      </w:tr>
      <w:tr w:rsidR="00060992" w:rsidRPr="008116A2" w14:paraId="1A6753BC" w14:textId="77777777" w:rsidTr="00AF7619">
        <w:trPr>
          <w:trHeight w:val="391"/>
        </w:trPr>
        <w:tc>
          <w:tcPr>
            <w:tcW w:w="2405" w:type="dxa"/>
            <w:vAlign w:val="center"/>
          </w:tcPr>
          <w:p w14:paraId="60C47983" w14:textId="77777777" w:rsidR="00470A55" w:rsidRPr="008116A2" w:rsidRDefault="004D7B6D">
            <w:pPr>
              <w:spacing w:after="6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Asignatura:</w:t>
            </w:r>
          </w:p>
        </w:tc>
        <w:tc>
          <w:tcPr>
            <w:tcW w:w="6083" w:type="dxa"/>
            <w:gridSpan w:val="4"/>
            <w:vAlign w:val="center"/>
          </w:tcPr>
          <w:p w14:paraId="6C7688B4" w14:textId="77777777" w:rsidR="00470A55" w:rsidRPr="008116A2" w:rsidRDefault="004D7B6D">
            <w:pPr>
              <w:spacing w:after="6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Calidad de Software</w:t>
            </w:r>
          </w:p>
        </w:tc>
      </w:tr>
      <w:tr w:rsidR="00060992" w:rsidRPr="008116A2" w14:paraId="636B23A4" w14:textId="77777777" w:rsidTr="00AF7619">
        <w:trPr>
          <w:trHeight w:val="391"/>
        </w:trPr>
        <w:tc>
          <w:tcPr>
            <w:tcW w:w="2405" w:type="dxa"/>
            <w:vAlign w:val="center"/>
          </w:tcPr>
          <w:p w14:paraId="09040DF8" w14:textId="77777777" w:rsidR="00470A55" w:rsidRPr="008116A2" w:rsidRDefault="004D7B6D">
            <w:pPr>
              <w:spacing w:after="6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Carrera:</w:t>
            </w:r>
          </w:p>
        </w:tc>
        <w:tc>
          <w:tcPr>
            <w:tcW w:w="2835" w:type="dxa"/>
            <w:gridSpan w:val="2"/>
            <w:vAlign w:val="center"/>
          </w:tcPr>
          <w:p w14:paraId="7B989F2F" w14:textId="77777777" w:rsidR="00470A55" w:rsidRPr="008116A2" w:rsidRDefault="004D7B6D">
            <w:pPr>
              <w:spacing w:after="6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Desarrollo de Software</w:t>
            </w:r>
          </w:p>
        </w:tc>
        <w:tc>
          <w:tcPr>
            <w:tcW w:w="1701" w:type="dxa"/>
            <w:vAlign w:val="center"/>
          </w:tcPr>
          <w:p w14:paraId="291FC1D7" w14:textId="77777777" w:rsidR="00470A55" w:rsidRPr="008116A2" w:rsidRDefault="004D7B6D">
            <w:pPr>
              <w:spacing w:after="6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Nivel:</w:t>
            </w:r>
          </w:p>
        </w:tc>
        <w:tc>
          <w:tcPr>
            <w:tcW w:w="1547" w:type="dxa"/>
            <w:vAlign w:val="center"/>
          </w:tcPr>
          <w:p w14:paraId="425C2102" w14:textId="77777777" w:rsidR="00470A55" w:rsidRPr="008116A2" w:rsidRDefault="004D7B6D">
            <w:pPr>
              <w:spacing w:after="6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4</w:t>
            </w:r>
          </w:p>
        </w:tc>
      </w:tr>
      <w:tr w:rsidR="00060992" w:rsidRPr="008116A2" w14:paraId="1ADD85A3" w14:textId="77777777" w:rsidTr="00AF7619">
        <w:trPr>
          <w:trHeight w:val="391"/>
        </w:trPr>
        <w:tc>
          <w:tcPr>
            <w:tcW w:w="2405" w:type="dxa"/>
            <w:vAlign w:val="center"/>
          </w:tcPr>
          <w:p w14:paraId="20432338" w14:textId="77777777" w:rsidR="00470A55" w:rsidRPr="008116A2" w:rsidRDefault="004D7B6D">
            <w:pPr>
              <w:spacing w:after="6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Nombre del Docente:</w:t>
            </w:r>
          </w:p>
        </w:tc>
        <w:tc>
          <w:tcPr>
            <w:tcW w:w="6083" w:type="dxa"/>
            <w:gridSpan w:val="4"/>
            <w:vAlign w:val="center"/>
          </w:tcPr>
          <w:p w14:paraId="4AAAF09D" w14:textId="77777777" w:rsidR="00470A55" w:rsidRPr="008116A2" w:rsidRDefault="004D7B6D">
            <w:pPr>
              <w:spacing w:after="6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Ing. Sebastián Landázuri G</w:t>
            </w:r>
          </w:p>
        </w:tc>
      </w:tr>
    </w:tbl>
    <w:p>
      <w:pPr>
        <w:pStyle w:val="Ttulo1"/>
        <w:spacing w:before="120" w:after="160" w:line="252" w:lineRule="auto"/>
        <w:rPr>
          <w:rFonts w:ascii="Arial" w:hAnsi="Arial" w:cs="Arial"/>
          <w:color w:val="000000"/>
          <w:sz w:val="24"/>
        </w:rPr>
        <w:keepNext/>
        <w:keepLines/>
      </w:pPr>
      <w:bookmarkStart w:id="100" w:name="descripcion"/>
      <w:r>
        <w:rPr>
          <w:rFonts w:ascii="Arial" w:hAnsi="Arial" w:cs="Arial"/>
          <w:b/>
          <w:color w:val="000000"/>
          <w:sz w:val="24"/>
          <w:szCs w:val="24"/>
        </w:rPr>
        <w:t xml:space="preserve">1 Descripción del trabajo final</w:t>
      </w:r>
      <w:bookmarkEnd w:id="100"/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NeonPlay es una tienda web de videojuegos con catálogo, carrito, compra de demostración y administración. Este informe evalúa sus funciones, tiempos de respuesta y facilidad de uso. La versión base aprobó veinte casos y treinta consultas del catálogo; el piloto alcanzó 60% de tareas sin ayuda. Se corrigió un fallo de compilación y se propone investigar las dificultades de compra e historial.</w:t>
      </w:r>
    </w:p>
    <w:p>
      <w:pPr>
        <w:pStyle w:val="Ttulo1"/>
        <w:spacing w:before="120" w:after="160" w:line="252" w:lineRule="auto"/>
        <w:rPr>
          <w:rFonts w:ascii="Arial" w:hAnsi="Arial" w:cs="Arial"/>
          <w:color w:val="000000"/>
          <w:sz w:val="24"/>
        </w:rPr>
        <w:keepNext/>
        <w:keepLines/>
      </w:pPr>
      <w:bookmarkStart w:id="101" w:name="objetivo_general"/>
      <w:r>
        <w:rPr>
          <w:rFonts w:ascii="Arial" w:hAnsi="Arial" w:cs="Arial"/>
          <w:b/>
          <w:color w:val="000000"/>
          <w:sz w:val="24"/>
          <w:szCs w:val="24"/>
        </w:rPr>
        <w:t xml:space="preserve">2 Objetivo general</w:t>
      </w:r>
      <w:bookmarkEnd w:id="101"/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Evaluar la calidad de NeonPlay mediante pruebas de caja negra, métricas y verificación de una corrección, para comprobar sus criterios de aceptación y proponer mejoras respaldadas por evidencias.</w:t>
      </w:r>
    </w:p>
    <w:p>
      <w:pPr>
        <w:pStyle w:val="Ttulo1"/>
        <w:spacing w:before="120" w:after="160" w:line="252" w:lineRule="auto"/>
        <w:rPr>
          <w:rFonts w:ascii="Arial" w:hAnsi="Arial" w:cs="Arial"/>
          <w:color w:val="000000"/>
          <w:sz w:val="24"/>
        </w:rPr>
        <w:keepNext/>
        <w:keepLines/>
      </w:pPr>
      <w:bookmarkStart w:id="102" w:name="objetivos_especificos"/>
      <w:r>
        <w:rPr>
          <w:rFonts w:ascii="Arial" w:hAnsi="Arial" w:cs="Arial"/>
          <w:b/>
          <w:color w:val="000000"/>
          <w:sz w:val="24"/>
          <w:szCs w:val="24"/>
        </w:rPr>
        <w:t xml:space="preserve">3 Objetivos específicos</w:t>
      </w:r>
      <w:bookmarkEnd w:id="102"/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1. Definir los flujos, riesgos, versión base y criterios de evaluación.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2. Ejecutar pruebas y medir atributos de calidad con resultados reproducibles.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3. Verificar una corrección por regresión y establecer un plan de mejora.</w:t>
      </w:r>
    </w:p>
    <w:p>
      <w:pPr>
        <w:pStyle w:val="Ttulo1"/>
        <w:spacing w:before="120" w:after="160" w:line="252" w:lineRule="auto"/>
        <w:rPr>
          <w:rFonts w:ascii="Arial" w:hAnsi="Arial" w:cs="Arial"/>
          <w:color w:val="000000"/>
          <w:sz w:val="24"/>
        </w:rPr>
        <w:keepNext/>
        <w:keepLines/>
      </w:pPr>
      <w:bookmarkStart w:id="103" w:name="resultado_aprendizaje"/>
      <w:r>
        <w:rPr>
          <w:rFonts w:ascii="Arial" w:hAnsi="Arial" w:cs="Arial"/>
          <w:b/>
          <w:color w:val="000000"/>
          <w:sz w:val="24"/>
          <w:szCs w:val="24"/>
        </w:rPr>
        <w:t xml:space="preserve">4 Resultado de aprendizaje</w:t>
      </w:r>
      <w:bookmarkEnd w:id="103"/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Diferenciar los conceptos fundamentales de la calidad de software y aplicar procesos de aseguramiento de calidad en el desarrollo de software.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El trabajo relaciona pruebas y gestión de configuración con evaluación de calidad y normas: identifica una referencia en Git, conserva evidencias y verifica una corrección.</w:t>
      </w:r>
    </w:p>
    <w:p>
      <w:pPr>
        <w:pStyle w:val="Ttulo1"/>
        <w:spacing w:before="120" w:after="160" w:line="252" w:lineRule="auto"/>
        <w:rPr>
          <w:rFonts w:ascii="Arial" w:hAnsi="Arial" w:cs="Arial"/>
          <w:color w:val="000000"/>
          <w:sz w:val="24"/>
        </w:rPr>
        <w:keepNext/>
        <w:keepLines/>
      </w:pPr>
      <w:bookmarkStart w:id="104" w:name="recursos"/>
      <w:r>
        <w:rPr>
          <w:rFonts w:ascii="Arial" w:hAnsi="Arial" w:cs="Arial"/>
          <w:b/>
          <w:color w:val="000000"/>
          <w:sz w:val="24"/>
          <w:szCs w:val="24"/>
        </w:rPr>
        <w:t xml:space="preserve">5 Recursos necesarios</w:t>
      </w:r>
      <w:bookmarkEnd w:id="104"/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Windows 11, VS Code, Node.js y Git para ejecución y versiones; React, TypeScript, Vite y Tailwind CSS para la interfaz; Express, Prisma y PostgreSQL para la API y datos; Chrome, Playwright y Vitest para pruebas y evidencias.</w:t>
      </w:r>
    </w:p>
    <w:p>
      <w:pPr>
        <w:pStyle w:val="Ttulo1"/>
        <w:spacing w:before="120" w:after="160" w:line="252" w:lineRule="auto"/>
        <w:rPr>
          <w:rFonts w:ascii="Arial" w:hAnsi="Arial" w:cs="Arial"/>
          <w:color w:val="000000"/>
          <w:sz w:val="24"/>
        </w:rPr>
        <w:pageBreakBefore/>
        <w:keepNext/>
        <w:keepLines/>
      </w:pPr>
      <w:bookmarkStart w:id="105" w:name="desarrollo"/>
      <w:r>
        <w:rPr>
          <w:rFonts w:ascii="Arial" w:hAnsi="Arial" w:cs="Arial"/>
          <w:b/>
          <w:color w:val="000000"/>
          <w:sz w:val="24"/>
          <w:szCs w:val="24"/>
        </w:rPr>
        <w:t xml:space="preserve">6 Desarrollo</w:t>
      </w:r>
      <w:bookmarkEnd w:id="105"/>
    </w:p>
    <w:p>
      <w:pPr>
        <w:pStyle w:val="Ttulo2"/>
        <w:spacing w:before="120" w:after="160" w:line="252" w:lineRule="auto"/>
        <w:rPr>
          <w:rFonts w:ascii="Arial" w:hAnsi="Arial" w:cs="Arial"/>
          <w:color w:val="000000"/>
          <w:sz w:val="24"/>
        </w:rPr>
        <w:keepNext/>
        <w:keepLines/>
      </w:pPr>
      <w:bookmarkStart w:id="106" w:name="contexto_metodo"/>
      <w:r>
        <w:rPr>
          <w:rFonts w:ascii="Arial" w:hAnsi="Arial" w:cs="Arial"/>
          <w:b/>
          <w:color w:val="000000"/>
          <w:sz w:val="24"/>
          <w:szCs w:val="24"/>
        </w:rPr>
        <w:t xml:space="preserve">6.1 Aplicativo y método</w:t>
      </w:r>
      <w:bookmarkEnd w:id="106"/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El cliente consulta juegos y completa una compra de demostración; el administrador mantiene el catálogo y gestiona usuarios y pedidos. React presenta la interfaz. Express valida datos y permisos; Prisma accede a PostgreSQL. Las contraseñas utilizan hash bcrypt y la sesión, una cookie HttpOnly. OrderItem conserva el precio de compra; el pedido y el descuento de stock se ejecutan en una transacción. Los productos con pedidos se archivan para proteger el historial.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Flujos: F01 registro y sesión; F02 catálogo y detalle; F03 carrito; F04 compra e historial; F05 administración. Los pagos reales y la entrega de claves digitales quedan fuera del alcance.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ISO/IEC 25010:2023 orienta los atributos e ISO/IEC 25023:2016, la medición; los umbrales locales son decisiones del proyecto, sin declarar certificación (International Organization for Standardization [ISO], 2016, 2023). SWEBOK fundamenta pruebas y configuración; ISTQB, particiones, límites, decisiones y transiciones (IEEE Computer Society, 2025; International Software Testing Qualifications Board [ISTQB], 2024).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Se delimitaron los flujos y riesgos, se prepararon datos ficticios y se ejecutaron veinte casos de caja negra con Playwright y comprobaciones HTTP. Después se midió el catálogo, se recogió el autorreporte de uso y se verificó la corrección D01. Los registros automáticos y el piloto se interpretan por separado.</w:t>
      </w:r>
    </w:p>
    <w:p>
      <w:pPr>
        <w:pStyle w:val="Ttulo2"/>
        <w:spacing w:before="120" w:after="160" w:line="252" w:lineRule="auto"/>
        <w:rPr>
          <w:rFonts w:ascii="Arial" w:hAnsi="Arial" w:cs="Arial"/>
          <w:color w:val="000000"/>
          <w:sz w:val="24"/>
        </w:rPr>
        <w:keepNext/>
        <w:keepLines/>
      </w:pPr>
      <w:bookmarkStart w:id="107" w:name="interesados_riesgos"/>
      <w:r>
        <w:rPr>
          <w:rFonts w:ascii="Arial" w:hAnsi="Arial" w:cs="Arial"/>
          <w:b/>
          <w:color w:val="000000"/>
          <w:sz w:val="24"/>
          <w:szCs w:val="24"/>
        </w:rPr>
        <w:t xml:space="preserve">6.2 Interesados y riesgos</w:t>
      </w:r>
      <w:bookmarkEnd w:id="107"/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El cliente necesita importes correctos y navegación comprensible; el administrador, catálogo e historial íntegros; el mantenedor, cambios verificables; y el docente, evidencias trazables. Se estimó probabilidad e impacto de 1 a 3 —bajo, medio y alto—; P × I expresa prioridad, no fallos observados.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25"/>
        <w:gridCol w:w="1304"/>
        <w:gridCol w:w="3175"/>
      </w:tblGrid>
      <w:tr w:rsidR="00470A55" w:rsidRPr="008116A2" w14:paraId="4E2CB8A1" w14:textId="77777777">
        <w:trPr>
          <w:cantSplit/>
          <w:tblHeader/>
          <w:jc w:val="center"/>
        </w:trPr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20AA79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b/>
                <w:color w:val="000000"/>
              </w:rPr>
              <w:t>Riesgo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38B27B" w14:textId="77777777" w:rsidR="00470A55" w:rsidRPr="008116A2" w:rsidRDefault="004D7B6D">
            <w:pPr>
              <w:spacing w:after="40"/>
              <w:jc w:val="center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b/>
                <w:color w:val="000000"/>
              </w:rPr>
              <w:t>P × I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240050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b/>
                <w:color w:val="000000"/>
              </w:rPr>
              <w:t>Comprobación</w:t>
            </w:r>
          </w:p>
        </w:tc>
      </w:tr>
      <w:tr w:rsidR="00470A55" w:rsidRPr="008116A2" w14:paraId="7FF2D136" w14:textId="77777777">
        <w:trPr>
          <w:cantSplit/>
          <w:jc w:val="center"/>
        </w:trPr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B3E1D7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R01 Importe o stock incorrectos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EBB76B" w14:textId="77777777" w:rsidR="00470A55" w:rsidRPr="008116A2" w:rsidRDefault="004D7B6D">
            <w:pPr>
              <w:spacing w:after="40"/>
              <w:jc w:val="center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2 × 3 = 6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E85432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CP12, CP13, CP15 y CP16</w:t>
            </w:r>
          </w:p>
        </w:tc>
      </w:tr>
      <w:tr w:rsidR="00470A55" w:rsidRPr="008116A2" w14:paraId="06D2012A" w14:textId="77777777">
        <w:trPr>
          <w:cantSplit/>
          <w:jc w:val="center"/>
        </w:trPr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50F6A9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R02 Acceso administrativo indebido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13768E" w14:textId="77777777" w:rsidR="00470A55" w:rsidRPr="008116A2" w:rsidRDefault="004D7B6D">
            <w:pPr>
              <w:spacing w:after="40"/>
              <w:jc w:val="center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1 × 3 = 3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B7F22A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CP20</w:t>
            </w:r>
          </w:p>
        </w:tc>
      </w:tr>
      <w:tr w:rsidR="00470A55" w:rsidRPr="008116A2" w14:paraId="2CA9367A" w14:textId="77777777">
        <w:trPr>
          <w:cantSplit/>
          <w:jc w:val="center"/>
        </w:trPr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835BCF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R03 Pérdida del historial de compra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65ECD6" w14:textId="77777777" w:rsidR="00470A55" w:rsidRPr="008116A2" w:rsidRDefault="004D7B6D">
            <w:pPr>
              <w:spacing w:after="40"/>
              <w:jc w:val="center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2 × 3 = 6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3BC960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CP19</w:t>
            </w:r>
          </w:p>
        </w:tc>
      </w:tr>
      <w:tr w:rsidR="00470A55" w:rsidRPr="008116A2" w14:paraId="081844A0" w14:textId="77777777">
        <w:trPr>
          <w:cantSplit/>
          <w:jc w:val="center"/>
        </w:trPr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9BAE8C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R04 Fallos o demoras del catálogo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8434F5" w14:textId="77777777" w:rsidR="00470A55" w:rsidRPr="008116A2" w:rsidRDefault="004D7B6D">
            <w:pPr>
              <w:spacing w:after="40"/>
              <w:jc w:val="center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2 × 2 = 4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F07DD6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Treinta consultas HTTP</w:t>
            </w:r>
          </w:p>
        </w:tc>
      </w:tr>
      <w:tr w:rsidR="00470A55" w:rsidRPr="008116A2" w14:paraId="57861DD2" w14:textId="77777777">
        <w:trPr>
          <w:cantSplit/>
          <w:jc w:val="center"/>
        </w:trPr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0D6559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R05 Dificultad para comprar sin ayuda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F5DC26" w14:textId="77777777" w:rsidR="00470A55" w:rsidRPr="008116A2" w:rsidRDefault="004D7B6D">
            <w:pPr>
              <w:spacing w:after="40"/>
              <w:jc w:val="center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2 × 2 = 4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0B8F51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Cinco tareas de P01</w:t>
            </w:r>
          </w:p>
        </w:tc>
      </w:tr>
      <w:tr w:rsidR="00470A55" w:rsidRPr="008116A2" w14:paraId="4424A2D7" w14:textId="77777777">
        <w:trPr>
          <w:cantSplit/>
          <w:jc w:val="center"/>
        </w:trPr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32E3D2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R06 Compilación no reproducible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5AC3A8" w14:textId="77777777" w:rsidR="00470A55" w:rsidRPr="008116A2" w:rsidRDefault="004D7B6D">
            <w:pPr>
              <w:spacing w:after="40"/>
              <w:jc w:val="center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2 × 2 = 4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10F21A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Build inicial y corregido</w:t>
            </w:r>
          </w:p>
        </w:tc>
      </w:tr>
    </w:tbl>
    <w:p>
      <w:pPr>
        <w:pStyle w:val="Ttulo2"/>
        <w:spacing w:before="120" w:after="160" w:line="252" w:lineRule="auto"/>
        <w:rPr>
          <w:rFonts w:ascii="Arial" w:hAnsi="Arial" w:cs="Arial"/>
          <w:color w:val="000000"/>
          <w:sz w:val="24"/>
        </w:rPr>
        <w:pageBreakBefore/>
        <w:keepNext/>
        <w:keepLines/>
      </w:pPr>
      <w:bookmarkStart w:id="108" w:name="baseline_pruebas"/>
      <w:r>
        <w:rPr>
          <w:rFonts w:ascii="Arial" w:hAnsi="Arial" w:cs="Arial"/>
          <w:b/>
          <w:color w:val="000000"/>
          <w:sz w:val="24"/>
          <w:szCs w:val="24"/>
        </w:rPr>
        <w:t xml:space="preserve">6.3 Versión base y pruebas</w:t>
      </w:r>
      <w:bookmarkEnd w:id="108"/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La versión base (baseline) identifica el código inicial y permite compararlo con la mejora. La evaluación se ejecutó el 10 de octubre de 2026 con cuentas ficticias, ocho juegos y un esquema PostgreSQL temporal separado; su retiro consta en cleanup.json.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Baseline: afac785407c041abc13f9b8651e70293aae488d4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Etiqueta: baseline-calidad-v1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Mejora: f6c1a4c1db8af32cbd3311ec4c6fe2d20d9caa14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Rama: codex/calidad-evaluacion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Repositorio: https://github.com/orlandotrujillo028-debug/NeonPlay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El docente necesita acceso al repositorio privado. Su historial conserva las fechas reales del proyecto.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6104"/>
      </w:tblGrid>
      <w:tr w:rsidR="00470A55" w:rsidRPr="008116A2" w14:paraId="17390B15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line="252" w:lineRule="auto" w:before="0"/>
              <w:rPr>
                <w:rFonts w:ascii="Arial" w:hAnsi="Arial" w:cs="Arial"/>
                <w:color w:val="000000"/>
              </w:rPr>
              <w:keepLines/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Elemento</w:t>
            </w:r>
          </w:p>
        </w:tc>
        <w:tc>
          <w:tcPr>
            <w:tcW w:w="6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line="252" w:lineRule="auto" w:before="0"/>
              <w:rPr>
                <w:rFonts w:ascii="Arial" w:hAnsi="Arial" w:cs="Arial"/>
                <w:color w:val="000000"/>
              </w:rPr>
              <w:keepLines/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Configuración evaluada</w:t>
            </w:r>
          </w:p>
        </w:tc>
      </w:tr>
      <w:tr w:rsidR="00470A55" w:rsidRPr="008116A2" w14:paraId="289AD40B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line="252" w:lineRule="auto" w:before="0"/>
              <w:rPr>
                <w:rFonts w:ascii="Arial" w:hAnsi="Arial" w:cs="Arial"/>
                <w:color w:val="000000"/>
              </w:rPr>
              <w:keepLines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Sistema y herramientas</w:t>
            </w:r>
          </w:p>
        </w:tc>
        <w:tc>
          <w:tcPr>
            <w:tcW w:w="6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line="252" w:lineRule="auto" w:before="0"/>
              <w:rPr>
                <w:rFonts w:ascii="Arial" w:hAnsi="Arial" w:cs="Arial"/>
                <w:color w:val="000000"/>
              </w:rPr>
              <w:keepLines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Windows 11 Home 10.0.26300; Node 22.23.3; Prisma 6.19.0; Vite 7.1.7.</w:t>
            </w:r>
          </w:p>
        </w:tc>
      </w:tr>
      <w:tr w:rsidR="00470A55" w:rsidRPr="008116A2" w14:paraId="289AD40B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line="252" w:lineRule="auto" w:before="0"/>
              <w:rPr>
                <w:rFonts w:ascii="Arial" w:hAnsi="Arial" w:cs="Arial"/>
                <w:color w:val="000000"/>
              </w:rPr>
              <w:keepLines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Navegador y pruebas</w:t>
            </w:r>
          </w:p>
        </w:tc>
        <w:tc>
          <w:tcPr>
            <w:tcW w:w="6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line="252" w:lineRule="auto" w:before="0"/>
              <w:rPr>
                <w:rFonts w:ascii="Arial" w:hAnsi="Arial" w:cs="Arial"/>
                <w:color w:val="000000"/>
              </w:rPr>
              <w:keepLines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Chrome 154.0.8037.98; 1440 × 1000; Playwright 1.62.1 y Vitest 3.2.4.</w:t>
            </w:r>
          </w:p>
        </w:tc>
      </w:tr>
      <w:tr w:rsidR="00470A55" w:rsidRPr="008116A2" w14:paraId="289AD40B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line="252" w:lineRule="auto" w:before="0"/>
              <w:rPr>
                <w:rFonts w:ascii="Arial" w:hAnsi="Arial" w:cs="Arial"/>
                <w:color w:val="000000"/>
              </w:rPr>
              <w:keepLines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Servicios locales</w:t>
            </w:r>
          </w:p>
        </w:tc>
        <w:tc>
          <w:tcPr>
            <w:tcW w:w="6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line="252" w:lineRule="auto" w:before="0"/>
              <w:rPr>
                <w:rFonts w:ascii="Arial" w:hAnsi="Arial" w:cs="Arial"/>
                <w:color w:val="000000"/>
              </w:rPr>
              <w:keepLines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API y tienda: 127.0.0.1:4011; PostgreSQL: 127.0.0.1:55432.</w:t>
            </w:r>
          </w:p>
        </w:tc>
      </w:tr>
      <w:tr w:rsidR="00470A55" w:rsidRPr="008116A2" w14:paraId="289AD40B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line="252" w:lineRule="auto" w:before="0"/>
              <w:rPr>
                <w:rFonts w:ascii="Arial" w:hAnsi="Arial" w:cs="Arial"/>
                <w:color w:val="000000"/>
              </w:rPr>
              <w:keepLines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Datos iniciales</w:t>
            </w:r>
          </w:p>
        </w:tc>
        <w:tc>
          <w:tcPr>
            <w:tcW w:w="6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40" w:line="252" w:lineRule="auto" w:before="0"/>
              <w:rPr>
                <w:rFonts w:ascii="Arial" w:hAnsi="Arial" w:cs="Arial"/>
                <w:color w:val="000000"/>
              </w:rPr>
              <w:keepLines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Nexus: USD 39,99 y stock 2. Void Command: stock 0.</w:t>
            </w:r>
          </w:p>
        </w:tc>
      </w:tr>
    </w:tbl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Los casos incluyen entradas válidas, inválidas y límites. Aprobado (Pass) significa que el resultado obtenido coincide con el esperado. La tabla resume la versión base; el Anexo A conserva las veinte fichas.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231"/>
        <w:gridCol w:w="1871"/>
      </w:tblGrid>
      <w:tr w:rsidR="00470A55" w:rsidRPr="008116A2" w14:paraId="044991D5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B48F0D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b/>
                <w:color w:val="000000"/>
              </w:rPr>
              <w:t>Flujo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E0A389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b/>
                <w:color w:val="000000"/>
              </w:rPr>
              <w:t>Casos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EEB959" w14:textId="77777777" w:rsidR="00470A55" w:rsidRPr="008116A2" w:rsidRDefault="004D7B6D">
            <w:pPr>
              <w:spacing w:after="40"/>
              <w:jc w:val="center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b/>
                <w:color w:val="000000"/>
              </w:rPr>
              <w:t>Pass</w:t>
            </w:r>
          </w:p>
        </w:tc>
      </w:tr>
      <w:tr w:rsidR="00470A55" w:rsidRPr="008116A2" w14:paraId="753653D1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6C4DA8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Registro y sesión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EBDF20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CP01 a CP06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DBB833" w14:textId="77777777" w:rsidR="00470A55" w:rsidRPr="008116A2" w:rsidRDefault="004D7B6D">
            <w:pPr>
              <w:spacing w:after="40"/>
              <w:jc w:val="center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6 de 6</w:t>
            </w:r>
          </w:p>
        </w:tc>
      </w:tr>
      <w:tr w:rsidR="00470A55" w:rsidRPr="008116A2" w14:paraId="17D408E6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3A6A38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Catálogo y detalle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09B266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CP07 a CP11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0DB48B" w14:textId="77777777" w:rsidR="00470A55" w:rsidRPr="008116A2" w:rsidRDefault="004D7B6D">
            <w:pPr>
              <w:spacing w:after="40"/>
              <w:jc w:val="center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5 de 5</w:t>
            </w:r>
          </w:p>
        </w:tc>
      </w:tr>
      <w:tr w:rsidR="00470A55" w:rsidRPr="008116A2" w14:paraId="2A6DE06B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660F36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Carrito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62522D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CP12 a CP14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F74DBC" w14:textId="77777777" w:rsidR="00470A55" w:rsidRPr="008116A2" w:rsidRDefault="004D7B6D">
            <w:pPr>
              <w:spacing w:after="40"/>
              <w:jc w:val="center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3 de 3</w:t>
            </w:r>
          </w:p>
        </w:tc>
      </w:tr>
      <w:tr w:rsidR="00470A55" w:rsidRPr="008116A2" w14:paraId="4549B023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472869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Compra e historial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E62AAF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CP15 y CP16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005856" w14:textId="77777777" w:rsidR="00470A55" w:rsidRPr="008116A2" w:rsidRDefault="004D7B6D">
            <w:pPr>
              <w:spacing w:after="40"/>
              <w:jc w:val="center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2 de 2</w:t>
            </w:r>
          </w:p>
        </w:tc>
      </w:tr>
      <w:tr w:rsidR="00470A55" w:rsidRPr="008116A2" w14:paraId="4905117D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F700D6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Administración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E7EE94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CP17 a CP20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B87FA1" w14:textId="77777777" w:rsidR="00470A55" w:rsidRPr="008116A2" w:rsidRDefault="004D7B6D">
            <w:pPr>
              <w:spacing w:after="40"/>
              <w:jc w:val="center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4 de 4</w:t>
            </w:r>
          </w:p>
        </w:tc>
      </w:tr>
      <w:tr w:rsidR="00470A55" w:rsidRPr="008116A2" w14:paraId="69891FF9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7CC59F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Total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B63D1A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CP01 a CP20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52EE34" w14:textId="77777777" w:rsidR="00470A55" w:rsidRPr="008116A2" w:rsidRDefault="004D7B6D">
            <w:pPr>
              <w:spacing w:after="40"/>
              <w:jc w:val="center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20 de 20</w:t>
            </w:r>
          </w:p>
        </w:tc>
      </w:tr>
    </w:tbl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CP13 limitó el carrito a dos unidades y USD 79,98. CP15 creó un pedido de USD 39,99 y redujo el stock de 2 a 1; CP16 rechazó el producto agotado con HTTP 409 sin otro pedido. CP17 completó el CRUD; CP19 conservó el historial al archivar; CP20 devolvió HTTP 403 al cliente y 401 sin sesión.</w:t>
      </w:r>
    </w:p>
    <w:p>
      <w:pPr>
        <w:pStyle w:val="Ttulo2"/>
        <w:spacing w:before="120" w:after="160" w:line="252" w:lineRule="auto"/>
        <w:rPr>
          <w:rFonts w:ascii="Arial" w:hAnsi="Arial" w:cs="Arial"/>
          <w:color w:val="000000"/>
          <w:sz w:val="24"/>
        </w:rPr>
        <w:pageBreakBefore/>
        <w:keepNext/>
        <w:keepLines/>
      </w:pPr>
      <w:bookmarkStart w:id="109" w:name="metricas"/>
      <w:r>
        <w:rPr>
          <w:rFonts w:ascii="Arial" w:hAnsi="Arial" w:cs="Arial"/>
          <w:b/>
          <w:color w:val="000000"/>
          <w:sz w:val="24"/>
          <w:szCs w:val="24"/>
        </w:rPr>
        <w:t xml:space="preserve">6.4 Métricas y resultados</w:t>
      </w:r>
      <w:bookmarkEnd w:id="109"/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Las tasas usan resultados conformes / total × 100; se corrige el × 10 de la consigna. La cobertura mide flujos, no líneas de código.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1531"/>
        <w:gridCol w:w="1531"/>
        <w:gridCol w:w="1928"/>
      </w:tblGrid>
      <w:tr w:rsidR="00470A55" w:rsidRPr="008116A2" w14:paraId="72823D9B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581301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b/>
                <w:color w:val="000000"/>
              </w:rPr>
              <w:t>Atributo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DDECBF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b/>
                <w:color w:val="000000"/>
              </w:rPr>
              <w:t>Métrica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D03DFE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b/>
                <w:color w:val="000000"/>
              </w:rPr>
              <w:t>Resultado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E7149C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b/>
                <w:color w:val="000000"/>
              </w:rPr>
              <w:t>Criterio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0E8E9F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b/>
                <w:color w:val="000000"/>
              </w:rPr>
              <w:t>Conclusión</w:t>
            </w:r>
          </w:p>
        </w:tc>
      </w:tr>
      <w:tr w:rsidR="00470A55" w:rsidRPr="008116A2" w14:paraId="1F4064A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8246F8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Adecuación funcional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E93BAF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Pass / ejecutados × 100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A38D21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20/20 = 100%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69FBB1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≥ 95%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E95A76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Cumple el alcance probado.</w:t>
            </w:r>
          </w:p>
        </w:tc>
      </w:tr>
      <w:tr w:rsidR="00470A55" w:rsidRPr="008116A2" w14:paraId="77519B5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62C978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Eficiencia de desempeño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D7AFCC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Mediana y p95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800F95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3,60 ms y 4,45 ms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E2A53E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≤ 300 ms y ≤ 500 ms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E9F465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Cumple en local.</w:t>
            </w:r>
          </w:p>
        </w:tc>
      </w:tr>
      <w:tr w:rsidR="00470A55" w:rsidRPr="008116A2" w14:paraId="45EB423D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C1FC01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Capacidad de interacción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ED7545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Sin ayuda / intentadas × 100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B8E023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3/5 = 60%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7B7329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≥ 80%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FDBA91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No cumple en el piloto.</w:t>
            </w:r>
          </w:p>
        </w:tc>
      </w:tr>
      <w:tr w:rsidR="00470A55" w:rsidRPr="008116A2" w14:paraId="28F3147D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58F7C6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Fiabilidad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264A10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Correctas / repetidas × 100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40747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30/30 = 100%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C802DC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30 de 30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22AA7C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Cumple en la muestra.</w:t>
            </w:r>
          </w:p>
        </w:tc>
      </w:tr>
    </w:tbl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Criterios adicionales: cinco flujos cubiertos y cero defectos críticos abiertos; resultado: 5/5 = 100% y cero. Baseline: 0 críticos, 0 altos, 1 medio y 0 bajos. D01 quedó cerrado; O01 sigue abierta, sin causa funcional confirmada.</w:t>
      </w:r>
    </w:p>
    <w:p>
      <w:pPr>
        <w:pStyle w:val="Ttulo2"/>
        <w:spacing w:before="120" w:after="16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Desempeño y fiabilidad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Se midió GET /api/games?limit=12&amp;sort=price-asc tras cinco consultas de calentamiento: treinta solicitudes secuenciales, separadas por 250 ms. El tiempo incluyó recepción y validación del JSON. Todas devolvieron HTTP 200, ocho juegos y precios ascendentes.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Tiempos en ms: promedio 3,67; mediana 3,60; p95 4,45; mínimo 2,89; máximo 4,62. Valores exactos: mediana 3,5965 ms y p95 4,452 ms, en la posición ceil(0,95 × 30) = 29. Muestras: rendimiento.csv y performance.json.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Los límites de 300 y 500 ms corresponden a una consulta sencilla en local. Estos resultados no miden navegación completa, descarga de portadas, concurrencia ni disponibilidad prolongada.</w:t>
      </w:r>
    </w:p>
    <w:p>
      <w:pPr>
        <w:pStyle w:val="Ttulo2"/>
        <w:spacing w:before="120" w:after="16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Piloto de uso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P01 informó por escrito sobre cinco tareas intentadas: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Sin ayuda: 1) buscar un juego; 2) filtrar por plataforma; 3) agregar y cambiar cantidad. Necesitó ayuda: 4) completar la compra demo; 5) encontrar el pedido.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El resultado fue 3/5 = 60%, veinte puntos por debajo del 80%. Las tareas asistidas cuentan porque se intentaron; su finalización posterior no se confirmó. Participó una persona familiarizada con el proyecto, por autorreporte, sin tiempos ni observación directa. El piloto no establece la causa de la dificultad.</w:t>
      </w:r>
    </w:p>
    <w:p>
      <w:pPr>
        <w:pStyle w:val="Ttulo2"/>
        <w:spacing w:before="120" w:after="160" w:line="252" w:lineRule="auto"/>
        <w:rPr>
          <w:rFonts w:ascii="Arial" w:hAnsi="Arial" w:cs="Arial"/>
          <w:color w:val="000000"/>
          <w:sz w:val="24"/>
        </w:rPr>
        <w:pageBreakBefore/>
        <w:keepNext/>
        <w:keepLines/>
      </w:pPr>
      <w:bookmarkStart w:id="110" w:name="hallazgos_correccion"/>
      <w:r>
        <w:rPr>
          <w:rFonts w:ascii="Arial" w:hAnsi="Arial" w:cs="Arial"/>
          <w:b/>
          <w:color w:val="000000"/>
          <w:sz w:val="24"/>
          <w:szCs w:val="24"/>
        </w:rPr>
        <w:t xml:space="preserve">6.5 Hallazgos y corrección</w:t>
      </w:r>
      <w:bookmarkEnd w:id="110"/>
    </w:p>
    <w:p>
      <w:pPr>
        <w:pStyle w:val="Ttulo2"/>
        <w:spacing w:before="120" w:after="16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D01 Fallo de compilación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Defecto de severidad media, relacionado con mantenibilidad y reproducibilidad. Estado: cerrado. En Windows, con la API abierta y el cliente Prisma generado vigente, npm.cmd run build debía compilar. El hook prebuild intentó regenerar y renombrar query_engine-windows.dll.node, ocupado por la API; recibió EPERM y terminó con código 1. Evidencia: quality/evidence/baseline-build.txt.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La severidad fue media porque el comando habitual fallaba, pero servidor y cliente podían compilarse por separado; esa alternativa permitió probar el mismo código funcional inicial. El criterio de cierre exigió código 0 con la API abierta y regresión aprobada.</w:t>
      </w:r>
    </w:p>
    <w:p>
      <w:pPr>
        <w:pStyle w:val="Ttulo2"/>
        <w:spacing w:before="120" w:after="16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Corrección y verificación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ensure-prisma-client.mjs se incorporó a predev, prebuild y pretest del servidor. Comprueba esquema, versión, motor e inicialización; reutiliza el cliente vigente y lo genera si falta o cambió. La comparación ignora espacios y comentarios, conservando los valores entre comillas. El README explica cuándo detener la API para regenerar.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La compilación corregida terminó con código 0 manteniendo la API abierta: quality/evidence/improvement-build.txt. Se repitieron los veinte casos, incluidos CP05 (sesión), CP15 (pedido y stock) y CP17 (CRUD). El primer intento tuvo 19 Pass y una espera fallida en CP09; su repetición, esperando la actualización de la URL, fue Pass. El resultado consolidado fue 20/20, con ambos intentos conservados en regression y regression-retry.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También aprobaron veinte pruebas de API sobre PostgreSQL y seis de carrito y fechas. Esas veintiséis pruebas complementarias no se suman a los veinte casos de caja negra. La comparación de client/src, server/src y server/prisma entre baseline y mejora no muestra cambios en las reglas de negocio.</w:t>
      </w:r>
    </w:p>
    <w:p>
      <w:pPr>
        <w:pStyle w:val="Ttulo2"/>
        <w:spacing w:before="120" w:after="16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O01 Ayuda en compra e historial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Observación de prioridad media, abierta. P01 necesitó ayuda en las tareas 4 y 5; interaction.json e interaccion.csv conservan el registro. El autorreporte no identifica el punto de dificultad ni confirma un defecto funcional. Para cerrarla se requiere diagnóstico documentado y repetir el protocolo con al menos 80% de tareas sin ayuda.</w:t>
      </w:r>
    </w:p>
    <w:p>
      <w:pPr>
        <w:pStyle w:val="Ttulo2"/>
        <w:spacing w:before="120" w:after="16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Mantenibilidad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La separación de cliente, servidor, rutas, validaciones y esquema, junto con Git, migraciones y pruebas, facilita revisar cambios. Admin.tsx podría dividirse si crece el panel. La corrección de D01 mejoró la reproducibilidad de la compilación; no se realizó una auditoría completa de mantenibilidad.</w:t>
      </w:r>
    </w:p>
    <w:p>
      <w:pPr>
        <w:pStyle w:val="Ttulo2"/>
        <w:spacing w:before="120" w:after="160" w:line="252" w:lineRule="auto"/>
        <w:rPr>
          <w:rFonts w:ascii="Arial" w:hAnsi="Arial" w:cs="Arial"/>
          <w:color w:val="000000"/>
          <w:sz w:val="24"/>
        </w:rPr>
        <w:pageBreakBefore/>
        <w:keepNext/>
        <w:keepLines/>
      </w:pPr>
      <w:bookmarkStart w:id="111" w:name="plan_discusion"/>
      <w:r>
        <w:rPr>
          <w:rFonts w:ascii="Arial" w:hAnsi="Arial" w:cs="Arial"/>
          <w:b/>
          <w:color w:val="000000"/>
          <w:sz w:val="24"/>
          <w:szCs w:val="24"/>
        </w:rPr>
        <w:t xml:space="preserve">6.6 Plan de mejora y discusión</w:t>
      </w:r>
      <w:bookmarkEnd w:id="11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268"/>
        <w:gridCol w:w="1984"/>
        <w:gridCol w:w="2494"/>
      </w:tblGrid>
      <w:tr w:rsidR="00470A55" w:rsidRPr="008116A2" w14:paraId="53A0EFCA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5BBA2D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b/>
                <w:color w:val="000000"/>
              </w:rPr>
              <w:t>Prioridad y asunto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02367A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b/>
                <w:color w:val="000000"/>
              </w:rPr>
              <w:t>Acción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F0AFE6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b/>
                <w:color w:val="000000"/>
              </w:rPr>
              <w:t>Responsable sugerido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98F2A2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b/>
                <w:color w:val="000000"/>
              </w:rPr>
              <w:t>Criterio de cierre</w:t>
            </w:r>
          </w:p>
        </w:tc>
      </w:tr>
      <w:tr w:rsidR="00470A55" w:rsidRPr="008116A2" w14:paraId="3B330375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1C0866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Media</w:t>
            </w:r>
            <w:r w:rsidRPr="008116A2">
              <w:rPr>
                <w:rFonts w:ascii="Arial" w:hAnsi="Arial" w:cs="Arial"/>
                <w:color w:val="000000"/>
              </w:rPr>
              <w:br/>
              <w:t>D01 Compilación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7B201A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Reutilizar el cliente Prisma vigente y documentar la regeneración.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8B4044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Orlando Eloy Trujillo</w:t>
            </w:r>
            <w:r w:rsidRPr="008116A2">
              <w:rPr>
                <w:rFonts w:ascii="Arial" w:hAnsi="Arial" w:cs="Arial"/>
                <w:color w:val="000000"/>
              </w:rPr>
              <w:br/>
              <w:t>Servidor y configuración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2D3ABC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color w:val="000000"/>
              </w:rPr>
              <w:t xml:space="preserve">Compilación con API abierta: código 0. Casos críticos Pass. Cerrado.</w:t>
            </w:r>
          </w:p>
        </w:tc>
      </w:tr>
      <w:tr w:rsidR="00470A55" w:rsidRPr="008116A2" w14:paraId="6DECDF3A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186C15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Media</w:t>
            </w:r>
            <w:r w:rsidRPr="008116A2">
              <w:rPr>
                <w:rFonts w:ascii="Arial" w:hAnsi="Arial" w:cs="Arial"/>
                <w:color w:val="000000"/>
              </w:rPr>
              <w:br/>
              <w:t>O01 Interacción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F72D88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Observar compra e historial. Probar orientación contextual donde el diagnóstico la justifique.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9A9451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Kevin Adrián Quiñonez Rocha</w:t>
            </w:r>
            <w:r w:rsidRPr="008116A2">
              <w:rPr>
                <w:rFonts w:ascii="Arial" w:hAnsi="Arial" w:cs="Arial"/>
                <w:color w:val="000000"/>
              </w:rPr>
              <w:br/>
              <w:t>Interfaz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38E66E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Causas registradas y ≥ 80% de tareas sin ayuda al repetir. Pendiente.</w:t>
            </w:r>
          </w:p>
        </w:tc>
      </w:tr>
    </w:tbl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Los responsables son una propuesta de seguimiento. Para O01 se invitará a personas que no conozcan la tienda, presentando las mismas tareas sin explicar sus pasos. Se registrarán ayudas, tiempos y finalización. La orientación contextual o un acceso más visible al historial se probarán solo si el diagnóstico los justifica; después se repetirá el piloto y CP05, CP15 y CP17.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Los veinte casos respaldan los cinco flujos seleccionados, especialmente stock, precio histórico, archivado y permisos. Las treinta consultas cumplen los criterios locales. El 60% del piloto aporta una conclusión distinta: una compra puede funcionar con entradas previstas y requerir ayuda en el uso real. Por eso, O01 continúa abierta aunque CP15 sea Pass.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La evaluación se limita a casos seleccionados, una muestra HTTP breve y secuencial y un participante por autorreporte. Antes de un despliegue deben ampliarse pruebas de concurrencia, seguridad y accesibilidad. Pagos reales y claves digitales quedan fuera del alcance académico.</w:t>
      </w:r>
    </w:p>
    <w:p>
      <w:pPr>
        <w:pStyle w:val="Ttulo1"/>
        <w:spacing w:before="120" w:after="160" w:line="252" w:lineRule="auto"/>
        <w:rPr>
          <w:rFonts w:ascii="Arial" w:hAnsi="Arial" w:cs="Arial"/>
          <w:color w:val="000000"/>
          <w:sz w:val="24"/>
        </w:rPr>
        <w:keepNext/>
        <w:keepLines/>
      </w:pPr>
      <w:bookmarkStart w:id="112" w:name="conclusiones"/>
      <w:r>
        <w:rPr>
          <w:rFonts w:ascii="Arial" w:hAnsi="Arial" w:cs="Arial"/>
          <w:b/>
          <w:color w:val="000000"/>
          <w:sz w:val="24"/>
          <w:szCs w:val="24"/>
        </w:rPr>
        <w:t xml:space="preserve">7 Conclusiones</w:t>
      </w:r>
      <w:bookmarkEnd w:id="112"/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1. Los cinco flujos, seis riesgos y una versión base permitieron aplicar conceptos de calidad y organizar una evaluación trazable.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2. NeonPlay aprobó 20/20 casos y 30/30 consultas; mediana y p95 cumplieron los límites locales. El piloto obtuvo 60% frente a la meta del 80%, por lo que compra e historial requieren seguimiento.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3. D01 se cerró con compilación exitosa y regresión final aprobada, apoyada por veintiséis pruebas complementarias. O01 conserva un plan y criterio de cierre; la evidencia permite distinguir funcionamiento comprobado de mejoras pendientes.</w:t>
      </w:r>
    </w:p>
    <w:p>
      <w:pPr>
        <w:pStyle w:val="Ttulo1"/>
        <w:spacing w:before="120" w:after="160" w:line="252" w:lineRule="auto"/>
        <w:rPr>
          <w:rFonts w:ascii="Arial" w:hAnsi="Arial" w:cs="Arial"/>
          <w:color w:val="000000"/>
          <w:sz w:val="24"/>
        </w:rPr>
        <w:pageBreakBefore/>
        <w:keepNext/>
        <w:keepLines/>
      </w:pPr>
      <w:bookmarkStart w:id="113" w:name="bibliografia"/>
      <w:r>
        <w:rPr>
          <w:rFonts w:ascii="Arial" w:hAnsi="Arial" w:cs="Arial"/>
          <w:b/>
          <w:color w:val="000000"/>
          <w:sz w:val="24"/>
          <w:szCs w:val="24"/>
        </w:rPr>
        <w:t xml:space="preserve">8 Bibliografía</w:t>
      </w:r>
      <w:bookmarkEnd w:id="113"/>
    </w:p>
    <w:p w14:paraId="54176A3F" w14:textId="77777777" w:rsidR="00470A55" w:rsidRPr="008116A2" w:rsidRDefault="004D7B6D">
      <w:pPr>
        <w:spacing w:after="200" w:line="252" w:lineRule="auto"/>
        <w:ind w:left="720" w:hanging="720"/>
        <w:rPr>
          <w:rFonts w:ascii="Arial" w:hAnsi="Arial" w:cs="Arial"/>
          <w:color w:val="000000"/>
        </w:rPr>
      </w:pPr>
      <w:r w:rsidRPr="008116A2">
        <w:rPr>
          <w:rFonts w:ascii="Arial" w:hAnsi="Arial" w:cs="Arial"/>
          <w:color w:val="000000"/>
        </w:rPr>
        <w:t xml:space="preserve">IEEE Computer Society. (2025). </w:t>
      </w:r>
      <w:r w:rsidRPr="008116A2">
        <w:rPr>
          <w:rFonts w:ascii="Arial" w:hAnsi="Arial" w:cs="Arial"/>
          <w:i/>
          <w:color w:val="000000"/>
        </w:rPr>
        <w:t>Guide to the Software Engineering Body of Knowledge Version 4.0a</w:t>
      </w:r>
      <w:r w:rsidRPr="008116A2">
        <w:rPr>
          <w:rFonts w:ascii="Arial" w:hAnsi="Arial" w:cs="Arial"/>
          <w:color w:val="000000"/>
        </w:rPr>
        <w:t>. https://www.computer.org/education/bodies-of-knowledge/software-engineering/v4</w:t>
      </w:r>
    </w:p>
    <w:p w14:paraId="2153D9D7" w14:textId="77777777" w:rsidR="00470A55" w:rsidRPr="008116A2" w:rsidRDefault="004D7B6D">
      <w:pPr>
        <w:spacing w:after="200" w:line="252" w:lineRule="auto"/>
        <w:ind w:left="720" w:hanging="720"/>
        <w:rPr>
          <w:rFonts w:ascii="Arial" w:hAnsi="Arial" w:cs="Arial"/>
          <w:color w:val="000000"/>
        </w:rPr>
      </w:pPr>
      <w:r w:rsidRPr="008116A2">
        <w:rPr>
          <w:rFonts w:ascii="Arial" w:hAnsi="Arial" w:cs="Arial"/>
          <w:color w:val="000000"/>
        </w:rPr>
        <w:t xml:space="preserve">International Organization for Standardization. (2016). </w:t>
      </w:r>
      <w:r w:rsidRPr="008116A2">
        <w:rPr>
          <w:rFonts w:ascii="Arial" w:hAnsi="Arial" w:cs="Arial"/>
          <w:i/>
          <w:color w:val="000000"/>
        </w:rPr>
        <w:t>ISO/IEC 25023:2016 Systems and software engineering — Systems and software Quality Requirements and Evaluation (SQuaRE) — Measurement of system and software product quality</w:t>
      </w:r>
      <w:r w:rsidRPr="008116A2">
        <w:rPr>
          <w:rFonts w:ascii="Arial" w:hAnsi="Arial" w:cs="Arial"/>
          <w:color w:val="000000"/>
        </w:rPr>
        <w:t>. https://www.iso.org/standard/35747.html</w:t>
      </w:r>
    </w:p>
    <w:p w14:paraId="28D8D69D" w14:textId="77777777" w:rsidR="00470A55" w:rsidRPr="008116A2" w:rsidRDefault="004D7B6D">
      <w:pPr>
        <w:spacing w:after="200" w:line="252" w:lineRule="auto"/>
        <w:ind w:left="720" w:hanging="720"/>
        <w:rPr>
          <w:rFonts w:ascii="Arial" w:hAnsi="Arial" w:cs="Arial"/>
          <w:color w:val="000000"/>
        </w:rPr>
      </w:pPr>
      <w:r w:rsidRPr="008116A2">
        <w:rPr>
          <w:rFonts w:ascii="Arial" w:hAnsi="Arial" w:cs="Arial"/>
          <w:color w:val="000000"/>
        </w:rPr>
        <w:t xml:space="preserve">International Organization for Standardization. (2023). </w:t>
      </w:r>
      <w:r w:rsidRPr="008116A2">
        <w:rPr>
          <w:rFonts w:ascii="Arial" w:hAnsi="Arial" w:cs="Arial"/>
          <w:i/>
          <w:color w:val="000000"/>
        </w:rPr>
        <w:t>ISO/IEC 25010:2023 Systems and software engineering — Systems and software Quality Requirements and Evaluation (SQuaRE) — Product quality model</w:t>
      </w:r>
      <w:r w:rsidRPr="008116A2">
        <w:rPr>
          <w:rFonts w:ascii="Arial" w:hAnsi="Arial" w:cs="Arial"/>
          <w:color w:val="000000"/>
        </w:rPr>
        <w:t>. https://www.iso.org/standard/78176.html</w:t>
      </w:r>
    </w:p>
    <w:p w14:paraId="21ADFFC8" w14:textId="77777777" w:rsidR="00470A55" w:rsidRPr="008116A2" w:rsidRDefault="004D7B6D">
      <w:pPr>
        <w:spacing w:after="200" w:line="252" w:lineRule="auto"/>
        <w:ind w:left="720" w:hanging="720"/>
        <w:rPr>
          <w:rFonts w:ascii="Arial" w:hAnsi="Arial" w:cs="Arial"/>
          <w:color w:val="000000"/>
        </w:rPr>
      </w:pPr>
      <w:r w:rsidRPr="008116A2">
        <w:rPr>
          <w:rFonts w:ascii="Arial" w:hAnsi="Arial" w:cs="Arial"/>
          <w:color w:val="000000"/>
        </w:rPr>
        <w:t xml:space="preserve">International Software Testing Qualifications Board. (2024). </w:t>
      </w:r>
      <w:r w:rsidRPr="008116A2">
        <w:rPr>
          <w:rFonts w:ascii="Arial" w:hAnsi="Arial" w:cs="Arial"/>
          <w:i/>
          <w:color w:val="000000"/>
        </w:rPr>
        <w:t>Certified Tester Foundation Level Syllabus Version 4.0.1</w:t>
      </w:r>
      <w:r w:rsidRPr="008116A2">
        <w:rPr>
          <w:rFonts w:ascii="Arial" w:hAnsi="Arial" w:cs="Arial"/>
          <w:color w:val="000000"/>
        </w:rPr>
        <w:t>. https://istqb.org/wp-content/uploads/2024/11/ISTQB_CTFL_Syllabus_v4.0.1.pdf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Fuentes consultadas el 10 de octubre de 2026. Las referencias ISO corresponden a sus fichas públicas; las evidencias del proyecto se conservan en Git.</w:t>
      </w:r>
    </w:p>
    <w:p>
      <w:pPr>
        <w:pStyle w:val="Ttulo1"/>
        <w:spacing w:before="120" w:after="160" w:line="252" w:lineRule="auto"/>
        <w:rPr>
          <w:rFonts w:ascii="Arial" w:hAnsi="Arial" w:cs="Arial"/>
          <w:color w:val="000000"/>
          <w:sz w:val="24"/>
        </w:rPr>
        <w:keepNext/>
        <w:keepLines/>
      </w:pPr>
      <w:bookmarkStart w:id="114" w:name="anexos"/>
      <w:r>
        <w:rPr>
          <w:rFonts w:ascii="Arial" w:hAnsi="Arial" w:cs="Arial"/>
          <w:b/>
          <w:color w:val="000000"/>
          <w:sz w:val="24"/>
          <w:szCs w:val="24"/>
        </w:rPr>
        <w:t xml:space="preserve">9 Anexos</w:t>
      </w:r>
      <w:bookmarkEnd w:id="114"/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El Anexo A contiene veinte casos compactos con todos sus campos; el B presenta seis capturas reales de NeonPlay; y el C permite localizar y repetir la evaluación. Las matrices CSV y los registros JSON conservan los detalles de ejecución.</w:t>
      </w:r>
    </w:p>
    <w:p>
      <w:pPr>
        <w:pStyle w:val="Ttulo2"/>
        <w:spacing w:before="120" w:after="16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Datos comunes de las pruebas administrativas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CP17–CP18: descripción «Videojuego ficticio exclusivo para pruebas de calidad de NeonPlay.»; imagen /assets/nexus.png; categoría Acción; PC; fecha 10/10/2026 (HTTP: 2026-10-10T00:00:00.000Z); featured=false; sin precio anterior. Los IDs proceden del conjunto inicial.</w:t>
      </w:r>
    </w:p>
    <w:p>
      <w:pPr>
        <w:pStyle w:val="Ttulo1"/>
        <w:spacing w:before="120" w:after="160" w:line="252" w:lineRule="auto"/>
        <w:rPr>
          <w:rFonts w:ascii="Arial" w:hAnsi="Arial" w:cs="Arial"/>
          <w:color w:val="000000"/>
          <w:sz w:val="24"/>
        </w:rPr>
        <w:pageBreakBefore/>
        <w:keepNext/>
        <w:keepLines/>
      </w:pPr>
      <w:bookmarkStart w:id="115" w:name="anexo_a"/>
      <w:r>
        <w:rPr>
          <w:rFonts w:ascii="Arial" w:hAnsi="Arial" w:cs="Arial"/>
          <w:b/>
          <w:color w:val="000000"/>
          <w:sz w:val="24"/>
          <w:szCs w:val="24"/>
        </w:rPr>
        <w:t xml:space="preserve">Anexo A Casos de prueba</w:t>
      </w:r>
      <w:bookmarkEnd w:id="115"/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CP01 Registro válido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Registrar una cuenta válida.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Partición válida.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Sin sesión; correo único.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Evaluador QA; qa-baseline-1791675084542@quality.test; QualityTest!2026.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Abrir /register; completar los datos; crear cuenta; consultar perfil.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Cuenta CUSTOMER y sesión iniciada.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Cuenta creada; perfil HTTP 200 y rol CUSTOMER.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quality/evidence/baseline/CP01.png.</w:t>
      </w:r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CP02 Correo inválido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Rechazar un correo inválido.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Partición inválida.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Sin sesión.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Evaluador QA; correo-invalido; QualityTest!2026.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Enviar el registro con esos datos; repetir por HTTP.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Formulario y servidor rechazan el correo.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Navegador exige @; HTTP 400: Invalid email.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quality/evidence/baseline/CP02.png.</w:t>
      </w:r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CP03 Contraseña de siete caracteres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Comprobar longitud mínima.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Límite inferior.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Sin sesión.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Evaluador QA; short@quality.test; Abcd123 (7 caracteres).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Enviar registro con esos datos y comprobar respuesta HTTP.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Rechazo si tiene menos de 8 caracteres.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Registro no avanza; HTTP 400 por mínimo de 8.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quality/evidence/baseline/CP03.png.</w:t>
      </w:r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CP04 Correo duplicado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Evitar cuentas duplicadas.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Partición inválida.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Correo CP01 existente; sesión cerrada.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Evaluador QA; correo de CP01; QualityTest!2026.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Repetir el registro con el correo de CP01 y leer alerta.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Conflicto sin una segunda cuenta.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Alerta: Ya existe un registro con ese nombre o correo.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quality/evidence/baseline/CP04.png.</w:t>
      </w:r>
    </w:p>
    <w:p>
      <w:pPr>
        <w:pStyle w:val="Ttulo1"/>
        <w:spacing w:before="120" w:after="160" w:line="252" w:lineRule="auto"/>
        <w:rPr>
          <w:rFonts w:ascii="Arial" w:hAnsi="Arial" w:cs="Arial"/>
          <w:color w:val="000000"/>
          <w:sz w:val="24"/>
        </w:rPr>
        <w:pageBreakBefore/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Anexo A Casos 5 a 8</w:t>
      </w:r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CP05 Inicio y cierre de sesión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Comprobar acceso y revocación.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Transición de estados.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Cuenta de cliente activa.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player@quality.test; QualityTest!2026.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Iniciar en /login; consultar perfil; cerrar sesión; abrir /account.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Perfil autenticado; después, login y HTTP 401.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Perfil accesible; cierre redirige y devuelve HTTP 401.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quality/evidence/baseline/CP05.png.</w:t>
      </w:r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CP06 Contraseña incorrecta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Rechazar credenciales incorrectas.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Partición inválida.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Cliente existente; sin sesión.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player@quality.test; Incorrecta123!.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Intentar login; leer alerta y comprobar ausencia de sesión.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Alerta de credenciales inválidas; sin sesión.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Mensaje: Correo o contraseña incorrectos.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quality/evidence/baseline/CP06.png.</w:t>
      </w:r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CP07 Búsqueda por nombre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Localizar un videojuego.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Partición válida.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Catálogo inicial de ocho juegos.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Búsqueda: Nexus.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En /catalog, buscar Nexus y revisar las tarjetas.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Solo coincidencias con Nexus.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Únicamente Nexus: Beyond the Void.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quality/evidence/baseline/CP07.png.</w:t>
      </w:r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CP08 Búsqueda sin resultados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Comprobar estado vacío y recuperación.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Sin coincidencias.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Catálogo disponible.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Búsqueda: zz-no-existe-qa.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Buscar ese texto; revisar estado vacío; limpiar filtros.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Estado vacío; recuperación del catálogo.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Estado vacío mostrado; se recuperan 8 tarjetas.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quality/evidence/baseline/CP08.png.</w:t>
      </w:r>
    </w:p>
    <w:p>
      <w:pPr>
        <w:pStyle w:val="Ttulo1"/>
        <w:spacing w:before="120" w:after="160" w:line="252" w:lineRule="auto"/>
        <w:rPr>
          <w:rFonts w:ascii="Arial" w:hAnsi="Arial" w:cs="Arial"/>
          <w:color w:val="000000"/>
          <w:sz w:val="24"/>
        </w:rPr>
        <w:pageBreakBefore/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Anexo A Casos 9 a 12</w:t>
      </w:r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CP09 Categoría y plataforma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Combinar dos filtros.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Tabla de decisión.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Acción y PC con coincidencias.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Categoría Acción y plataforma PC; IDs en el CSV.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Seleccionar ambos filtros; esperar la URL; revisar y limpiar.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Tarjetas que cumplan los dos filtros.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Nexus y Titan Protocol; limpiar recupera el catálogo.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quality/evidence/baseline/CP09.png.</w:t>
      </w:r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CP10 Ordenamiento de precios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Comprobar ambos órdenes.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Propiedad de ordenamiento.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Ocho juegos de distintos precios.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price-asc y price-desc.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Seleccionar Menor precio y Mayor precio; comparar secuencias.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Orden ascendente y descendente correcto.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19,99; 24,99; 29,99; 29,99; 34,99; 39,99; 44,99; 49,99; luego secuencia inversa.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quality/evidence/baseline/CP10.png.</w:t>
      </w:r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CP11 Detalle válido e inexistente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Consultar detalle y controlar ruta inválida.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Particiones válida e inválida.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Nexus existe.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Slugs nexus-beyond-the-void e inexistente-qa.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Abrir /game/ con cada slug; revisar detalle y error.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Detalle correcto y error comprensible HTTP 404.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Nombre, precio y stock visibles; ruta inválida HTTP 404.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quality/evidence/baseline/CP11.png.</w:t>
      </w:r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CP12 Cantidad mínima y total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Comprobar cantidad y total mínimo.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Límite inferior.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Carrito vacío; Nexus con stock 2.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Nexus: USD 39,99; una unidad.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Añadir Nexus y revisar /cart.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Cantidad 1; total USD 39,99.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Cantidad y total coinciden con lo esperado.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quality/evidence/baseline/CP12.png.</w:t>
      </w:r>
    </w:p>
    <w:p>
      <w:pPr>
        <w:pStyle w:val="Ttulo1"/>
        <w:spacing w:before="120" w:after="160" w:line="252" w:lineRule="auto"/>
        <w:rPr>
          <w:rFonts w:ascii="Arial" w:hAnsi="Arial" w:cs="Arial"/>
          <w:color w:val="000000"/>
          <w:sz w:val="24"/>
        </w:rPr>
        <w:pageBreakBefore/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Anexo A Casos 13 a 16</w:t>
      </w:r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CP13 Límite de cantidad por stock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Impedir superar el stock.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Límite superior.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Nexus en carrito: cantidad 1; stock 2.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Cantidades 1, 2 y tentativa de 3.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Aumentar a 2; intentar 3; revisar cantidad y total.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Máximo 2; total USD 79,98.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Se mantuvieron 2 unidades y USD 79,98.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quality/evidence/baseline/CP13.png.</w:t>
      </w:r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CP14 Persistencia y eliminación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Conservar y retirar una línea.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Transición de estados.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Carrito con dos unidades de Nexus.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Nexus; cantidad 2.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Recargar /cart; verificar cantidad; eliminar la línea.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Cantidad conservada; vacío tras eliminar.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Recarga mantiene 2; eliminación muestra carrito vacío.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quality/evidence/baseline/CP14.png.</w:t>
      </w:r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CP15 Compra e historial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Verificar pedido, precio histórico y stock.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Flujo válido completo.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Cliente autenticado; carrito vacío.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Nexus: USD 39,99; stock inicial 2; compra de 1.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Añadir; comprar; revisar historial por interfaz y HTTP; consultar stock.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Pedido USD 39,99; precio conservado; stock 1.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Pedido y precio correctos; stock 2 → 1; ID en CSV.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quality/evidence/baseline/CP15.png.</w:t>
      </w:r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CP16 Producto agotado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Rechazar compra sin disponibilidad.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Límite stock cero.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Cliente autenticado.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Void Command; stock 0; tentativa de 1.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Ver detalle y botón deshabilitado; intentar pedido HTTP; comparar número de pedidos.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No agregar ni comprar; ningún pedido nuevo.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HTTP 409: Stock insuficiente para Void Command; sin otro pedido.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quality/evidence/baseline/CP16.png.</w:t>
      </w:r>
    </w:p>
    <w:p>
      <w:pPr>
        <w:pStyle w:val="Ttulo1"/>
        <w:spacing w:before="120" w:after="160" w:line="252" w:lineRule="auto"/>
        <w:rPr>
          <w:rFonts w:ascii="Arial" w:hAnsi="Arial" w:cs="Arial"/>
          <w:color w:val="000000"/>
          <w:sz w:val="24"/>
        </w:rPr>
        <w:pageBreakBefore/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Anexo A Casos 17 a 20</w:t>
      </w:r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CP17 CRUD completo sin pedidos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Comprobar crear, consultar, editar y eliminar.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CRUD válido.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Administrador; Acción y PC existentes.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Juego QA baseline; descripción e imagen comunes; precio 29,99 → 31,99; stock 10; valoración 4,5; sin pedidos.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Crear; consultar; editar precio; eliminar con Confirmar; comprobar ausencia.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CRUD completo con confirmación de eliminación.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Creado, consultado y editado a 31,99; eliminación confirmada.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quality/evidence/baseline/CP17.png.</w:t>
      </w:r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CP18 Precio y stock inválidos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Rechazar datos fuera de límites.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Particiones inválidas.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Administrador en formulario nuevo.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Invalido QA baseline; precio 0; stock -1; formulario con datos comunes y valoración 4,5. HTTP: descripción Producto ficticio de validación de calidad.; valoración 4; categoría y primera plataforma de Nexus.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Intentar guardar; verificar formulario inválido; enviar por HTTP; comprobar 400; cancelar.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Formulario y servidor impiden guardar.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HTTP 400: precio mínimo 0,01 y stock mínimo 0; formulario inválido.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quality/evidence/baseline/CP18.png.</w:t>
      </w:r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CP19 Archivado y restauración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Conservar el historial al archivar.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Decisión con relación existente.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Pedido de CP15 asociado a Nexus.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Nexus con un pedido de USD 39,99.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Eliminar con Confirmar; revisar archivado y HTTP 404; consultar historial; restaurar.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Archivado conserva pedido; restauración devuelve producto.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Archivado 404; pedido y precio conservados; restauración 200.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quality/evidence/baseline/CP19.png.</w:t>
      </w:r>
    </w:p>
    <w:p>
      <w:pPr>
        <w:pStyle w:val="Ttulo2"/>
        <w:spacing w:before="80" w:after="4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CP20 Permisos administrativos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Objetivo: </w:t>
      </w:r>
      <w:r>
        <w:rPr>
          <w:rFonts w:ascii="Arial" w:hAnsi="Arial" w:cs="Arial"/>
          <w:color w:val="000000"/>
          <w:sz w:val="24"/>
          <w:szCs w:val="24"/>
        </w:rPr>
        <w:t xml:space="preserve">Restringir operaciones según sesión y rol.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Técnica: </w:t>
      </w:r>
      <w:r>
        <w:rPr>
          <w:rFonts w:ascii="Arial" w:hAnsi="Arial" w:cs="Arial"/>
          <w:color w:val="000000"/>
          <w:sz w:val="24"/>
          <w:szCs w:val="24"/>
        </w:rPr>
        <w:t xml:space="preserve">Particiones por rol.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Precondiciones: </w:t>
      </w:r>
      <w:r>
        <w:rPr>
          <w:rFonts w:ascii="Arial" w:hAnsi="Arial" w:cs="Arial"/>
          <w:color w:val="000000"/>
          <w:sz w:val="24"/>
          <w:szCs w:val="24"/>
        </w:rPr>
        <w:t xml:space="preserve">Cliente autenticado; contexto separado sin sesión.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Datos: </w:t>
      </w:r>
      <w:r>
        <w:rPr>
          <w:rFonts w:ascii="Arial" w:hAnsi="Arial" w:cs="Arial"/>
          <w:color w:val="000000"/>
          <w:sz w:val="24"/>
          <w:szCs w:val="24"/>
        </w:rPr>
        <w:t xml:space="preserve">CUSTOMER y anónimo; creación HTTP solo name=Ataque ficticio.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Pasos: </w:t>
      </w:r>
      <w:r>
        <w:rPr>
          <w:rFonts w:ascii="Arial" w:hAnsi="Arial" w:cs="Arial"/>
          <w:color w:val="000000"/>
          <w:sz w:val="24"/>
          <w:szCs w:val="24"/>
        </w:rPr>
        <w:t xml:space="preserve">Abrir /admin/games; consultar y crear por HTTP como cliente; repetir acceso y consulta sin sesión.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Esperado: </w:t>
      </w:r>
      <w:r>
        <w:rPr>
          <w:rFonts w:ascii="Arial" w:hAnsi="Arial" w:cs="Arial"/>
          <w:color w:val="000000"/>
          <w:sz w:val="24"/>
          <w:szCs w:val="24"/>
        </w:rPr>
        <w:t xml:space="preserve">Cliente HTTP 403; anónimo HTTP 401; sin operaciones.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Obtenido: </w:t>
      </w:r>
      <w:r>
        <w:rPr>
          <w:rFonts w:ascii="Arial" w:hAnsi="Arial" w:cs="Arial"/>
          <w:color w:val="000000"/>
          <w:sz w:val="24"/>
          <w:szCs w:val="24"/>
        </w:rPr>
        <w:t xml:space="preserve">Acceso restringido y 403 en consulta/creación; sin sesión, login y 401.</w:t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Estado: </w:t>
      </w:r>
      <w:r>
        <w:rPr>
          <w:rFonts w:ascii="Arial" w:hAnsi="Arial" w:cs="Arial"/>
          <w:color w:val="000000"/>
          <w:sz w:val="24"/>
          <w:szCs w:val="24"/>
        </w:rPr>
        <w:t xml:space="preserve">Pass. </w:t>
      </w:r>
      <w:r>
        <w:rPr>
          <w:rFonts w:ascii="Arial" w:hAnsi="Arial" w:cs="Arial"/>
          <w:b/>
          <w:color w:val="000000"/>
          <w:sz w:val="24"/>
          <w:szCs w:val="24"/>
        </w:rPr>
        <w:t xml:space="preserve">Evidencia: </w:t>
      </w:r>
      <w:r>
        <w:rPr>
          <w:rFonts w:ascii="Arial" w:hAnsi="Arial" w:cs="Arial"/>
          <w:color w:val="000000"/>
          <w:sz w:val="24"/>
          <w:szCs w:val="24"/>
        </w:rPr>
        <w:t xml:space="preserve">quality/evidence/baseline/CP20.png.</w:t>
      </w:r>
    </w:p>
    <w:p>
      <w:pPr>
        <w:pStyle w:val="Ttulo1"/>
        <w:spacing w:before="120" w:after="160" w:line="252" w:lineRule="auto"/>
        <w:rPr>
          <w:rFonts w:ascii="Arial" w:hAnsi="Arial" w:cs="Arial"/>
          <w:color w:val="000000"/>
          <w:sz w:val="24"/>
        </w:rPr>
        <w:pageBreakBefore/>
        <w:keepNext/>
        <w:keepLines/>
      </w:pPr>
      <w:bookmarkStart w:id="116" w:name="anexo_b"/>
      <w:r>
        <w:rPr>
          <w:rFonts w:ascii="Arial" w:hAnsi="Arial" w:cs="Arial"/>
          <w:b/>
          <w:color w:val="000000"/>
          <w:sz w:val="24"/>
          <w:szCs w:val="24"/>
        </w:rPr>
        <w:t xml:space="preserve">Anexo B Imágenes del proyecto</w:t>
      </w:r>
      <w:bookmarkEnd w:id="116"/>
    </w:p>
    <w:p>
      <w:pPr>
        <w:pStyle w:val="Ttulo2"/>
        <w:spacing w:before="80" w:after="8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Figura 1 Catálogo y búsqueda</w:t>
      </w:r>
    </w:p>
    <w:p w14:paraId="6F9A468B" w14:textId="77777777" w:rsidR="00470A55" w:rsidRPr="008116A2" w:rsidRDefault="004D7B6D">
      <w:pPr>
        <w:spacing w:after="80" w:line="252" w:lineRule="auto"/>
        <w:jc w:val="center"/>
        <w:rPr>
          <w:rFonts w:ascii="Arial" w:hAnsi="Arial" w:cs="Arial"/>
          <w:color w:val="000000"/>
        </w:rPr>
        <w:keepNext/>
      </w:pPr>
      <w:r w:rsidRPr="008116A2">
        <w:rPr>
          <w:rFonts w:ascii="Arial" w:hAnsi="Arial" w:cs="Arial"/>
          <w:noProof/>
          <w:color w:val="000000"/>
        </w:rPr>
        <w:drawing>
          <wp:inline distT="0" distB="0" distL="0" distR="0" wp14:anchorId="62C08B11" wp14:editId="0FA3FC19">
            <wp:extent cx="4860000" cy="3375000"/>
            <wp:effectExtent l="0" t="0" r="0" b="0"/>
            <wp:docPr id="201" name="NeonPlay captura 1" descr="Catálogo y búsqueda. La búsqueda «Nexus» muestra una coincidencia, con precio, plataformas y acceso al carrito. CP07 comprobó el result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CP07.png"/>
                    <pic:cNvPicPr/>
                  </pic:nvPicPr>
                  <pic:blipFill>
                    <a:blip r:embed="rIdResumen1"/>
                    <a:srcRect b="2647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La búsqueda «Nexus» muestra una coincidencia, con precio, plataformas y acceso al carrito. CP07 comprobó el resultado. Evidencia: quality/evidence/baseline/CP07.png.</w:t>
      </w:r>
    </w:p>
    <w:p>
      <w:pPr>
        <w:pStyle w:val="Ttulo2"/>
        <w:spacing w:before="80" w:after="8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Figura 2 Detalle del videojuego</w:t>
      </w:r>
    </w:p>
    <w:p w14:paraId="6F9A468B" w14:textId="77777777" w:rsidR="00470A55" w:rsidRPr="008116A2" w:rsidRDefault="004D7B6D">
      <w:pPr>
        <w:spacing w:after="80" w:line="252" w:lineRule="auto"/>
        <w:jc w:val="center"/>
        <w:rPr>
          <w:rFonts w:ascii="Arial" w:hAnsi="Arial" w:cs="Arial"/>
          <w:color w:val="000000"/>
        </w:rPr>
        <w:keepNext/>
      </w:pPr>
      <w:r w:rsidRPr="008116A2">
        <w:rPr>
          <w:rFonts w:ascii="Arial" w:hAnsi="Arial" w:cs="Arial"/>
          <w:noProof/>
          <w:color w:val="000000"/>
        </w:rPr>
        <w:drawing>
          <wp:inline distT="0" distB="0" distL="0" distR="0" wp14:anchorId="62C08B11" wp14:editId="0FA3FC19">
            <wp:extent cx="4860000" cy="3013875"/>
            <wp:effectExtent l="0" t="0" r="0" b="0"/>
            <wp:docPr id="202" name="NeonPlay captura 2" descr="Detalle del videojuego. Nexus presenta precio USD 39,99, plataforma y dos unidades disponibles, con el botón para añadirlo al carrito. Corresponde al detalle válido de CP1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detalle-valido.png"/>
                    <pic:cNvPicPr/>
                  </pic:nvPicPr>
                  <pic:blipFill>
                    <a:blip r:embed="rIdResumen2"/>
                    <a:srcRect b="3399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1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Nexus presenta precio USD 39,99, plataforma y dos unidades disponibles, con el botón para añadirlo al carrito. Corresponde al detalle válido de CP11. Evidencia: quality/evidence/baseline/detalle-valido.png.</w:t>
      </w:r>
    </w:p>
    <w:p>
      <w:pPr>
        <w:pStyle w:val="Ttulo1"/>
        <w:spacing w:before="120" w:after="160" w:line="252" w:lineRule="auto"/>
        <w:rPr>
          <w:rFonts w:ascii="Arial" w:hAnsi="Arial" w:cs="Arial"/>
          <w:color w:val="000000"/>
          <w:sz w:val="24"/>
        </w:rPr>
        <w:pageBreakBefore/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Anexo B Cuenta y carrito</w:t>
      </w:r>
    </w:p>
    <w:p>
      <w:pPr>
        <w:pStyle w:val="Ttulo2"/>
        <w:spacing w:before="80" w:after="8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Figura 3 Cuenta registrada</w:t>
      </w:r>
    </w:p>
    <w:p w14:paraId="6F9A468B" w14:textId="77777777" w:rsidR="00470A55" w:rsidRPr="008116A2" w:rsidRDefault="004D7B6D">
      <w:pPr>
        <w:spacing w:after="80" w:line="252" w:lineRule="auto"/>
        <w:jc w:val="center"/>
        <w:rPr>
          <w:rFonts w:ascii="Arial" w:hAnsi="Arial" w:cs="Arial"/>
          <w:color w:val="000000"/>
        </w:rPr>
        <w:keepNext/>
      </w:pPr>
      <w:r w:rsidRPr="008116A2">
        <w:rPr>
          <w:rFonts w:ascii="Arial" w:hAnsi="Arial" w:cs="Arial"/>
          <w:noProof/>
          <w:color w:val="000000"/>
        </w:rPr>
        <w:drawing>
          <wp:inline distT="0" distB="0" distL="0" distR="0" wp14:anchorId="62C08B11" wp14:editId="0FA3FC19">
            <wp:extent cx="4860000" cy="3375000"/>
            <wp:effectExtent l="0" t="0" r="0" b="0"/>
            <wp:docPr id="203" name="NeonPlay captura 3" descr="Cuenta registrada. El perfil de la cuenta ficticia aparece tras el registro. CP01 confirmó HTTP 200 y rol CUSTOM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CP01.png"/>
                    <pic:cNvPicPr/>
                  </pic:nvPicPr>
                  <pic:blipFill>
                    <a:blip r:embed="rIdResumen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El perfil de la cuenta ficticia aparece tras el registro. CP01 confirmó HTTP 200 y rol CUSTOMER. Evidencia: quality/evidence/baseline/CP01.png.</w:t>
      </w:r>
    </w:p>
    <w:p>
      <w:pPr>
        <w:pStyle w:val="Ttulo2"/>
        <w:spacing w:before="80" w:after="8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Figura 4 Carrito y límite de stock</w:t>
      </w:r>
    </w:p>
    <w:p w14:paraId="6F9A468B" w14:textId="77777777" w:rsidR="00470A55" w:rsidRPr="008116A2" w:rsidRDefault="004D7B6D">
      <w:pPr>
        <w:spacing w:after="80" w:line="252" w:lineRule="auto"/>
        <w:jc w:val="center"/>
        <w:rPr>
          <w:rFonts w:ascii="Arial" w:hAnsi="Arial" w:cs="Arial"/>
          <w:color w:val="000000"/>
        </w:rPr>
        <w:keepNext/>
      </w:pPr>
      <w:r w:rsidRPr="008116A2">
        <w:rPr>
          <w:rFonts w:ascii="Arial" w:hAnsi="Arial" w:cs="Arial"/>
          <w:noProof/>
          <w:color w:val="000000"/>
        </w:rPr>
        <w:drawing>
          <wp:inline distT="0" distB="0" distL="0" distR="0" wp14:anchorId="62C08B11" wp14:editId="0FA3FC19">
            <wp:extent cx="4860000" cy="3429000"/>
            <wp:effectExtent l="0" t="0" r="0" b="0"/>
            <wp:docPr id="204" name="NeonPlay captura 4" descr="Carrito y límite de stock. El carrito conserva dos unidades y USD 79,98 al intentar superar la disponibilidad. CP13 verificó el lími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CP13.png"/>
                    <pic:cNvPicPr/>
                  </pic:nvPicPr>
                  <pic:blipFill>
                    <a:blip r:embed="rIdResumen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El carrito conserva dos unidades y USD 79,98 al intentar superar la disponibilidad. CP13 verificó el límite. Evidencia: quality/evidence/baseline/CP13.png.</w:t>
      </w:r>
    </w:p>
    <w:p>
      <w:pPr>
        <w:pStyle w:val="Ttulo1"/>
        <w:spacing w:before="120" w:after="160" w:line="252" w:lineRule="auto"/>
        <w:rPr>
          <w:rFonts w:ascii="Arial" w:hAnsi="Arial" w:cs="Arial"/>
          <w:color w:val="000000"/>
          <w:sz w:val="24"/>
        </w:rPr>
        <w:pageBreakBefore/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Anexo B Pedido y administración</w:t>
      </w:r>
    </w:p>
    <w:p>
      <w:pPr>
        <w:pStyle w:val="Ttulo2"/>
        <w:spacing w:before="80" w:after="8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Figura 5 Historial del pedido</w:t>
      </w:r>
    </w:p>
    <w:p w14:paraId="6F9A468B" w14:textId="77777777" w:rsidR="00470A55" w:rsidRPr="008116A2" w:rsidRDefault="004D7B6D">
      <w:pPr>
        <w:spacing w:after="80" w:line="252" w:lineRule="auto"/>
        <w:jc w:val="center"/>
        <w:rPr>
          <w:rFonts w:ascii="Arial" w:hAnsi="Arial" w:cs="Arial"/>
          <w:color w:val="000000"/>
        </w:rPr>
        <w:keepNext/>
      </w:pPr>
      <w:r w:rsidRPr="008116A2">
        <w:rPr>
          <w:rFonts w:ascii="Arial" w:hAnsi="Arial" w:cs="Arial"/>
          <w:noProof/>
          <w:color w:val="000000"/>
        </w:rPr>
        <w:drawing>
          <wp:inline distT="0" distB="0" distL="0" distR="0" wp14:anchorId="62C08B11" wp14:editId="0FA3FC19">
            <wp:extent cx="4860000" cy="3375000"/>
            <wp:effectExtent l="0" t="0" r="0" b="0"/>
            <wp:docPr id="205" name="NeonPlay captura 5" descr="Historial del pedido. La compra de demostración aparece por USD 39,99. CP15 también comprobó el precio conservado y stock final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CP15.png"/>
                    <pic:cNvPicPr/>
                  </pic:nvPicPr>
                  <pic:blipFill>
                    <a:blip r:embed="rIdResumen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La compra de demostración aparece por USD 39,99. CP15 también comprobó el precio conservado y stock final 1. Evidencia: quality/evidence/baseline/CP15.png.</w:t>
      </w:r>
    </w:p>
    <w:p>
      <w:pPr>
        <w:pStyle w:val="Ttulo2"/>
        <w:spacing w:before="80" w:after="80" w:line="252" w:lineRule="auto"/>
        <w:rPr>
          <w:rFonts w:ascii="Arial" w:hAnsi="Arial" w:cs="Arial"/>
          <w:color w:val="000000"/>
          <w:sz w:val="24"/>
        </w:rPr>
        <w:keepNext/>
        <w:keepLines/>
      </w:pPr>
      <w:r>
        <w:rPr>
          <w:rFonts w:ascii="Arial" w:hAnsi="Arial" w:cs="Arial"/>
          <w:b/>
          <w:color w:val="000000"/>
          <w:sz w:val="24"/>
          <w:szCs w:val="24"/>
        </w:rPr>
        <w:t xml:space="preserve">Figura 6 CRUD administrativo</w:t>
      </w:r>
    </w:p>
    <w:p w14:paraId="6F9A468B" w14:textId="77777777" w:rsidR="00470A55" w:rsidRPr="008116A2" w:rsidRDefault="004D7B6D">
      <w:pPr>
        <w:spacing w:after="80" w:line="252" w:lineRule="auto"/>
        <w:jc w:val="center"/>
        <w:rPr>
          <w:rFonts w:ascii="Arial" w:hAnsi="Arial" w:cs="Arial"/>
          <w:color w:val="000000"/>
        </w:rPr>
        <w:keepNext/>
      </w:pPr>
      <w:r w:rsidRPr="008116A2">
        <w:rPr>
          <w:rFonts w:ascii="Arial" w:hAnsi="Arial" w:cs="Arial"/>
          <w:noProof/>
          <w:color w:val="000000"/>
        </w:rPr>
        <w:drawing>
          <wp:inline distT="0" distB="0" distL="0" distR="0" wp14:anchorId="62C08B11" wp14:editId="0FA3FC19">
            <wp:extent cx="4860000" cy="3375000"/>
            <wp:effectExtent l="0" t="0" r="0" b="0"/>
            <wp:docPr id="206" name="NeonPlay captura 6" descr="CRUD administrativo. Vista parcial del panel: Juego QA baseline está actualizado a USD 31,99. CP17 completó creación, consulta, edición y elimin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crud-actualizado.png"/>
                    <pic:cNvPicPr/>
                  </pic:nvPicPr>
                  <pic:blipFill>
                    <a:blip r:embed="rIdResumen6"/>
                    <a:srcRect b="2360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52" w:lineRule="auto" w:before="0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Vista parcial del panel: Juego QA baseline está actualizado a USD 31,99. CP17 completó creación, consulta, edición y eliminación. Evidencia: quality/evidence/baseline/crud-actualizado.png.</w:t>
      </w:r>
    </w:p>
    <w:p>
      <w:pPr>
        <w:pStyle w:val="Ttulo1"/>
        <w:spacing w:before="120" w:after="160" w:line="252" w:lineRule="auto"/>
        <w:rPr>
          <w:rFonts w:ascii="Arial" w:hAnsi="Arial" w:cs="Arial"/>
          <w:color w:val="000000"/>
          <w:sz w:val="24"/>
        </w:rPr>
        <w:pageBreakBefore/>
        <w:keepNext/>
        <w:keepLines/>
      </w:pPr>
      <w:bookmarkStart w:id="117" w:name="anexo_c"/>
      <w:r>
        <w:rPr>
          <w:rFonts w:ascii="Arial" w:hAnsi="Arial" w:cs="Arial"/>
          <w:b/>
          <w:color w:val="000000"/>
          <w:sz w:val="24"/>
          <w:szCs w:val="24"/>
        </w:rPr>
        <w:t xml:space="preserve">Anexo C Reproducción y trazabilidad</w:t>
      </w:r>
      <w:bookmarkEnd w:id="117"/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El README principal explica PostgreSQL, variables de entorno e inicio desde Visual Studio Code. La rama codex/calidad-evaluacion conserva los documentos; baseline-calidad-v1 identifica el código inicial. Las credenciales reales y los archivos físicos de la base quedan fuera de Git.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1. Instalar con npm.cmd ci e iniciar PostgreSQL con npm.cmd run db:local.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2. Compilar la versión mejorada con npm.cmd run build. Iniciar node quality/start-evaluation.mjs: prepara datos ficticios y utiliza el puerto 4011.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3. En otra terminal, configurar Playwright y ejecutar browser-cases.mjs con una fase nueva. quality/README.md incluye comandos y ruta del navegador.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4. Ejecutar measure-catalog.mjs y npm.cmd test; conservar los resultados previos antes de repetir las mediciones.</w:t>
      </w:r>
    </w:p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5. Finalizar con Ctrl+C. Si no se retiró el esquema temporal, detener esa instancia y ejecutar cleanup-evaluation.mjs, que valida su prefijo.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8"/>
        <w:gridCol w:w="5046"/>
      </w:tblGrid>
      <w:tr w:rsidR="00470A55" w:rsidRPr="008116A2" w14:paraId="614B22E2" w14:textId="77777777">
        <w:trPr>
          <w:cantSplit/>
          <w:tblHeader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7BC82B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b/>
                <w:color w:val="000000"/>
              </w:rPr>
              <w:t>Archivo o carpeta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BB08BD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b/>
                <w:color w:val="000000"/>
              </w:rPr>
              <w:t>Contenido</w:t>
            </w:r>
          </w:p>
        </w:tc>
      </w:tr>
      <w:tr w:rsidR="00470A55" w:rsidRPr="008116A2" w14:paraId="4364C908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862B58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quality/matrices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399062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Casos, regresión, rendimiento, interacción, métricas y hallazgos en CSV.</w:t>
            </w:r>
          </w:p>
        </w:tc>
      </w:tr>
      <w:tr w:rsidR="00470A55" w:rsidRPr="008116A2" w14:paraId="22E02667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81120C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quality/evidence/baseline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9E1D8A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Resultados aceptados y capturas de los veinte casos.</w:t>
            </w:r>
          </w:p>
        </w:tc>
      </w:tr>
      <w:tr w:rsidR="00470A55" w:rsidRPr="008116A2" w14:paraId="6A4CB274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2E0D25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quality/evidence/regression y regression-retry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BB021B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Primer intento y repetición de CP09.</w:t>
            </w:r>
          </w:p>
        </w:tc>
      </w:tr>
      <w:tr w:rsidR="00470A55" w:rsidRPr="008116A2" w14:paraId="600AACBC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66F485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quality/evidence/</w:t>
              <w:br/>
              <w:t>instrumentacion-01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BF46C4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Ensayo del ejecutor antes de corregir su preparación.</w:t>
            </w:r>
          </w:p>
        </w:tc>
      </w:tr>
      <w:tr w:rsidR="00470A55" w:rsidRPr="008116A2" w14:paraId="359BE63A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9198D8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baseline-build.txt e improvement-build.txt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A14334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Fallo D01 y compilación corregida.</w:t>
            </w:r>
          </w:p>
        </w:tc>
      </w:tr>
      <w:tr w:rsidR="00470A55" w:rsidRPr="008116A2" w14:paraId="4B76540F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DC0BB9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unit-integration.txt, interaction.json y cleanup.json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BA8B13" w14:textId="77777777" w:rsidR="00470A55" w:rsidRPr="008116A2" w:rsidRDefault="004D7B6D">
            <w:pPr>
              <w:spacing w:after="40"/>
              <w:rPr>
                <w:rFonts w:ascii="Arial" w:hAnsi="Arial" w:cs="Arial"/>
                <w:color w:val="000000"/>
              </w:rPr>
            </w:pPr>
            <w:r w:rsidRPr="008116A2">
              <w:rPr>
                <w:rFonts w:ascii="Arial" w:hAnsi="Arial" w:cs="Arial"/>
                <w:color w:val="000000"/>
              </w:rPr>
              <w:t>Suite complementaria, piloto y retiro del esquema temporal.</w:t>
            </w:r>
          </w:p>
        </w:tc>
      </w:tr>
    </w:tbl>
    <w:p>
      <w:pPr>
        <w:spacing w:after="120" w:line="252" w:lineRule="auto"/>
        <w:rPr>
          <w:rFonts w:ascii="Arial" w:hAnsi="Arial" w:cs="Arial"/>
          <w:color w:val="000000"/>
        </w:rPr>
        <w:keepLines/>
      </w:pPr>
      <w:r>
        <w:rPr>
          <w:rFonts w:ascii="Arial" w:hAnsi="Arial" w:cs="Arial"/>
          <w:color w:val="000000"/>
          <w:sz w:val="24"/>
          <w:szCs w:val="24"/>
        </w:rPr>
        <w:t xml:space="preserve">Las matrices CSV relacionan casos, resultados, hallazgos y regresión. Antes de aceptar la versión base se corrigieron selectores y una referencia a price del ejecutor; el ensayo se conserva en instrumentacion-01. También se mantienen el primer intento de regresión y la repetición de CP09. Los logs de compilación respaldan D01 y su cierre.</w:t>
      </w:r>
    </w:p>
    <w:sectPr w:rsidR="008F17CD" w:rsidRPr="00060992" w:rsidSect="0048524B">
      <w:headerReference w:type="default" r:id="rId7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7F6D6" w14:textId="77777777" w:rsidR="00506589" w:rsidRDefault="00506589" w:rsidP="0097378A">
      <w:r>
        <w:separator/>
      </w:r>
    </w:p>
  </w:endnote>
  <w:endnote w:type="continuationSeparator" w:id="0">
    <w:p w14:paraId="67AE0D41" w14:textId="77777777" w:rsidR="00506589" w:rsidRDefault="00506589" w:rsidP="00973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35505" w14:textId="77777777" w:rsidR="00506589" w:rsidRDefault="00506589" w:rsidP="0097378A">
      <w:r>
        <w:separator/>
      </w:r>
    </w:p>
  </w:footnote>
  <w:footnote w:type="continuationSeparator" w:id="0">
    <w:p w14:paraId="1C8B0417" w14:textId="77777777" w:rsidR="00506589" w:rsidRDefault="00506589" w:rsidP="00973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907D" w14:textId="273AE2D1" w:rsidR="0097378A" w:rsidRDefault="00E00F5D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91C3AD4" wp14:editId="2EC2A124">
          <wp:simplePos x="0" y="0"/>
          <wp:positionH relativeFrom="page">
            <wp:align>right</wp:align>
          </wp:positionH>
          <wp:positionV relativeFrom="paragraph">
            <wp:posOffset>-444519</wp:posOffset>
          </wp:positionV>
          <wp:extent cx="7534275" cy="10662178"/>
          <wp:effectExtent l="0" t="0" r="0" b="6350"/>
          <wp:wrapNone/>
          <wp:docPr id="1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621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EE9"/>
    <w:multiLevelType w:val="hybridMultilevel"/>
    <w:tmpl w:val="E9726FA2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74228"/>
    <w:multiLevelType w:val="hybridMultilevel"/>
    <w:tmpl w:val="7D6C3CA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64AB6"/>
    <w:multiLevelType w:val="hybridMultilevel"/>
    <w:tmpl w:val="EADA72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31B6B"/>
    <w:multiLevelType w:val="hybridMultilevel"/>
    <w:tmpl w:val="256853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F639A"/>
    <w:multiLevelType w:val="hybridMultilevel"/>
    <w:tmpl w:val="618C8D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56673"/>
    <w:multiLevelType w:val="hybridMultilevel"/>
    <w:tmpl w:val="E4E6FC2E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4947A1"/>
    <w:multiLevelType w:val="hybridMultilevel"/>
    <w:tmpl w:val="002CF11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F6187"/>
    <w:multiLevelType w:val="hybridMultilevel"/>
    <w:tmpl w:val="6C8828B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2B0C86"/>
    <w:multiLevelType w:val="hybridMultilevel"/>
    <w:tmpl w:val="B084428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DC71D7"/>
    <w:multiLevelType w:val="hybridMultilevel"/>
    <w:tmpl w:val="EADA72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EB3BB0"/>
    <w:multiLevelType w:val="hybridMultilevel"/>
    <w:tmpl w:val="40EE5B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1506FF"/>
    <w:multiLevelType w:val="hybridMultilevel"/>
    <w:tmpl w:val="3AB819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3A5C77"/>
    <w:multiLevelType w:val="hybridMultilevel"/>
    <w:tmpl w:val="B5FE82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0561F0"/>
    <w:multiLevelType w:val="hybridMultilevel"/>
    <w:tmpl w:val="9D5AFB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D42BA6"/>
    <w:multiLevelType w:val="hybridMultilevel"/>
    <w:tmpl w:val="689E04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CF5BAD"/>
    <w:multiLevelType w:val="hybridMultilevel"/>
    <w:tmpl w:val="21E220DA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A21E8D"/>
    <w:multiLevelType w:val="hybridMultilevel"/>
    <w:tmpl w:val="EADA72B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596987"/>
    <w:multiLevelType w:val="hybridMultilevel"/>
    <w:tmpl w:val="6AA224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DC1503"/>
    <w:multiLevelType w:val="hybridMultilevel"/>
    <w:tmpl w:val="EADA72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2102322">
    <w:abstractNumId w:val="3"/>
  </w:num>
  <w:num w:numId="2" w16cid:durableId="4669349">
    <w:abstractNumId w:val="4"/>
  </w:num>
  <w:num w:numId="3" w16cid:durableId="1864319803">
    <w:abstractNumId w:val="14"/>
  </w:num>
  <w:num w:numId="4" w16cid:durableId="1540896417">
    <w:abstractNumId w:val="0"/>
  </w:num>
  <w:num w:numId="5" w16cid:durableId="2088768640">
    <w:abstractNumId w:val="17"/>
  </w:num>
  <w:num w:numId="6" w16cid:durableId="219941680">
    <w:abstractNumId w:val="11"/>
  </w:num>
  <w:num w:numId="7" w16cid:durableId="57561991">
    <w:abstractNumId w:val="7"/>
  </w:num>
  <w:num w:numId="8" w16cid:durableId="271404325">
    <w:abstractNumId w:val="8"/>
  </w:num>
  <w:num w:numId="9" w16cid:durableId="1082874519">
    <w:abstractNumId w:val="1"/>
  </w:num>
  <w:num w:numId="10" w16cid:durableId="381246672">
    <w:abstractNumId w:val="16"/>
  </w:num>
  <w:num w:numId="11" w16cid:durableId="2125808981">
    <w:abstractNumId w:val="13"/>
  </w:num>
  <w:num w:numId="12" w16cid:durableId="437068319">
    <w:abstractNumId w:val="12"/>
  </w:num>
  <w:num w:numId="13" w16cid:durableId="1356422376">
    <w:abstractNumId w:val="18"/>
  </w:num>
  <w:num w:numId="14" w16cid:durableId="1786341010">
    <w:abstractNumId w:val="2"/>
  </w:num>
  <w:num w:numId="15" w16cid:durableId="539047948">
    <w:abstractNumId w:val="9"/>
  </w:num>
  <w:num w:numId="16" w16cid:durableId="313992053">
    <w:abstractNumId w:val="6"/>
  </w:num>
  <w:num w:numId="17" w16cid:durableId="496925037">
    <w:abstractNumId w:val="15"/>
  </w:num>
  <w:num w:numId="18" w16cid:durableId="1971087816">
    <w:abstractNumId w:val="5"/>
  </w:num>
  <w:num w:numId="19" w16cid:durableId="13294099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78A"/>
    <w:rsid w:val="000055FA"/>
    <w:rsid w:val="00012C77"/>
    <w:rsid w:val="000224F1"/>
    <w:rsid w:val="00027CE0"/>
    <w:rsid w:val="00037C97"/>
    <w:rsid w:val="00047115"/>
    <w:rsid w:val="00060992"/>
    <w:rsid w:val="000E7AF1"/>
    <w:rsid w:val="000F6D55"/>
    <w:rsid w:val="00140A99"/>
    <w:rsid w:val="00157E5E"/>
    <w:rsid w:val="00192E0A"/>
    <w:rsid w:val="0019726B"/>
    <w:rsid w:val="001B13C6"/>
    <w:rsid w:val="001B340B"/>
    <w:rsid w:val="001C07CB"/>
    <w:rsid w:val="001D7B70"/>
    <w:rsid w:val="001D7C5C"/>
    <w:rsid w:val="0020752D"/>
    <w:rsid w:val="002242AB"/>
    <w:rsid w:val="002375DB"/>
    <w:rsid w:val="00287DC2"/>
    <w:rsid w:val="002E2BD8"/>
    <w:rsid w:val="003A1F27"/>
    <w:rsid w:val="003D7BAC"/>
    <w:rsid w:val="003F4458"/>
    <w:rsid w:val="00446044"/>
    <w:rsid w:val="00462385"/>
    <w:rsid w:val="0047259B"/>
    <w:rsid w:val="0048524B"/>
    <w:rsid w:val="004C06C3"/>
    <w:rsid w:val="004C0E0E"/>
    <w:rsid w:val="004D775B"/>
    <w:rsid w:val="00502472"/>
    <w:rsid w:val="00506589"/>
    <w:rsid w:val="00550586"/>
    <w:rsid w:val="00566AFB"/>
    <w:rsid w:val="005710CE"/>
    <w:rsid w:val="005A51C1"/>
    <w:rsid w:val="005F7473"/>
    <w:rsid w:val="00676090"/>
    <w:rsid w:val="006A65DB"/>
    <w:rsid w:val="006C6E0A"/>
    <w:rsid w:val="006E53E0"/>
    <w:rsid w:val="006F0178"/>
    <w:rsid w:val="00723677"/>
    <w:rsid w:val="00735809"/>
    <w:rsid w:val="00785572"/>
    <w:rsid w:val="00796044"/>
    <w:rsid w:val="007A30A1"/>
    <w:rsid w:val="007A77CB"/>
    <w:rsid w:val="0082291F"/>
    <w:rsid w:val="0083503E"/>
    <w:rsid w:val="00857D7B"/>
    <w:rsid w:val="00876756"/>
    <w:rsid w:val="00893695"/>
    <w:rsid w:val="008B0F9B"/>
    <w:rsid w:val="008B22B3"/>
    <w:rsid w:val="008F17CD"/>
    <w:rsid w:val="009409E3"/>
    <w:rsid w:val="0097378A"/>
    <w:rsid w:val="009A4B1F"/>
    <w:rsid w:val="009B7224"/>
    <w:rsid w:val="009C22B8"/>
    <w:rsid w:val="009E7B00"/>
    <w:rsid w:val="009F6E5D"/>
    <w:rsid w:val="00A04FBA"/>
    <w:rsid w:val="00A5337A"/>
    <w:rsid w:val="00A75FAC"/>
    <w:rsid w:val="00A87963"/>
    <w:rsid w:val="00AE577A"/>
    <w:rsid w:val="00AF275B"/>
    <w:rsid w:val="00AF7619"/>
    <w:rsid w:val="00B04A4C"/>
    <w:rsid w:val="00B2254C"/>
    <w:rsid w:val="00B227CF"/>
    <w:rsid w:val="00B35A87"/>
    <w:rsid w:val="00B60C98"/>
    <w:rsid w:val="00B64FA3"/>
    <w:rsid w:val="00B74D97"/>
    <w:rsid w:val="00B811A9"/>
    <w:rsid w:val="00B92B08"/>
    <w:rsid w:val="00BA550B"/>
    <w:rsid w:val="00BA5D2A"/>
    <w:rsid w:val="00BC5011"/>
    <w:rsid w:val="00BC737E"/>
    <w:rsid w:val="00C357A6"/>
    <w:rsid w:val="00C40D62"/>
    <w:rsid w:val="00C505EB"/>
    <w:rsid w:val="00C5095E"/>
    <w:rsid w:val="00C7117E"/>
    <w:rsid w:val="00C848AB"/>
    <w:rsid w:val="00C84EDA"/>
    <w:rsid w:val="00C91BBD"/>
    <w:rsid w:val="00CC34C9"/>
    <w:rsid w:val="00CF6BC7"/>
    <w:rsid w:val="00D17D93"/>
    <w:rsid w:val="00D43452"/>
    <w:rsid w:val="00D801CE"/>
    <w:rsid w:val="00E00F5D"/>
    <w:rsid w:val="00E654BB"/>
    <w:rsid w:val="00E86546"/>
    <w:rsid w:val="00EA269A"/>
    <w:rsid w:val="00ED2DA1"/>
    <w:rsid w:val="00EE6B8B"/>
    <w:rsid w:val="00F001B9"/>
    <w:rsid w:val="00F25BEA"/>
    <w:rsid w:val="00F541CD"/>
    <w:rsid w:val="00F743D0"/>
    <w:rsid w:val="00F76495"/>
    <w:rsid w:val="00F81437"/>
    <w:rsid w:val="00F93661"/>
    <w:rsid w:val="00F94028"/>
    <w:rsid w:val="00FB0DBB"/>
    <w:rsid w:val="00FB2F62"/>
    <w:rsid w:val="00FC5D9F"/>
    <w:rsid w:val="00FE5940"/>
    <w:rsid w:val="00FF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AD60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6B8B"/>
  </w:style>
  <w:style w:type="paragraph" w:styleId="Ttulo1">
    <w:name w:val="heading 1"/>
    <w:basedOn w:val="Normal"/>
    <w:next w:val="Normal"/>
    <w:link w:val="Ttulo1Car"/>
    <w:uiPriority w:val="9"/>
    <w:qFormat/>
    <w:rsid w:val="000609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609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7378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378A"/>
  </w:style>
  <w:style w:type="paragraph" w:styleId="Piedepgina">
    <w:name w:val="footer"/>
    <w:basedOn w:val="Normal"/>
    <w:link w:val="PiedepginaCar"/>
    <w:uiPriority w:val="99"/>
    <w:unhideWhenUsed/>
    <w:rsid w:val="0097378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378A"/>
  </w:style>
  <w:style w:type="character" w:customStyle="1" w:styleId="fontstyle01">
    <w:name w:val="fontstyle01"/>
    <w:basedOn w:val="Fuentedeprrafopredeter"/>
    <w:rsid w:val="0072367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723677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s-ES"/>
    </w:rPr>
  </w:style>
  <w:style w:type="table" w:styleId="Tablanormal1">
    <w:name w:val="Plain Table 1"/>
    <w:basedOn w:val="Tablanormal"/>
    <w:uiPriority w:val="72"/>
    <w:rsid w:val="00723677"/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5A51C1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0609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609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06099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099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Resumen1" Type="http://schemas.openxmlformats.org/officeDocument/2006/relationships/image" Target="media/neonplay_resumen_1.png"/><Relationship Id="rIdResumen2" Type="http://schemas.openxmlformats.org/officeDocument/2006/relationships/image" Target="media/neonplay_resumen_2.png"/><Relationship Id="rIdResumen3" Type="http://schemas.openxmlformats.org/officeDocument/2006/relationships/image" Target="media/neonplay_resumen_3.png"/><Relationship Id="rIdResumen4" Type="http://schemas.openxmlformats.org/officeDocument/2006/relationships/image" Target="media/neonplay_resumen_4.png"/><Relationship Id="rIdResumen5" Type="http://schemas.openxmlformats.org/officeDocument/2006/relationships/image" Target="media/neonplay_resumen_5.png"/><Relationship Id="rIdResumen6" Type="http://schemas.openxmlformats.org/officeDocument/2006/relationships/image" Target="media/neonplay_resumen_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4</Pages>
  <Words>673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funcional y calidad del producto NeonPlay</dc:title>
  <dc:subject>Trabajo final de Calidad de Software</dc:subject>
  <dc:creator>Kevin Adrián Quiñonez Rocha y Orlando Eloy Trujillo</dc:creator>
  <cp:keywords>NeonPlay, calidad de software, pruebas funcionales, PostgreSQL</cp:keywords>
  <dc:description/>
  <cp:lastModifiedBy>SILVIA GABRIELA CORAL CEVALLOS</cp:lastModifiedBy>
  <cp:revision>50</cp:revision>
  <dcterms:created xsi:type="dcterms:W3CDTF">2026-09-04T16:11:00Z</dcterms:created>
  <dcterms:modified xsi:type="dcterms:W3CDTF">2026-10-12T02:40:20Z</dcterms:modified>
</cp:coreProperties>
</file>