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color w:val="0B2545"/>
          <w:sz w:val="52"/>
        </w:rPr>
        <w:t xml:space="preserve">Product Tax Support</w:t>
      </w:r>
    </w:p>
    <w:p>
      <w:pPr>
        <w:pStyle w:val="Subtitle"/>
      </w:pPr>
      <w:r>
        <w:t xml:space="preserve">Business Change Brief</w:t>
      </w:r>
    </w:p>
    <w:p>
      <w:pPr>
        <w:pStyle w:val="Meta"/>
      </w:pPr>
      <w:r>
        <w:t xml:space="preserve">Prepared for business review | UAT deployment scheduled for June 22, 2026 | Branch: 2.1.4</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9360"/>
      </w:tblGrid>
      <w:tr>
        <w:tc>
          <w:tcPr>
            <w:tcW w:w="9360" w:type="dxa"/>
            <w:shd w:fill="F4F6F9"/>
            <w:tcMar>
              <w:top w:w="80" w:type="dxa"/>
              <w:bottom w:w="80" w:type="dxa"/>
              <w:start w:w="120" w:type="dxa"/>
              <w:end w:w="120" w:type="dxa"/>
            </w:tcMar>
          </w:tcPr>
          <w:p>
            <w:pPr>
              <w:pStyle w:val="TableText"/>
            </w:pPr>
            <w:r>
              <w:rPr>
                <w:b/>
              </w:rPr>
              <w:t xml:space="preserve">Executive Summary: The POS platform is being updated to support configurable sales tax. The business will be able to define a global tax percentage, mark individual products as taxable or non-taxable, and rely on checkout totals and reports that preserve the tax amounts captured at the time of sale.</w:t>
            </w:r>
          </w:p>
        </w:tc>
      </w:tr>
    </w:tbl>
    <w:p>
      <w:pPr>
        <w:pStyle w:val="Heading1"/>
        <w:keepNext/>
      </w:pPr>
      <w:r>
        <w:t xml:space="preserve">1. Purpose of the Change</w:t>
      </w:r>
    </w:p>
    <w:p>
      <w:pPr>
        <w:pStyle w:val="Normal"/>
      </w:pPr>
      <w:r>
        <w:t xml:space="preserve">This update adds controlled tax support to the sales flow. Today, the system can manage product pricing, discounts, payments, and reporting, but it does not provide a formal way to decide which products should be taxed or to capture tax as a dedicated amount. The new feature closes that gap while keeping existing products non-taxable unless the business explicitly enables tax for them.</w:t>
      </w:r>
    </w:p>
    <w:p>
      <w:pPr>
        <w:pStyle w:val="Normal"/>
      </w:pPr>
      <w:r>
        <w:t xml:space="preserve">The feature is designed so business operators can manage tax behavior through familiar settings and product maintenance screens, while sales, order history, refunds, and reporting use stored tax snapshots instead of recalculating past sales from current settings.</w:t>
      </w:r>
    </w:p>
    <w:p>
      <w:pPr>
        <w:pStyle w:val="Heading1"/>
        <w:keepNext/>
      </w:pPr>
      <w:r>
        <w:t xml:space="preserve">2. Business Capabilities Added</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200"/>
        <w:gridCol w:w="3560"/>
        <w:gridCol w:w="3600"/>
      </w:tblGrid>
      <w:tr>
        <w:tc>
          <w:tcPr>
            <w:tcW w:w="2200" w:type="dxa"/>
            <w:shd w:fill="F2F4F7"/>
            <w:tcMar>
              <w:top w:w="80" w:type="dxa"/>
              <w:bottom w:w="80" w:type="dxa"/>
              <w:start w:w="120" w:type="dxa"/>
              <w:end w:w="120" w:type="dxa"/>
            </w:tcMar>
          </w:tcPr>
          <w:p>
            <w:pPr>
              <w:pStyle w:val="TableText"/>
            </w:pPr>
            <w:r>
              <w:rPr>
                <w:b/>
              </w:rPr>
              <w:t xml:space="preserve">Capability</w:t>
            </w:r>
          </w:p>
        </w:tc>
        <w:tc>
          <w:tcPr>
            <w:tcW w:w="3560" w:type="dxa"/>
            <w:shd w:fill="F2F4F7"/>
            <w:tcMar>
              <w:top w:w="80" w:type="dxa"/>
              <w:bottom w:w="80" w:type="dxa"/>
              <w:start w:w="120" w:type="dxa"/>
              <w:end w:w="120" w:type="dxa"/>
            </w:tcMar>
          </w:tcPr>
          <w:p>
            <w:pPr>
              <w:pStyle w:val="TableText"/>
            </w:pPr>
            <w:r>
              <w:rPr>
                <w:b/>
              </w:rPr>
              <w:t xml:space="preserve">What business users can do</w:t>
            </w:r>
          </w:p>
        </w:tc>
        <w:tc>
          <w:tcPr>
            <w:tcW w:w="3600" w:type="dxa"/>
            <w:shd w:fill="F2F4F7"/>
            <w:tcMar>
              <w:top w:w="80" w:type="dxa"/>
              <w:bottom w:w="80" w:type="dxa"/>
              <w:start w:w="120" w:type="dxa"/>
              <w:end w:w="120" w:type="dxa"/>
            </w:tcMar>
          </w:tcPr>
          <w:p>
            <w:pPr>
              <w:pStyle w:val="TableText"/>
            </w:pPr>
            <w:r>
              <w:rPr>
                <w:b/>
              </w:rPr>
              <w:t xml:space="preserve">Business impact</w:t>
            </w:r>
          </w:p>
        </w:tc>
      </w:tr>
      <w:tr>
        <w:tc>
          <w:tcPr>
            <w:tcW w:w="2200" w:type="dxa"/>
            <w:tcMar>
              <w:top w:w="80" w:type="dxa"/>
              <w:bottom w:w="80" w:type="dxa"/>
              <w:start w:w="120" w:type="dxa"/>
              <w:end w:w="120" w:type="dxa"/>
            </w:tcMar>
          </w:tcPr>
          <w:p>
            <w:pPr>
              <w:pStyle w:val="TableText"/>
            </w:pPr>
            <w:r>
              <w:t xml:space="preserve">Global tax percentage</w:t>
            </w:r>
          </w:p>
        </w:tc>
        <w:tc>
          <w:tcPr>
            <w:tcW w:w="3560" w:type="dxa"/>
            <w:tcMar>
              <w:top w:w="80" w:type="dxa"/>
              <w:bottom w:w="80" w:type="dxa"/>
              <w:start w:w="120" w:type="dxa"/>
              <w:end w:w="120" w:type="dxa"/>
            </w:tcMar>
          </w:tcPr>
          <w:p>
            <w:pPr>
              <w:pStyle w:val="TableText"/>
            </w:pPr>
            <w:r>
              <w:t xml:space="preserve">Set the tax percentage in Settings, such as 8.25.</w:t>
            </w:r>
          </w:p>
        </w:tc>
        <w:tc>
          <w:tcPr>
            <w:tcW w:w="3600" w:type="dxa"/>
            <w:tcMar>
              <w:top w:w="80" w:type="dxa"/>
              <w:bottom w:w="80" w:type="dxa"/>
              <w:start w:w="120" w:type="dxa"/>
              <w:end w:w="120" w:type="dxa"/>
            </w:tcMar>
          </w:tcPr>
          <w:p>
            <w:pPr>
              <w:pStyle w:val="TableText"/>
            </w:pPr>
            <w:r>
              <w:t xml:space="preserve">Provides a single source of truth for tax calculation across checkout.</w:t>
            </w:r>
          </w:p>
        </w:tc>
      </w:tr>
      <w:tr>
        <w:tc>
          <w:tcPr>
            <w:tcW w:w="2200" w:type="dxa"/>
            <w:tcMar>
              <w:top w:w="80" w:type="dxa"/>
              <w:bottom w:w="80" w:type="dxa"/>
              <w:start w:w="120" w:type="dxa"/>
              <w:end w:w="120" w:type="dxa"/>
            </w:tcMar>
          </w:tcPr>
          <w:p>
            <w:pPr>
              <w:pStyle w:val="TableText"/>
            </w:pPr>
            <w:r>
              <w:t xml:space="preserve">Product taxable flag</w:t>
            </w:r>
          </w:p>
        </w:tc>
        <w:tc>
          <w:tcPr>
            <w:tcW w:w="3560" w:type="dxa"/>
            <w:tcMar>
              <w:top w:w="80" w:type="dxa"/>
              <w:bottom w:w="80" w:type="dxa"/>
              <w:start w:w="120" w:type="dxa"/>
              <w:end w:w="120" w:type="dxa"/>
            </w:tcMar>
          </w:tcPr>
          <w:p>
            <w:pPr>
              <w:pStyle w:val="TableText"/>
            </w:pPr>
            <w:r>
              <w:t xml:space="preserve">Turn tax on or off for each product from the Product form.</w:t>
            </w:r>
          </w:p>
        </w:tc>
        <w:tc>
          <w:tcPr>
            <w:tcW w:w="3600" w:type="dxa"/>
            <w:tcMar>
              <w:top w:w="80" w:type="dxa"/>
              <w:bottom w:w="80" w:type="dxa"/>
              <w:start w:w="120" w:type="dxa"/>
              <w:end w:w="120" w:type="dxa"/>
            </w:tcMar>
          </w:tcPr>
          <w:p>
            <w:pPr>
              <w:pStyle w:val="TableText"/>
            </w:pPr>
            <w:r>
              <w:t xml:space="preserve">Allows non-taxable categories or exempt items to remain untaxed.</w:t>
            </w:r>
          </w:p>
        </w:tc>
      </w:tr>
      <w:tr>
        <w:tc>
          <w:tcPr>
            <w:tcW w:w="2200" w:type="dxa"/>
            <w:tcMar>
              <w:top w:w="80" w:type="dxa"/>
              <w:bottom w:w="80" w:type="dxa"/>
              <w:start w:w="120" w:type="dxa"/>
              <w:end w:w="120" w:type="dxa"/>
            </w:tcMar>
          </w:tcPr>
          <w:p>
            <w:pPr>
              <w:pStyle w:val="TableText"/>
            </w:pPr>
            <w:r>
              <w:t xml:space="preserve">After-discount calculation</w:t>
            </w:r>
          </w:p>
        </w:tc>
        <w:tc>
          <w:tcPr>
            <w:tcW w:w="3560" w:type="dxa"/>
            <w:tcMar>
              <w:top w:w="80" w:type="dxa"/>
              <w:bottom w:w="80" w:type="dxa"/>
              <w:start w:w="120" w:type="dxa"/>
              <w:end w:w="120" w:type="dxa"/>
            </w:tcMar>
          </w:tcPr>
          <w:p>
            <w:pPr>
              <w:pStyle w:val="TableText"/>
            </w:pPr>
            <w:r>
              <w:t xml:space="preserve">Tax is calculated after line discounts and order discounts are applied.</w:t>
            </w:r>
          </w:p>
        </w:tc>
        <w:tc>
          <w:tcPr>
            <w:tcW w:w="3600" w:type="dxa"/>
            <w:tcMar>
              <w:top w:w="80" w:type="dxa"/>
              <w:bottom w:w="80" w:type="dxa"/>
              <w:start w:w="120" w:type="dxa"/>
              <w:end w:w="120" w:type="dxa"/>
            </w:tcMar>
          </w:tcPr>
          <w:p>
            <w:pPr>
              <w:pStyle w:val="TableText"/>
            </w:pPr>
            <w:r>
              <w:t xml:space="preserve">Keeps taxable totals aligned with discounted sale amounts.</w:t>
            </w:r>
          </w:p>
        </w:tc>
      </w:tr>
      <w:tr>
        <w:tc>
          <w:tcPr>
            <w:tcW w:w="2200" w:type="dxa"/>
            <w:tcMar>
              <w:top w:w="80" w:type="dxa"/>
              <w:bottom w:w="80" w:type="dxa"/>
              <w:start w:w="120" w:type="dxa"/>
              <w:end w:w="120" w:type="dxa"/>
            </w:tcMar>
          </w:tcPr>
          <w:p>
            <w:pPr>
              <w:pStyle w:val="TableText"/>
            </w:pPr>
            <w:r>
              <w:t xml:space="preserve">Historical tax snapshot</w:t>
            </w:r>
          </w:p>
        </w:tc>
        <w:tc>
          <w:tcPr>
            <w:tcW w:w="3560" w:type="dxa"/>
            <w:tcMar>
              <w:top w:w="80" w:type="dxa"/>
              <w:bottom w:w="80" w:type="dxa"/>
              <w:start w:w="120" w:type="dxa"/>
              <w:end w:w="120" w:type="dxa"/>
            </w:tcMar>
          </w:tcPr>
          <w:p>
            <w:pPr>
              <w:pStyle w:val="TableText"/>
            </w:pPr>
            <w:r>
              <w:t xml:space="preserve">Each order line stores whether it was taxable and the tax amount charged.</w:t>
            </w:r>
          </w:p>
        </w:tc>
        <w:tc>
          <w:tcPr>
            <w:tcW w:w="3600" w:type="dxa"/>
            <w:tcMar>
              <w:top w:w="80" w:type="dxa"/>
              <w:bottom w:w="80" w:type="dxa"/>
              <w:start w:w="120" w:type="dxa"/>
              <w:end w:w="120" w:type="dxa"/>
            </w:tcMar>
          </w:tcPr>
          <w:p>
            <w:pPr>
              <w:pStyle w:val="TableText"/>
            </w:pPr>
            <w:r>
              <w:t xml:space="preserve">Reports and refunds continue to reflect the original sale even if settings change later.</w:t>
            </w:r>
          </w:p>
        </w:tc>
      </w:tr>
      <w:tr>
        <w:tc>
          <w:tcPr>
            <w:tcW w:w="2200" w:type="dxa"/>
            <w:tcMar>
              <w:top w:w="80" w:type="dxa"/>
              <w:bottom w:w="80" w:type="dxa"/>
              <w:start w:w="120" w:type="dxa"/>
              <w:end w:w="120" w:type="dxa"/>
            </w:tcMar>
          </w:tcPr>
          <w:p>
            <w:pPr>
              <w:pStyle w:val="TableText"/>
            </w:pPr>
            <w:r>
              <w:t xml:space="preserve">UAT backend support</w:t>
            </w:r>
          </w:p>
        </w:tc>
        <w:tc>
          <w:tcPr>
            <w:tcW w:w="3560" w:type="dxa"/>
            <w:tcMar>
              <w:top w:w="80" w:type="dxa"/>
              <w:bottom w:w="80" w:type="dxa"/>
              <w:start w:w="120" w:type="dxa"/>
              <w:end w:w="120" w:type="dxa"/>
            </w:tcMar>
          </w:tcPr>
          <w:p>
            <w:pPr>
              <w:pStyle w:val="TableText"/>
            </w:pPr>
            <w:r>
              <w:t xml:space="preserve">The UAT API schema now supports the new tax fields.</w:t>
            </w:r>
          </w:p>
        </w:tc>
        <w:tc>
          <w:tcPr>
            <w:tcW w:w="3600" w:type="dxa"/>
            <w:tcMar>
              <w:top w:w="80" w:type="dxa"/>
              <w:bottom w:w="80" w:type="dxa"/>
              <w:start w:w="120" w:type="dxa"/>
              <w:end w:w="120" w:type="dxa"/>
            </w:tcMar>
          </w:tcPr>
          <w:p>
            <w:pPr>
              <w:pStyle w:val="TableText"/>
            </w:pPr>
            <w:r>
              <w:t xml:space="preserve">Business testing can be performed once the UAT deployment is complete.</w:t>
            </w:r>
          </w:p>
        </w:tc>
      </w:tr>
    </w:tbl>
    <w:p>
      <w:pPr>
        <w:pStyle w:val="Heading1"/>
        <w:keepNext/>
      </w:pPr>
      <w:r>
        <w:t xml:space="preserve">3. How the Feature Works</w:t>
      </w:r>
    </w:p>
    <w:p>
      <w:pPr>
        <w:pStyle w:val="Heading2"/>
        <w:keepNext/>
      </w:pPr>
      <w:r>
        <w:t xml:space="preserve">Settings</w:t>
      </w:r>
    </w:p>
    <w:p>
      <w:pPr>
        <w:pStyle w:val="ListParagraph"/>
        <w:numPr>
          <w:ilvl w:val="0"/>
          <w:numId w:val="1"/>
        </w:numPr>
      </w:pPr>
      <w:r>
        <w:t xml:space="preserve">A new Tax percentage control is available in Settings.</w:t>
      </w:r>
    </w:p>
    <w:p>
      <w:pPr>
        <w:pStyle w:val="ListParagraph"/>
        <w:numPr>
          <w:ilvl w:val="0"/>
          <w:numId w:val="1"/>
        </w:numPr>
      </w:pPr>
      <w:r>
        <w:t xml:space="preserve">The value accepts percentages from 0 to 100.</w:t>
      </w:r>
    </w:p>
    <w:p>
      <w:pPr>
        <w:pStyle w:val="ListParagraph"/>
        <w:numPr>
          <w:ilvl w:val="0"/>
          <w:numId w:val="1"/>
        </w:numPr>
      </w:pPr>
      <w:r>
        <w:t xml:space="preserve">Invalid values, such as negative percentages, are rejected before saving.</w:t>
      </w:r>
    </w:p>
    <w:p>
      <w:pPr>
        <w:pStyle w:val="ListParagraph"/>
        <w:numPr>
          <w:ilvl w:val="0"/>
          <w:numId w:val="1"/>
        </w:numPr>
      </w:pPr>
      <w:r>
        <w:t xml:space="preserve">If no value exists yet, the system treats the tax percentage as 0%.</w:t>
      </w:r>
    </w:p>
    <w:p>
      <w:pPr>
        <w:pStyle w:val="Heading2"/>
        <w:keepNext/>
      </w:pPr>
      <w:r>
        <w:t xml:space="preserve">Products</w:t>
      </w:r>
    </w:p>
    <w:p>
      <w:pPr>
        <w:pStyle w:val="ListParagraph"/>
        <w:numPr>
          <w:ilvl w:val="0"/>
          <w:numId w:val="1"/>
        </w:numPr>
      </w:pPr>
      <w:r>
        <w:t xml:space="preserve">The product form now includes an Apply tax toggle.</w:t>
      </w:r>
    </w:p>
    <w:p>
      <w:pPr>
        <w:pStyle w:val="ListParagraph"/>
        <w:numPr>
          <w:ilvl w:val="0"/>
          <w:numId w:val="1"/>
        </w:numPr>
      </w:pPr>
      <w:r>
        <w:t xml:space="preserve">Existing products and newly created products default to non-taxable unless the toggle is enabled.</w:t>
      </w:r>
    </w:p>
    <w:p>
      <w:pPr>
        <w:pStyle w:val="ListParagraph"/>
        <w:numPr>
          <w:ilvl w:val="0"/>
          <w:numId w:val="1"/>
        </w:numPr>
      </w:pPr>
      <w:r>
        <w:t xml:space="preserve">Product tax eligibility is saved and synchronized through the backend model.</w:t>
      </w:r>
    </w:p>
    <w:p>
      <w:pPr>
        <w:pStyle w:val="Heading2"/>
        <w:keepNext/>
      </w:pPr>
      <w:r>
        <w:t xml:space="preserve">Checkout and Pricing</w:t>
      </w:r>
    </w:p>
    <w:p>
      <w:pPr>
        <w:pStyle w:val="ListParagraph"/>
        <w:numPr>
          <w:ilvl w:val="0"/>
          <w:numId w:val="1"/>
        </w:numPr>
      </w:pPr>
      <w:r>
        <w:t xml:space="preserve">The cart reads the configured tax percentage and converts it to a rate for pricing calculations.</w:t>
      </w:r>
    </w:p>
    <w:p>
      <w:pPr>
        <w:pStyle w:val="ListParagraph"/>
        <w:numPr>
          <w:ilvl w:val="0"/>
          <w:numId w:val="1"/>
        </w:numPr>
      </w:pPr>
      <w:r>
        <w:t xml:space="preserve">Only products marked as taxable receive tax.</w:t>
      </w:r>
    </w:p>
    <w:p>
      <w:pPr>
        <w:pStyle w:val="ListParagraph"/>
        <w:numPr>
          <w:ilvl w:val="0"/>
          <w:numId w:val="1"/>
        </w:numPr>
      </w:pPr>
      <w:r>
        <w:t xml:space="preserve">Tax is calculated after product-level discounts, price overrides, promo discounts, and order-level discounts.</w:t>
      </w:r>
    </w:p>
    <w:p>
      <w:pPr>
        <w:pStyle w:val="ListParagraph"/>
        <w:numPr>
          <w:ilvl w:val="0"/>
          <w:numId w:val="1"/>
        </w:numPr>
      </w:pPr>
      <w:r>
        <w:t xml:space="preserve">The order total is calculated as discounted subtotal plus tax.</w:t>
      </w:r>
    </w:p>
    <w:p>
      <w:pPr>
        <w:pStyle w:val="Heading2"/>
        <w:keepNext/>
      </w:pPr>
      <w:r>
        <w:t xml:space="preserve">Orders, Refunds, and Reports</w:t>
      </w:r>
    </w:p>
    <w:p>
      <w:pPr>
        <w:pStyle w:val="ListParagraph"/>
        <w:numPr>
          <w:ilvl w:val="0"/>
          <w:numId w:val="1"/>
        </w:numPr>
      </w:pPr>
      <w:r>
        <w:t xml:space="preserve">Orders store line-level taxable status, tax amount, pre-tax total, and after-tax total.</w:t>
      </w:r>
    </w:p>
    <w:p>
      <w:pPr>
        <w:pStyle w:val="ListParagraph"/>
        <w:numPr>
          <w:ilvl w:val="0"/>
          <w:numId w:val="1"/>
        </w:numPr>
      </w:pPr>
      <w:r>
        <w:t xml:space="preserve">Refund rebuild logic keeps proportional tax for remaining taxable lines.</w:t>
      </w:r>
    </w:p>
    <w:p>
      <w:pPr>
        <w:pStyle w:val="ListParagraph"/>
        <w:numPr>
          <w:ilvl w:val="0"/>
          <w:numId w:val="1"/>
        </w:numPr>
      </w:pPr>
      <w:r>
        <w:t xml:space="preserve">Reports can use stored order and line tax values so historical reporting is not affected by future tax setting changes.</w:t>
      </w:r>
    </w:p>
    <w:p>
      <w:pPr>
        <w:pStyle w:val="Heading1"/>
        <w:keepNext/>
      </w:pPr>
      <w:r>
        <w:t xml:space="preserve">4. Operational Impact</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200"/>
        <w:gridCol w:w="7160"/>
      </w:tblGrid>
      <w:tr>
        <w:tc>
          <w:tcPr>
            <w:tcW w:w="2200" w:type="dxa"/>
            <w:shd w:fill="F2F4F7"/>
            <w:tcMar>
              <w:top w:w="80" w:type="dxa"/>
              <w:bottom w:w="80" w:type="dxa"/>
              <w:start w:w="120" w:type="dxa"/>
              <w:end w:w="120" w:type="dxa"/>
            </w:tcMar>
          </w:tcPr>
          <w:p>
            <w:pPr>
              <w:pStyle w:val="TableText"/>
            </w:pPr>
            <w:r>
              <w:rPr>
                <w:b/>
              </w:rPr>
              <w:t xml:space="preserve">Area</w:t>
            </w:r>
          </w:p>
        </w:tc>
        <w:tc>
          <w:tcPr>
            <w:tcW w:w="7160" w:type="dxa"/>
            <w:shd w:fill="F2F4F7"/>
            <w:tcMar>
              <w:top w:w="80" w:type="dxa"/>
              <w:bottom w:w="80" w:type="dxa"/>
              <w:start w:w="120" w:type="dxa"/>
              <w:end w:w="120" w:type="dxa"/>
            </w:tcMar>
          </w:tcPr>
          <w:p>
            <w:pPr>
              <w:pStyle w:val="TableText"/>
            </w:pPr>
            <w:r>
              <w:rPr>
                <w:b/>
              </w:rPr>
              <w:t xml:space="preserve">Expected change</w:t>
            </w:r>
          </w:p>
        </w:tc>
      </w:tr>
      <w:tr>
        <w:tc>
          <w:tcPr>
            <w:tcW w:w="2200" w:type="dxa"/>
            <w:tcMar>
              <w:top w:w="80" w:type="dxa"/>
              <w:bottom w:w="80" w:type="dxa"/>
              <w:start w:w="120" w:type="dxa"/>
              <w:end w:w="120" w:type="dxa"/>
            </w:tcMar>
          </w:tcPr>
          <w:p>
            <w:pPr>
              <w:pStyle w:val="TableText"/>
            </w:pPr>
            <w:r>
              <w:t xml:space="preserve">Store setup</w:t>
            </w:r>
          </w:p>
        </w:tc>
        <w:tc>
          <w:tcPr>
            <w:tcW w:w="7160" w:type="dxa"/>
            <w:tcMar>
              <w:top w:w="80" w:type="dxa"/>
              <w:bottom w:w="80" w:type="dxa"/>
              <w:start w:w="120" w:type="dxa"/>
              <w:end w:w="120" w:type="dxa"/>
            </w:tcMar>
          </w:tcPr>
          <w:p>
            <w:pPr>
              <w:pStyle w:val="TableText"/>
            </w:pPr>
            <w:r>
              <w:t xml:space="preserve">Management should enter the correct tax percentage in Settings before enabling taxable products.</w:t>
            </w:r>
          </w:p>
        </w:tc>
      </w:tr>
      <w:tr>
        <w:tc>
          <w:tcPr>
            <w:tcW w:w="2200" w:type="dxa"/>
            <w:tcMar>
              <w:top w:w="80" w:type="dxa"/>
              <w:bottom w:w="80" w:type="dxa"/>
              <w:start w:w="120" w:type="dxa"/>
              <w:end w:w="120" w:type="dxa"/>
            </w:tcMar>
          </w:tcPr>
          <w:p>
            <w:pPr>
              <w:pStyle w:val="TableText"/>
            </w:pPr>
            <w:r>
              <w:t xml:space="preserve">Product maintenance</w:t>
            </w:r>
          </w:p>
        </w:tc>
        <w:tc>
          <w:tcPr>
            <w:tcW w:w="7160" w:type="dxa"/>
            <w:tcMar>
              <w:top w:w="80" w:type="dxa"/>
              <w:bottom w:w="80" w:type="dxa"/>
              <w:start w:w="120" w:type="dxa"/>
              <w:end w:w="120" w:type="dxa"/>
            </w:tcMar>
          </w:tcPr>
          <w:p>
            <w:pPr>
              <w:pStyle w:val="TableText"/>
            </w:pPr>
            <w:r>
              <w:t xml:space="preserve">Staff responsible for catalog setup should review products and enable Apply tax only where appropriate.</w:t>
            </w:r>
          </w:p>
        </w:tc>
      </w:tr>
      <w:tr>
        <w:tc>
          <w:tcPr>
            <w:tcW w:w="2200" w:type="dxa"/>
            <w:tcMar>
              <w:top w:w="80" w:type="dxa"/>
              <w:bottom w:w="80" w:type="dxa"/>
              <w:start w:w="120" w:type="dxa"/>
              <w:end w:w="120" w:type="dxa"/>
            </w:tcMar>
          </w:tcPr>
          <w:p>
            <w:pPr>
              <w:pStyle w:val="TableText"/>
            </w:pPr>
            <w:r>
              <w:t xml:space="preserve">Sales checkout</w:t>
            </w:r>
          </w:p>
        </w:tc>
        <w:tc>
          <w:tcPr>
            <w:tcW w:w="7160" w:type="dxa"/>
            <w:tcMar>
              <w:top w:w="80" w:type="dxa"/>
              <w:bottom w:w="80" w:type="dxa"/>
              <w:start w:w="120" w:type="dxa"/>
              <w:end w:w="120" w:type="dxa"/>
            </w:tcMar>
          </w:tcPr>
          <w:p>
            <w:pPr>
              <w:pStyle w:val="TableText"/>
            </w:pPr>
            <w:r>
              <w:t xml:space="preserve">Cashiers will see totals include tax automatically for taxable products. No extra cashier step is required.</w:t>
            </w:r>
          </w:p>
        </w:tc>
      </w:tr>
      <w:tr>
        <w:tc>
          <w:tcPr>
            <w:tcW w:w="2200" w:type="dxa"/>
            <w:tcMar>
              <w:top w:w="80" w:type="dxa"/>
              <w:bottom w:w="80" w:type="dxa"/>
              <w:start w:w="120" w:type="dxa"/>
              <w:end w:w="120" w:type="dxa"/>
            </w:tcMar>
          </w:tcPr>
          <w:p>
            <w:pPr>
              <w:pStyle w:val="TableText"/>
            </w:pPr>
            <w:r>
              <w:t xml:space="preserve">Discounting</w:t>
            </w:r>
          </w:p>
        </w:tc>
        <w:tc>
          <w:tcPr>
            <w:tcW w:w="7160" w:type="dxa"/>
            <w:tcMar>
              <w:top w:w="80" w:type="dxa"/>
              <w:bottom w:w="80" w:type="dxa"/>
              <w:start w:w="120" w:type="dxa"/>
              <w:end w:w="120" w:type="dxa"/>
            </w:tcMar>
          </w:tcPr>
          <w:p>
            <w:pPr>
              <w:pStyle w:val="TableText"/>
            </w:pPr>
            <w:r>
              <w:t xml:space="preserve">Tax is based on discounted line/order amounts, not the original pre-discount subtotal.</w:t>
            </w:r>
          </w:p>
        </w:tc>
      </w:tr>
      <w:tr>
        <w:tc>
          <w:tcPr>
            <w:tcW w:w="2200" w:type="dxa"/>
            <w:tcMar>
              <w:top w:w="80" w:type="dxa"/>
              <w:bottom w:w="80" w:type="dxa"/>
              <w:start w:w="120" w:type="dxa"/>
              <w:end w:w="120" w:type="dxa"/>
            </w:tcMar>
          </w:tcPr>
          <w:p>
            <w:pPr>
              <w:pStyle w:val="TableText"/>
            </w:pPr>
            <w:r>
              <w:t xml:space="preserve">Order history</w:t>
            </w:r>
          </w:p>
        </w:tc>
        <w:tc>
          <w:tcPr>
            <w:tcW w:w="7160" w:type="dxa"/>
            <w:tcMar>
              <w:top w:w="80" w:type="dxa"/>
              <w:bottom w:w="80" w:type="dxa"/>
              <w:start w:w="120" w:type="dxa"/>
              <w:end w:w="120" w:type="dxa"/>
            </w:tcMar>
          </w:tcPr>
          <w:p>
            <w:pPr>
              <w:pStyle w:val="TableText"/>
            </w:pPr>
            <w:r>
              <w:t xml:space="preserve">Past orders retain their original tax values even if the tax percentage changes later.</w:t>
            </w:r>
          </w:p>
        </w:tc>
      </w:tr>
      <w:tr>
        <w:tc>
          <w:tcPr>
            <w:tcW w:w="2200" w:type="dxa"/>
            <w:tcMar>
              <w:top w:w="80" w:type="dxa"/>
              <w:bottom w:w="80" w:type="dxa"/>
              <w:start w:w="120" w:type="dxa"/>
              <w:end w:w="120" w:type="dxa"/>
            </w:tcMar>
          </w:tcPr>
          <w:p>
            <w:pPr>
              <w:pStyle w:val="TableText"/>
            </w:pPr>
            <w:r>
              <w:t xml:space="preserve">Reporting</w:t>
            </w:r>
          </w:p>
        </w:tc>
        <w:tc>
          <w:tcPr>
            <w:tcW w:w="7160" w:type="dxa"/>
            <w:tcMar>
              <w:top w:w="80" w:type="dxa"/>
              <w:bottom w:w="80" w:type="dxa"/>
              <w:start w:w="120" w:type="dxa"/>
              <w:end w:w="120" w:type="dxa"/>
            </w:tcMar>
          </w:tcPr>
          <w:p>
            <w:pPr>
              <w:pStyle w:val="TableText"/>
            </w:pPr>
            <w:r>
              <w:t xml:space="preserve">Tax becomes available as a dedicated amount for sales and end-of-day reporting.</w:t>
            </w:r>
          </w:p>
        </w:tc>
      </w:tr>
    </w:tbl>
    <w:p>
      <w:pPr>
        <w:pStyle w:val="Heading1"/>
        <w:keepNext/>
      </w:pPr>
      <w:r>
        <w:t xml:space="preserve">5. Rollout and Validation Plan</w:t>
      </w:r>
    </w:p>
    <w:p>
      <w:pPr>
        <w:pStyle w:val="ListParagraph"/>
        <w:numPr>
          <w:ilvl w:val="0"/>
          <w:numId w:val="2"/>
        </w:numPr>
      </w:pPr>
      <w:r>
        <w:t xml:space="preserve">Confirm the business tax percentage to configure in UAT.</w:t>
      </w:r>
    </w:p>
    <w:p>
      <w:pPr>
        <w:pStyle w:val="ListParagraph"/>
        <w:numPr>
          <w:ilvl w:val="0"/>
          <w:numId w:val="2"/>
        </w:numPr>
      </w:pPr>
      <w:r>
        <w:t xml:space="preserve">Review a sample set of taxable and non-taxable products in UAT.</w:t>
      </w:r>
    </w:p>
    <w:p>
      <w:pPr>
        <w:pStyle w:val="ListParagraph"/>
        <w:numPr>
          <w:ilvl w:val="0"/>
          <w:numId w:val="2"/>
        </w:numPr>
      </w:pPr>
      <w:r>
        <w:t xml:space="preserve">Run test transactions with no discounts, line discounts, order discounts, and mixed taxable/non-taxable baskets.</w:t>
      </w:r>
    </w:p>
    <w:p>
      <w:pPr>
        <w:pStyle w:val="ListParagraph"/>
        <w:numPr>
          <w:ilvl w:val="0"/>
          <w:numId w:val="2"/>
        </w:numPr>
      </w:pPr>
      <w:r>
        <w:t xml:space="preserve">Confirm receipts/order totals show expected subtotal, tax, and total behavior.</w:t>
      </w:r>
    </w:p>
    <w:p>
      <w:pPr>
        <w:pStyle w:val="ListParagraph"/>
        <w:numPr>
          <w:ilvl w:val="0"/>
          <w:numId w:val="2"/>
        </w:numPr>
      </w:pPr>
      <w:r>
        <w:t xml:space="preserve">Review sales list and end-of-day reporting for tax visibility and historical consistency.</w:t>
      </w:r>
    </w:p>
    <w:p>
      <w:pPr>
        <w:pStyle w:val="ListParagraph"/>
        <w:numPr>
          <w:ilvl w:val="0"/>
          <w:numId w:val="2"/>
        </w:numPr>
      </w:pPr>
      <w:r>
        <w:t xml:space="preserve">After business sign-off in UAT, schedule production deployment.</w:t>
      </w:r>
    </w:p>
    <w:p>
      <w:pPr>
        <w:pStyle w:val="Heading1"/>
        <w:keepNext/>
      </w:pPr>
      <w:r>
        <w:t xml:space="preserve">6. Business Acceptance Checklist</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700"/>
        <w:gridCol w:w="6660"/>
      </w:tblGrid>
      <w:tr>
        <w:tc>
          <w:tcPr>
            <w:tcW w:w="2700" w:type="dxa"/>
            <w:shd w:fill="F2F4F7"/>
            <w:tcMar>
              <w:top w:w="80" w:type="dxa"/>
              <w:bottom w:w="80" w:type="dxa"/>
              <w:start w:w="120" w:type="dxa"/>
              <w:end w:w="120" w:type="dxa"/>
            </w:tcMar>
          </w:tcPr>
          <w:p>
            <w:pPr>
              <w:pStyle w:val="TableText"/>
            </w:pPr>
            <w:r>
              <w:rPr>
                <w:b/>
              </w:rPr>
              <w:t xml:space="preserve">Check</w:t>
            </w:r>
          </w:p>
        </w:tc>
        <w:tc>
          <w:tcPr>
            <w:tcW w:w="6660" w:type="dxa"/>
            <w:shd w:fill="F2F4F7"/>
            <w:tcMar>
              <w:top w:w="80" w:type="dxa"/>
              <w:bottom w:w="80" w:type="dxa"/>
              <w:start w:w="120" w:type="dxa"/>
              <w:end w:w="120" w:type="dxa"/>
            </w:tcMar>
          </w:tcPr>
          <w:p>
            <w:pPr>
              <w:pStyle w:val="TableText"/>
            </w:pPr>
            <w:r>
              <w:rPr>
                <w:b/>
              </w:rPr>
              <w:t xml:space="preserve">Acceptance expectation</w:t>
            </w:r>
          </w:p>
        </w:tc>
      </w:tr>
      <w:tr>
        <w:tc>
          <w:tcPr>
            <w:tcW w:w="2700" w:type="dxa"/>
            <w:tcMar>
              <w:top w:w="80" w:type="dxa"/>
              <w:bottom w:w="80" w:type="dxa"/>
              <w:start w:w="120" w:type="dxa"/>
              <w:end w:w="120" w:type="dxa"/>
            </w:tcMar>
          </w:tcPr>
          <w:p>
            <w:pPr>
              <w:pStyle w:val="TableText"/>
            </w:pPr>
            <w:r>
              <w:t xml:space="preserve">Tax setting can be saved</w:t>
            </w:r>
          </w:p>
        </w:tc>
        <w:tc>
          <w:tcPr>
            <w:tcW w:w="6660" w:type="dxa"/>
            <w:tcMar>
              <w:top w:w="80" w:type="dxa"/>
              <w:bottom w:w="80" w:type="dxa"/>
              <w:start w:w="120" w:type="dxa"/>
              <w:end w:w="120" w:type="dxa"/>
            </w:tcMar>
          </w:tcPr>
          <w:p>
            <w:pPr>
              <w:pStyle w:val="TableText"/>
            </w:pPr>
            <w:r>
              <w:t xml:space="preserve">A valid tax percentage is saved and reused by checkout.</w:t>
            </w:r>
          </w:p>
        </w:tc>
      </w:tr>
      <w:tr>
        <w:tc>
          <w:tcPr>
            <w:tcW w:w="2700" w:type="dxa"/>
            <w:tcMar>
              <w:top w:w="80" w:type="dxa"/>
              <w:bottom w:w="80" w:type="dxa"/>
              <w:start w:w="120" w:type="dxa"/>
              <w:end w:w="120" w:type="dxa"/>
            </w:tcMar>
          </w:tcPr>
          <w:p>
            <w:pPr>
              <w:pStyle w:val="TableText"/>
            </w:pPr>
            <w:r>
              <w:t xml:space="preserve">Invalid tax values are blocked</w:t>
            </w:r>
          </w:p>
        </w:tc>
        <w:tc>
          <w:tcPr>
            <w:tcW w:w="6660" w:type="dxa"/>
            <w:tcMar>
              <w:top w:w="80" w:type="dxa"/>
              <w:bottom w:w="80" w:type="dxa"/>
              <w:start w:w="120" w:type="dxa"/>
              <w:end w:w="120" w:type="dxa"/>
            </w:tcMar>
          </w:tcPr>
          <w:p>
            <w:pPr>
              <w:pStyle w:val="TableText"/>
            </w:pPr>
            <w:r>
              <w:t xml:space="preserve">Negative or greater-than-100 values cannot be saved.</w:t>
            </w:r>
          </w:p>
        </w:tc>
      </w:tr>
      <w:tr>
        <w:tc>
          <w:tcPr>
            <w:tcW w:w="2700" w:type="dxa"/>
            <w:tcMar>
              <w:top w:w="80" w:type="dxa"/>
              <w:bottom w:w="80" w:type="dxa"/>
              <w:start w:w="120" w:type="dxa"/>
              <w:end w:w="120" w:type="dxa"/>
            </w:tcMar>
          </w:tcPr>
          <w:p>
            <w:pPr>
              <w:pStyle w:val="TableText"/>
            </w:pPr>
            <w:r>
              <w:t xml:space="preserve">Products default to non-taxable</w:t>
            </w:r>
          </w:p>
        </w:tc>
        <w:tc>
          <w:tcPr>
            <w:tcW w:w="6660" w:type="dxa"/>
            <w:tcMar>
              <w:top w:w="80" w:type="dxa"/>
              <w:bottom w:w="80" w:type="dxa"/>
              <w:start w:w="120" w:type="dxa"/>
              <w:end w:w="120" w:type="dxa"/>
            </w:tcMar>
          </w:tcPr>
          <w:p>
            <w:pPr>
              <w:pStyle w:val="TableText"/>
            </w:pPr>
            <w:r>
              <w:t xml:space="preserve">Existing/missing taxable values are treated as false.</w:t>
            </w:r>
          </w:p>
        </w:tc>
      </w:tr>
      <w:tr>
        <w:tc>
          <w:tcPr>
            <w:tcW w:w="2700" w:type="dxa"/>
            <w:tcMar>
              <w:top w:w="80" w:type="dxa"/>
              <w:bottom w:w="80" w:type="dxa"/>
              <w:start w:w="120" w:type="dxa"/>
              <w:end w:w="120" w:type="dxa"/>
            </w:tcMar>
          </w:tcPr>
          <w:p>
            <w:pPr>
              <w:pStyle w:val="TableText"/>
            </w:pPr>
            <w:r>
              <w:t xml:space="preserve">Taxable products calculate tax</w:t>
            </w:r>
          </w:p>
        </w:tc>
        <w:tc>
          <w:tcPr>
            <w:tcW w:w="6660" w:type="dxa"/>
            <w:tcMar>
              <w:top w:w="80" w:type="dxa"/>
              <w:bottom w:w="80" w:type="dxa"/>
              <w:start w:w="120" w:type="dxa"/>
              <w:end w:w="120" w:type="dxa"/>
            </w:tcMar>
          </w:tcPr>
          <w:p>
            <w:pPr>
              <w:pStyle w:val="TableText"/>
            </w:pPr>
            <w:r>
              <w:t xml:space="preserve">A taxable product adds tax based on the configured percentage.</w:t>
            </w:r>
          </w:p>
        </w:tc>
      </w:tr>
      <w:tr>
        <w:tc>
          <w:tcPr>
            <w:tcW w:w="2700" w:type="dxa"/>
            <w:tcMar>
              <w:top w:w="80" w:type="dxa"/>
              <w:bottom w:w="80" w:type="dxa"/>
              <w:start w:w="120" w:type="dxa"/>
              <w:end w:w="120" w:type="dxa"/>
            </w:tcMar>
          </w:tcPr>
          <w:p>
            <w:pPr>
              <w:pStyle w:val="TableText"/>
            </w:pPr>
            <w:r>
              <w:t xml:space="preserve">Non-taxable products do not calculate tax</w:t>
            </w:r>
          </w:p>
        </w:tc>
        <w:tc>
          <w:tcPr>
            <w:tcW w:w="6660" w:type="dxa"/>
            <w:tcMar>
              <w:top w:w="80" w:type="dxa"/>
              <w:bottom w:w="80" w:type="dxa"/>
              <w:start w:w="120" w:type="dxa"/>
              <w:end w:w="120" w:type="dxa"/>
            </w:tcMar>
          </w:tcPr>
          <w:p>
            <w:pPr>
              <w:pStyle w:val="TableText"/>
            </w:pPr>
            <w:r>
              <w:t xml:space="preserve">A non-taxable product remains untaxed in mixed baskets.</w:t>
            </w:r>
          </w:p>
        </w:tc>
      </w:tr>
      <w:tr>
        <w:tc>
          <w:tcPr>
            <w:tcW w:w="2700" w:type="dxa"/>
            <w:tcMar>
              <w:top w:w="80" w:type="dxa"/>
              <w:bottom w:w="80" w:type="dxa"/>
              <w:start w:w="120" w:type="dxa"/>
              <w:end w:w="120" w:type="dxa"/>
            </w:tcMar>
          </w:tcPr>
          <w:p>
            <w:pPr>
              <w:pStyle w:val="TableText"/>
            </w:pPr>
            <w:r>
              <w:t xml:space="preserve">Discounts reduce taxable base</w:t>
            </w:r>
          </w:p>
        </w:tc>
        <w:tc>
          <w:tcPr>
            <w:tcW w:w="6660" w:type="dxa"/>
            <w:tcMar>
              <w:top w:w="80" w:type="dxa"/>
              <w:bottom w:w="80" w:type="dxa"/>
              <w:start w:w="120" w:type="dxa"/>
              <w:end w:w="120" w:type="dxa"/>
            </w:tcMar>
          </w:tcPr>
          <w:p>
            <w:pPr>
              <w:pStyle w:val="TableText"/>
            </w:pPr>
            <w:r>
              <w:t xml:space="preserve">Tax is calculated after discounts are applied.</w:t>
            </w:r>
          </w:p>
        </w:tc>
      </w:tr>
      <w:tr>
        <w:tc>
          <w:tcPr>
            <w:tcW w:w="2700" w:type="dxa"/>
            <w:tcMar>
              <w:top w:w="80" w:type="dxa"/>
              <w:bottom w:w="80" w:type="dxa"/>
              <w:start w:w="120" w:type="dxa"/>
              <w:end w:w="120" w:type="dxa"/>
            </w:tcMar>
          </w:tcPr>
          <w:p>
            <w:pPr>
              <w:pStyle w:val="TableText"/>
            </w:pPr>
            <w:r>
              <w:t xml:space="preserve">Reports expose tax</w:t>
            </w:r>
          </w:p>
        </w:tc>
        <w:tc>
          <w:tcPr>
            <w:tcW w:w="6660" w:type="dxa"/>
            <w:tcMar>
              <w:top w:w="80" w:type="dxa"/>
              <w:bottom w:w="80" w:type="dxa"/>
              <w:start w:w="120" w:type="dxa"/>
              <w:end w:w="120" w:type="dxa"/>
            </w:tcMar>
          </w:tcPr>
          <w:p>
            <w:pPr>
              <w:pStyle w:val="TableText"/>
            </w:pPr>
            <w:r>
              <w:t xml:space="preserve">Reports that show sales totals include tax values where relevant.</w:t>
            </w:r>
          </w:p>
        </w:tc>
      </w:tr>
    </w:tbl>
    <w:p>
      <w:pPr>
        <w:pStyle w:val="Heading1"/>
        <w:keepNext/>
      </w:pPr>
      <w:r>
        <w:t xml:space="preserve">7. Notes and Dependencies</w:t>
      </w:r>
    </w:p>
    <w:p>
      <w:pPr>
        <w:pStyle w:val="ListParagraph"/>
        <w:numPr>
          <w:ilvl w:val="0"/>
          <w:numId w:val="1"/>
        </w:numPr>
      </w:pPr>
      <w:r>
        <w:t xml:space="preserve">The UAT environment will be aligned with production backend changes and the tax schema update as part of the June 22, 2026 UAT deployment.</w:t>
      </w:r>
    </w:p>
    <w:p>
      <w:pPr>
        <w:pStyle w:val="ListParagraph"/>
        <w:numPr>
          <w:ilvl w:val="0"/>
          <w:numId w:val="1"/>
        </w:numPr>
      </w:pPr>
      <w:r>
        <w:t xml:space="preserve">The implementation keeps current products non-taxable by default to avoid accidentally charging tax on existing catalog items.</w:t>
      </w:r>
    </w:p>
    <w:p>
      <w:pPr>
        <w:pStyle w:val="ListParagraph"/>
        <w:numPr>
          <w:ilvl w:val="0"/>
          <w:numId w:val="1"/>
        </w:numPr>
      </w:pPr>
      <w:r>
        <w:t xml:space="preserve">Business users should confirm the correct taxable status for products before using the feature in production.</w:t>
      </w:r>
    </w:p>
    <w:p>
      <w:pPr>
        <w:pStyle w:val="ListParagraph"/>
        <w:numPr>
          <w:ilvl w:val="0"/>
          <w:numId w:val="1"/>
        </w:numPr>
      </w:pPr>
      <w:r>
        <w:t xml:space="preserve">A known unrelated automated test issue remains in an order sync test mock. It does not block the planned UAT tax functionality, but it should be cleaned up separately for full test-suite hygiene.</w:t>
      </w:r>
    </w:p>
    <w:p>
      <w:pPr>
        <w:pStyle w:val="Heading1"/>
        <w:keepNext/>
      </w:pPr>
      <w:r>
        <w:t xml:space="preserve">8. Summary for Stakeholders</w:t>
      </w:r>
    </w:p>
    <w:p>
      <w:pPr>
        <w:pStyle w:val="Normal"/>
      </w:pPr>
      <w:r>
        <w:t xml:space="preserve">This release gives the business a controlled way to apply taxes in the POS. It adds the required setup controls, protects existing products by defaulting them to non-taxable, calculates tax after discounts, and preserves tax details on orders so reporting remains accurate over time. UAT will be ready for business validation after the June 22, 2026 deployment.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num w:numId="1">
    <w:abstractNumId w:val="1"/>
  </w:num>
  <w:abstractNum w:abstractNumId="2">
    <w:lvl w:ilvl="0">
      <w:start w:val="1"/>
      <w:numFmt w:val="decimal"/>
      <w:lvlText w:val="%1."/>
      <w:lvlJc w:val="left"/>
      <w:pPr>
        <w:tabs>
          <w:tab w:val="num" w:pos="720"/>
        </w:tabs>
        <w:ind w:left="720" w:hanging="360"/>
      </w:pPr>
    </w:lvl>
  </w:abstractNum>
  <w:num w:numId="2">
    <w:abstractNumId w:val="2"/>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sz w:val="22"/>
        <w:color w:val="1F2937"/>
      </w:rPr>
    </w:rPrDefault>
    <w:pPrDefault>
      <w:pPr>
        <w:spacing w:after="120" w:line="264" w:lineRule="auto"/>
      </w:pPr>
    </w:pPrDefault>
  </w:docDefaults>
  <w:style w:type="paragraph" w:default="1" w:styleId="Normal">
    <w:name w:val="Normal"/>
    <w:pPr>
      <w:spacing w:after="120" w:line="264" w:lineRule="auto"/>
    </w:pPr>
    <w:rPr>
      <w:rFonts w:ascii="Calibri" w:hAnsi="Calibri"/>
      <w:sz w:val="22"/>
      <w:color w:val="1F2937"/>
    </w:rPr>
  </w:style>
  <w:style w:type="paragraph" w:styleId="Title">
    <w:name w:val="Title"/>
    <w:pPr>
      <w:spacing w:after="120"/>
    </w:pPr>
    <w:rPr>
      <w:rFonts w:ascii="Calibri Light" w:hAnsi="Calibri Light"/>
      <w:sz w:val="52"/>
      <w:color w:val="0B2545"/>
    </w:rPr>
  </w:style>
  <w:style w:type="paragraph" w:styleId="Subtitle">
    <w:name w:val="Subtitle"/>
    <w:pPr>
      <w:spacing w:after="160"/>
    </w:pPr>
    <w:rPr>
      <w:rFonts w:ascii="Calibri" w:hAnsi="Calibri"/>
      <w:sz w:val="28"/>
      <w:color w:val="2E74B5"/>
    </w:rPr>
  </w:style>
  <w:style w:type="paragraph" w:styleId="Meta">
    <w:name w:val="Meta"/>
    <w:pPr>
      <w:spacing w:after="240"/>
    </w:pPr>
    <w:rPr>
      <w:rFonts w:ascii="Calibri" w:hAnsi="Calibri"/>
      <w:sz w:val="20"/>
      <w:color w:val="667085"/>
    </w:rPr>
  </w:style>
  <w:style w:type="paragraph" w:styleId="Heading1">
    <w:name w:val="heading 1"/>
    <w:basedOn w:val="Normal"/>
    <w:pPr>
      <w:keepNext/>
      <w:spacing w:before="320" w:after="160"/>
    </w:pPr>
    <w:rPr>
      <w:b/>
      <w:sz w:val="32"/>
      <w:color w:val="2E74B5"/>
    </w:rPr>
  </w:style>
  <w:style w:type="paragraph" w:styleId="Heading2">
    <w:name w:val="heading 2"/>
    <w:basedOn w:val="Normal"/>
    <w:pPr>
      <w:keepNext/>
      <w:spacing w:before="240" w:after="120"/>
    </w:pPr>
    <w:rPr>
      <w:b/>
      <w:sz w:val="26"/>
      <w:color w:val="2E74B5"/>
    </w:rPr>
  </w:style>
  <w:style w:type="paragraph" w:styleId="Heading3">
    <w:name w:val="heading 3"/>
    <w:basedOn w:val="Normal"/>
    <w:pPr>
      <w:keepNext/>
      <w:spacing w:before="160" w:after="80"/>
    </w:pPr>
    <w:rPr>
      <w:b/>
      <w:sz w:val="24"/>
      <w:color w:val="1F4D78"/>
    </w:rPr>
  </w:style>
  <w:style w:type="paragraph" w:styleId="ListParagraph">
    <w:name w:val="List Paragraph"/>
    <w:basedOn w:val="Normal"/>
    <w:pPr>
      <w:spacing w:after="80"/>
    </w:pPr>
  </w:style>
  <w:style w:type="paragraph" w:styleId="TableText">
    <w:name w:val="Table Text"/>
    <w:basedOn w:val="Normal"/>
    <w:pPr>
      <w:spacing w:after="0" w:line="240" w:lineRule="auto"/>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Tax Support Business Change Brief</dc:title>
  <dc:creator>Codex</dc:creator>
  <cp:lastModifiedBy>Codex</cp:lastModifiedBy>
  <dcterms:created xsi:type="dcterms:W3CDTF">2026-06-11T19:19:48.853Z</dcterms:created>
  <dcterms:modified xsi:type="dcterms:W3CDTF">2026-06-11T19:19:48.853Z</dcterms:modified>
</cp:coreProperties>
</file>