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C81F0" w14:textId="77777777" w:rsidR="00490555" w:rsidRPr="00A73ECA" w:rsidRDefault="00490555" w:rsidP="00490555">
      <w:pPr>
        <w:pStyle w:val="Heading1"/>
        <w:spacing w:line="480" w:lineRule="auto"/>
        <w:rPr>
          <w:rFonts w:ascii="Arial" w:hAnsi="Arial" w:cs="Arial"/>
          <w:sz w:val="24"/>
          <w:szCs w:val="24"/>
          <w:lang w:val="en-GB"/>
        </w:rPr>
      </w:pPr>
      <w:r w:rsidRPr="00A73ECA">
        <w:rPr>
          <w:rFonts w:ascii="Arial" w:hAnsi="Arial" w:cs="Arial"/>
          <w:sz w:val="24"/>
          <w:szCs w:val="24"/>
          <w:lang w:val="en-GB"/>
        </w:rPr>
        <w:t>Supplementary material</w:t>
      </w:r>
    </w:p>
    <w:p w14:paraId="4EA1C4BB" w14:textId="77777777" w:rsidR="00490555" w:rsidRPr="00A73ECA" w:rsidRDefault="00490555" w:rsidP="00490555">
      <w:pPr>
        <w:spacing w:line="480" w:lineRule="auto"/>
        <w:rPr>
          <w:rFonts w:ascii="Arial" w:hAnsi="Arial" w:cs="Arial"/>
          <w:szCs w:val="24"/>
          <w:lang w:val="en-GB"/>
        </w:rPr>
      </w:pPr>
      <w:r w:rsidRPr="00A73ECA">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62"/>
        <w:gridCol w:w="3191"/>
        <w:gridCol w:w="2444"/>
        <w:gridCol w:w="1676"/>
      </w:tblGrid>
      <w:tr w:rsidR="00490555" w:rsidRPr="00A73ECA" w14:paraId="25A54602"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2F050D08"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14:paraId="6FD1B03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5A63072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Rationale</w:t>
            </w:r>
          </w:p>
        </w:tc>
        <w:tc>
          <w:tcPr>
            <w:tcW w:w="1676" w:type="dxa"/>
            <w:tcBorders>
              <w:top w:val="single" w:sz="4" w:space="0" w:color="auto"/>
              <w:left w:val="single" w:sz="4" w:space="0" w:color="auto"/>
              <w:bottom w:val="single" w:sz="4" w:space="0" w:color="auto"/>
              <w:right w:val="single" w:sz="4" w:space="0" w:color="auto"/>
            </w:tcBorders>
            <w:hideMark/>
          </w:tcPr>
          <w:p w14:paraId="24171C4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Reference</w:t>
            </w:r>
          </w:p>
        </w:tc>
      </w:tr>
      <w:tr w:rsidR="00490555" w:rsidRPr="00A73ECA" w14:paraId="4B2769BA"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507B8F9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14:paraId="2F4198E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0292F2F1" w14:textId="77777777" w:rsidR="00490555" w:rsidRPr="00A73ECA" w:rsidRDefault="00490555" w:rsidP="009D2109">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5A7EBD0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(Weisbecker et al., 2015)</w:t>
            </w:r>
            <w:r w:rsidRPr="00A73ECA">
              <w:rPr>
                <w:rFonts w:ascii="Arial" w:hAnsi="Arial" w:cs="Arial"/>
                <w:szCs w:val="24"/>
                <w:lang w:val="en-GB"/>
              </w:rPr>
              <w:fldChar w:fldCharType="end"/>
            </w:r>
            <w:r w:rsidRPr="00A73ECA">
              <w:rPr>
                <w:rFonts w:ascii="Arial" w:hAnsi="Arial" w:cs="Arial"/>
                <w:szCs w:val="24"/>
                <w:lang w:val="en-GB"/>
              </w:rPr>
              <w:t xml:space="preserve"> </w:t>
            </w:r>
          </w:p>
        </w:tc>
      </w:tr>
      <w:tr w:rsidR="00490555" w:rsidRPr="00A73ECA" w14:paraId="26E16654"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420FD26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Body</w:t>
            </w:r>
          </w:p>
        </w:tc>
        <w:tc>
          <w:tcPr>
            <w:tcW w:w="3134" w:type="dxa"/>
            <w:tcBorders>
              <w:top w:val="single" w:sz="4" w:space="0" w:color="auto"/>
              <w:left w:val="single" w:sz="4" w:space="0" w:color="auto"/>
              <w:bottom w:val="single" w:sz="4" w:space="0" w:color="auto"/>
              <w:right w:val="single" w:sz="4" w:space="0" w:color="auto"/>
            </w:tcBorders>
            <w:hideMark/>
          </w:tcPr>
          <w:p w14:paraId="7408488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7CD283CE" w14:textId="77777777" w:rsidR="00490555" w:rsidRPr="00A73ECA" w:rsidRDefault="00490555" w:rsidP="009D2109">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33177B49"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(Birdlife International, 2016; Flannery, 2013; Myers et al., 2006; van Dyck, Gynther, &amp; Baker, 2013; Weisbecker, Ashwell, &amp; Fisher, 2013)</w:t>
            </w:r>
            <w:r w:rsidRPr="00A73ECA">
              <w:rPr>
                <w:rFonts w:ascii="Arial" w:hAnsi="Arial" w:cs="Arial"/>
                <w:szCs w:val="24"/>
                <w:lang w:val="en-GB"/>
              </w:rPr>
              <w:fldChar w:fldCharType="end"/>
            </w:r>
          </w:p>
        </w:tc>
      </w:tr>
      <w:tr w:rsidR="00490555" w:rsidRPr="00A73ECA" w14:paraId="744A7CF0"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301F70F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Origin</w:t>
            </w:r>
          </w:p>
        </w:tc>
        <w:tc>
          <w:tcPr>
            <w:tcW w:w="3134" w:type="dxa"/>
            <w:tcBorders>
              <w:top w:val="single" w:sz="4" w:space="0" w:color="auto"/>
              <w:left w:val="single" w:sz="4" w:space="0" w:color="auto"/>
              <w:bottom w:val="single" w:sz="4" w:space="0" w:color="auto"/>
              <w:right w:val="single" w:sz="4" w:space="0" w:color="auto"/>
            </w:tcBorders>
            <w:hideMark/>
          </w:tcPr>
          <w:p w14:paraId="413CB1E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1 – Australia, 2 – New Guinea, 3 </w:t>
            </w:r>
            <w:r>
              <w:rPr>
                <w:rFonts w:ascii="Arial" w:hAnsi="Arial" w:cs="Arial"/>
                <w:szCs w:val="24"/>
                <w:lang w:val="en-GB"/>
              </w:rPr>
              <w:t>–</w:t>
            </w:r>
            <w:r w:rsidRPr="00A73ECA">
              <w:rPr>
                <w:rFonts w:ascii="Arial" w:hAnsi="Arial" w:cs="Arial"/>
                <w:szCs w:val="24"/>
                <w:lang w:val="en-GB"/>
              </w:rPr>
              <w:t xml:space="preserve"> Americas</w:t>
            </w:r>
          </w:p>
        </w:tc>
        <w:tc>
          <w:tcPr>
            <w:tcW w:w="2444" w:type="dxa"/>
            <w:tcBorders>
              <w:top w:val="single" w:sz="4" w:space="0" w:color="auto"/>
              <w:left w:val="single" w:sz="4" w:space="0" w:color="auto"/>
              <w:bottom w:val="single" w:sz="4" w:space="0" w:color="auto"/>
              <w:right w:val="single" w:sz="4" w:space="0" w:color="auto"/>
            </w:tcBorders>
            <w:hideMark/>
          </w:tcPr>
          <w:p w14:paraId="5080E6E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Different origins predispose different influence of seasonality, </w:t>
            </w:r>
            <w:r w:rsidRPr="00A73ECA">
              <w:rPr>
                <w:rFonts w:ascii="Arial" w:hAnsi="Arial" w:cs="Arial"/>
                <w:szCs w:val="24"/>
                <w:lang w:val="en-GB"/>
              </w:rPr>
              <w:lastRenderedPageBreak/>
              <w:t>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7C26B714"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Myers et al., 2006; van Dyck et al., 2013)</w:t>
            </w:r>
            <w:r w:rsidRPr="00A73ECA">
              <w:rPr>
                <w:rFonts w:ascii="Arial" w:hAnsi="Arial" w:cs="Arial"/>
                <w:szCs w:val="24"/>
                <w:lang w:val="en-GB"/>
              </w:rPr>
              <w:fldChar w:fldCharType="end"/>
            </w:r>
          </w:p>
        </w:tc>
      </w:tr>
      <w:tr w:rsidR="00490555" w:rsidRPr="00A73ECA" w14:paraId="4942CE9E"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68A7FAF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0F54F390"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Common, abundant, 2 - Vulnerable, endangered, rare, declining, limited</w:t>
            </w:r>
          </w:p>
          <w:p w14:paraId="4910968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3 - Extinct</w:t>
            </w:r>
          </w:p>
          <w:p w14:paraId="1C6ABFBD"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464A6637"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Highly threatened mammals are known to have larger relative brain sizes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(Abelson, 2016)</w:t>
            </w:r>
            <w:r w:rsidRPr="00A73ECA">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2F401A6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(Birdlife International, 2016; van Dyck et al., 2013)</w:t>
            </w:r>
            <w:r w:rsidRPr="00A73ECA">
              <w:rPr>
                <w:rFonts w:ascii="Arial" w:hAnsi="Arial" w:cs="Arial"/>
                <w:szCs w:val="24"/>
                <w:lang w:val="en-GB"/>
              </w:rPr>
              <w:fldChar w:fldCharType="end"/>
            </w:r>
          </w:p>
        </w:tc>
      </w:tr>
      <w:tr w:rsidR="00490555" w:rsidRPr="00A73ECA" w14:paraId="6DD6D335" w14:textId="77777777" w:rsidTr="009D2109">
        <w:tc>
          <w:tcPr>
            <w:tcW w:w="1762" w:type="dxa"/>
            <w:tcBorders>
              <w:top w:val="single" w:sz="4" w:space="0" w:color="auto"/>
              <w:left w:val="single" w:sz="4" w:space="0" w:color="auto"/>
              <w:bottom w:val="single" w:sz="4" w:space="0" w:color="auto"/>
              <w:right w:val="single" w:sz="4" w:space="0" w:color="auto"/>
            </w:tcBorders>
          </w:tcPr>
          <w:p w14:paraId="22FD6961" w14:textId="77777777" w:rsidR="00490555" w:rsidRPr="00A73ECA" w:rsidRDefault="00490555" w:rsidP="009D2109">
            <w:pPr>
              <w:spacing w:line="480" w:lineRule="auto"/>
              <w:rPr>
                <w:rFonts w:ascii="Arial" w:hAnsi="Arial" w:cs="Arial"/>
                <w:szCs w:val="24"/>
                <w:lang w:val="en-GB"/>
              </w:rPr>
            </w:pPr>
            <w:proofErr w:type="spellStart"/>
            <w:r w:rsidRPr="00A73ECA">
              <w:rPr>
                <w:rFonts w:ascii="Arial" w:hAnsi="Arial" w:cs="Arial"/>
                <w:szCs w:val="24"/>
                <w:lang w:val="en-GB"/>
              </w:rPr>
              <w:t>Diurnality</w:t>
            </w:r>
            <w:proofErr w:type="spellEnd"/>
          </w:p>
          <w:p w14:paraId="6EC069E1"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66AACD0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418976B7"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519C222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van Dyck et al., 2013; Weisbecker et al., 2015)</w:t>
            </w:r>
            <w:r w:rsidRPr="00A73ECA">
              <w:rPr>
                <w:rFonts w:ascii="Arial" w:hAnsi="Arial" w:cs="Arial"/>
                <w:szCs w:val="24"/>
                <w:lang w:val="en-GB"/>
              </w:rPr>
              <w:fldChar w:fldCharType="end"/>
            </w:r>
          </w:p>
        </w:tc>
      </w:tr>
      <w:tr w:rsidR="00490555" w:rsidRPr="00A73ECA" w14:paraId="052DDF5E"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65719C6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Arboreality</w:t>
            </w:r>
          </w:p>
        </w:tc>
        <w:tc>
          <w:tcPr>
            <w:tcW w:w="3134" w:type="dxa"/>
            <w:tcBorders>
              <w:top w:val="single" w:sz="4" w:space="0" w:color="auto"/>
              <w:left w:val="single" w:sz="4" w:space="0" w:color="auto"/>
              <w:bottom w:val="single" w:sz="4" w:space="0" w:color="auto"/>
              <w:right w:val="single" w:sz="4" w:space="0" w:color="auto"/>
            </w:tcBorders>
          </w:tcPr>
          <w:p w14:paraId="528AEB5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Arboreal or scansorial, 2 - Terrestrial</w:t>
            </w:r>
          </w:p>
          <w:p w14:paraId="36728DF1"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63BC38A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Arboreal environment is considered more cognitively demanding.</w:t>
            </w:r>
          </w:p>
        </w:tc>
        <w:tc>
          <w:tcPr>
            <w:tcW w:w="1676" w:type="dxa"/>
            <w:tcBorders>
              <w:top w:val="single" w:sz="4" w:space="0" w:color="auto"/>
              <w:left w:val="single" w:sz="4" w:space="0" w:color="auto"/>
              <w:bottom w:val="single" w:sz="4" w:space="0" w:color="auto"/>
              <w:right w:val="single" w:sz="4" w:space="0" w:color="auto"/>
            </w:tcBorders>
            <w:hideMark/>
          </w:tcPr>
          <w:p w14:paraId="46D56FC6"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van Dyck et al., 2013; Weisbecker et al., 2015)</w:t>
            </w:r>
            <w:r w:rsidRPr="00A73ECA">
              <w:rPr>
                <w:rFonts w:ascii="Arial" w:hAnsi="Arial" w:cs="Arial"/>
                <w:szCs w:val="24"/>
                <w:lang w:val="en-GB"/>
              </w:rPr>
              <w:fldChar w:fldCharType="end"/>
            </w:r>
          </w:p>
        </w:tc>
      </w:tr>
      <w:tr w:rsidR="00490555" w:rsidRPr="00A73ECA" w14:paraId="297B31CD" w14:textId="77777777" w:rsidTr="009D2109">
        <w:tc>
          <w:tcPr>
            <w:tcW w:w="1762" w:type="dxa"/>
            <w:tcBorders>
              <w:top w:val="single" w:sz="4" w:space="0" w:color="auto"/>
              <w:left w:val="single" w:sz="4" w:space="0" w:color="auto"/>
              <w:bottom w:val="single" w:sz="4" w:space="0" w:color="auto"/>
              <w:right w:val="single" w:sz="4" w:space="0" w:color="auto"/>
            </w:tcBorders>
          </w:tcPr>
          <w:p w14:paraId="4BDEC3DB"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Shelter safety</w:t>
            </w:r>
          </w:p>
          <w:p w14:paraId="3C0C96EE"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A06F14A"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1 - Protected (burrow/nest in a tree hollow), 2 - </w:t>
            </w:r>
            <w:r w:rsidRPr="00A73ECA">
              <w:rPr>
                <w:rFonts w:ascii="Arial" w:hAnsi="Arial" w:cs="Arial"/>
                <w:szCs w:val="24"/>
                <w:lang w:val="en-GB"/>
              </w:rPr>
              <w:lastRenderedPageBreak/>
              <w:t>Intermediate (tree canopy/hollow log/under rock/nest on the ground or in a soil crack), 3 - Open (under shrubs/in grass/tree shade)</w:t>
            </w:r>
          </w:p>
          <w:p w14:paraId="07639301"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20B4F27"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t xml:space="preserve">Proxy for predation as selection </w:t>
            </w:r>
            <w:r w:rsidRPr="00A73ECA">
              <w:rPr>
                <w:rFonts w:ascii="Arial" w:hAnsi="Arial" w:cs="Arial"/>
                <w:szCs w:val="24"/>
                <w:lang w:val="en-GB"/>
              </w:rPr>
              <w:lastRenderedPageBreak/>
              <w:t xml:space="preserve">pressure for larger brains.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(Reddon, Chouinard-Thuly, Leris, &amp; Reader, 2018)</w:t>
            </w:r>
            <w:r w:rsidRPr="00A73ECA">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56E85113"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 xml:space="preserve">(Flannery, 2013; van </w:t>
            </w:r>
            <w:r w:rsidRPr="00A73ECA">
              <w:rPr>
                <w:rFonts w:ascii="Arial" w:hAnsi="Arial" w:cs="Arial"/>
                <w:noProof/>
                <w:szCs w:val="24"/>
                <w:lang w:val="en-GB"/>
              </w:rPr>
              <w:lastRenderedPageBreak/>
              <w:t>Dyck et al., 2013; (Weisbecker et al., 2015)</w:t>
            </w:r>
            <w:r w:rsidRPr="00A73ECA">
              <w:rPr>
                <w:rFonts w:ascii="Arial" w:hAnsi="Arial" w:cs="Arial"/>
                <w:szCs w:val="24"/>
                <w:lang w:val="en-GB"/>
              </w:rPr>
              <w:fldChar w:fldCharType="end"/>
            </w:r>
          </w:p>
        </w:tc>
      </w:tr>
      <w:tr w:rsidR="00490555" w:rsidRPr="00A73ECA" w14:paraId="7B6AAEC6" w14:textId="77777777" w:rsidTr="009D2109">
        <w:tc>
          <w:tcPr>
            <w:tcW w:w="1762" w:type="dxa"/>
            <w:tcBorders>
              <w:top w:val="single" w:sz="4" w:space="0" w:color="auto"/>
              <w:left w:val="single" w:sz="4" w:space="0" w:color="auto"/>
              <w:bottom w:val="single" w:sz="4" w:space="0" w:color="auto"/>
              <w:right w:val="single" w:sz="4" w:space="0" w:color="auto"/>
            </w:tcBorders>
          </w:tcPr>
          <w:p w14:paraId="76324E86"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t>Diet</w:t>
            </w:r>
          </w:p>
          <w:p w14:paraId="02FB6EB5"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02D2CB5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&gt;50% grass/browse, 2 - Seeds, grass, roots, leaves, fruit, invertebrates, 3 - Nectar, fruit, invertebrates, 4 - &gt;50% invertebrate/vertebrate</w:t>
            </w:r>
          </w:p>
          <w:p w14:paraId="6BCF2A7C"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59DC724"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10ED51E0"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van Dyck et al., 2013; Weisbecker et al., 2015)</w:t>
            </w:r>
            <w:r w:rsidRPr="00A73ECA">
              <w:rPr>
                <w:rFonts w:ascii="Arial" w:hAnsi="Arial" w:cs="Arial"/>
                <w:szCs w:val="24"/>
                <w:lang w:val="en-GB"/>
              </w:rPr>
              <w:fldChar w:fldCharType="end"/>
            </w:r>
          </w:p>
        </w:tc>
      </w:tr>
      <w:tr w:rsidR="00490555" w:rsidRPr="00A73ECA" w14:paraId="00769B5A" w14:textId="77777777" w:rsidTr="009D2109">
        <w:tc>
          <w:tcPr>
            <w:tcW w:w="1762" w:type="dxa"/>
            <w:tcBorders>
              <w:top w:val="single" w:sz="4" w:space="0" w:color="auto"/>
              <w:left w:val="single" w:sz="4" w:space="0" w:color="auto"/>
              <w:bottom w:val="single" w:sz="4" w:space="0" w:color="auto"/>
              <w:right w:val="single" w:sz="4" w:space="0" w:color="auto"/>
            </w:tcBorders>
          </w:tcPr>
          <w:p w14:paraId="46BFEF2B"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Group living</w:t>
            </w:r>
          </w:p>
          <w:p w14:paraId="4C472D98"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61AD0C6A"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No, 2 - Yes</w:t>
            </w:r>
          </w:p>
          <w:p w14:paraId="46C22370"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0D64CD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14:paraId="584F979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Myers et al., 2006; van Dyck et al., 2013; Weisbecker et al., 2015)</w:t>
            </w:r>
            <w:r w:rsidRPr="00A73ECA">
              <w:rPr>
                <w:rFonts w:ascii="Arial" w:hAnsi="Arial" w:cs="Arial"/>
                <w:szCs w:val="24"/>
                <w:lang w:val="en-GB"/>
              </w:rPr>
              <w:fldChar w:fldCharType="end"/>
            </w:r>
          </w:p>
        </w:tc>
      </w:tr>
      <w:tr w:rsidR="00490555" w:rsidRPr="00A73ECA" w14:paraId="56766727" w14:textId="77777777" w:rsidTr="009D2109">
        <w:tc>
          <w:tcPr>
            <w:tcW w:w="1762" w:type="dxa"/>
            <w:tcBorders>
              <w:top w:val="single" w:sz="4" w:space="0" w:color="auto"/>
              <w:left w:val="single" w:sz="4" w:space="0" w:color="auto"/>
              <w:bottom w:val="single" w:sz="4" w:space="0" w:color="auto"/>
              <w:right w:val="single" w:sz="4" w:space="0" w:color="auto"/>
            </w:tcBorders>
          </w:tcPr>
          <w:p w14:paraId="613280F8"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Parental care</w:t>
            </w:r>
          </w:p>
          <w:p w14:paraId="698A898D"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02CBDB44"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No, 2 - Yes</w:t>
            </w:r>
          </w:p>
          <w:p w14:paraId="61A7688A"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6E624FB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Parental investment is known to </w:t>
            </w:r>
            <w:r w:rsidRPr="00A73ECA">
              <w:rPr>
                <w:rFonts w:ascii="Arial" w:hAnsi="Arial" w:cs="Arial"/>
                <w:szCs w:val="24"/>
                <w:lang w:val="en-GB"/>
              </w:rPr>
              <w:lastRenderedPageBreak/>
              <w:t xml:space="preserve">positively influence brain size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(Isler &amp; van Schaik, 2012)</w:t>
            </w:r>
            <w:r w:rsidRPr="00A73ECA">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4C9A4C8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 xml:space="preserve">(Flannery, 2013; Myers </w:t>
            </w:r>
            <w:r w:rsidRPr="00A73ECA">
              <w:rPr>
                <w:rFonts w:ascii="Arial" w:hAnsi="Arial" w:cs="Arial"/>
                <w:noProof/>
                <w:szCs w:val="24"/>
                <w:lang w:val="en-GB"/>
              </w:rPr>
              <w:lastRenderedPageBreak/>
              <w:t>et al., 2006; van Dyck et al., 2013; Weisbecker et al., 2015)</w:t>
            </w:r>
            <w:r w:rsidRPr="00A73ECA">
              <w:rPr>
                <w:rFonts w:ascii="Arial" w:hAnsi="Arial" w:cs="Arial"/>
                <w:szCs w:val="24"/>
                <w:lang w:val="en-GB"/>
              </w:rPr>
              <w:fldChar w:fldCharType="end"/>
            </w:r>
          </w:p>
        </w:tc>
      </w:tr>
      <w:tr w:rsidR="00490555" w:rsidRPr="00A73ECA" w14:paraId="1F482B81" w14:textId="77777777" w:rsidTr="009D2109">
        <w:tc>
          <w:tcPr>
            <w:tcW w:w="1762" w:type="dxa"/>
            <w:tcBorders>
              <w:top w:val="single" w:sz="4" w:space="0" w:color="auto"/>
              <w:left w:val="single" w:sz="4" w:space="0" w:color="auto"/>
              <w:bottom w:val="single" w:sz="4" w:space="0" w:color="auto"/>
              <w:right w:val="single" w:sz="4" w:space="0" w:color="auto"/>
            </w:tcBorders>
          </w:tcPr>
          <w:p w14:paraId="17601F08"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t>Mating system</w:t>
            </w:r>
          </w:p>
          <w:p w14:paraId="5D9343E8" w14:textId="77777777" w:rsidR="00490555" w:rsidRPr="00A73ECA" w:rsidRDefault="00490555" w:rsidP="009D2109">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75A0F87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Promiscuous, 2 - Complex (polygamous/monogamous)</w:t>
            </w:r>
          </w:p>
          <w:p w14:paraId="3B69D21D"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65AE825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Complex mating systems require more cognitive complexity and usually result in higher parental investment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(Schillaci, 2006)</w:t>
            </w:r>
            <w:r w:rsidRPr="00A73ECA">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72CC3633"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(Flannery, 2013; van Dyck et al., 2013; Weisbecker et al., 2015)</w:t>
            </w:r>
            <w:r w:rsidRPr="00A73ECA">
              <w:rPr>
                <w:rFonts w:ascii="Arial" w:hAnsi="Arial" w:cs="Arial"/>
                <w:szCs w:val="24"/>
                <w:lang w:val="en-GB"/>
              </w:rPr>
              <w:fldChar w:fldCharType="end"/>
            </w:r>
          </w:p>
        </w:tc>
      </w:tr>
      <w:tr w:rsidR="00490555" w:rsidRPr="00A73ECA" w14:paraId="5C860F9B"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2EB9B9C6"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2618A677"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Average litter per reproductive episode</w:t>
            </w:r>
          </w:p>
          <w:p w14:paraId="1AB6EC4A"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76938A2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Constraint on maternal investment.</w:t>
            </w:r>
          </w:p>
        </w:tc>
        <w:tc>
          <w:tcPr>
            <w:tcW w:w="1676" w:type="dxa"/>
            <w:tcBorders>
              <w:top w:val="single" w:sz="4" w:space="0" w:color="auto"/>
              <w:left w:val="single" w:sz="4" w:space="0" w:color="auto"/>
              <w:bottom w:val="single" w:sz="4" w:space="0" w:color="auto"/>
              <w:right w:val="single" w:sz="4" w:space="0" w:color="auto"/>
            </w:tcBorders>
            <w:hideMark/>
          </w:tcPr>
          <w:p w14:paraId="1528E280"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(van Dyck et al., 2013; Weisbecker et al., 2015)</w:t>
            </w:r>
            <w:r w:rsidRPr="00A73ECA">
              <w:rPr>
                <w:rFonts w:ascii="Arial" w:hAnsi="Arial" w:cs="Arial"/>
                <w:szCs w:val="24"/>
                <w:lang w:val="en-GB"/>
              </w:rPr>
              <w:fldChar w:fldCharType="end"/>
            </w:r>
          </w:p>
        </w:tc>
      </w:tr>
      <w:tr w:rsidR="00490555" w:rsidRPr="00A73ECA" w14:paraId="41064CF0"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1E11959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23A5558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18CE8C9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Constraint on maternal investment.</w:t>
            </w:r>
          </w:p>
        </w:tc>
        <w:tc>
          <w:tcPr>
            <w:tcW w:w="1676" w:type="dxa"/>
            <w:tcBorders>
              <w:top w:val="single" w:sz="4" w:space="0" w:color="auto"/>
              <w:left w:val="single" w:sz="4" w:space="0" w:color="auto"/>
              <w:bottom w:val="single" w:sz="4" w:space="0" w:color="auto"/>
              <w:right w:val="single" w:sz="4" w:space="0" w:color="auto"/>
            </w:tcBorders>
            <w:hideMark/>
          </w:tcPr>
          <w:p w14:paraId="46F5067A"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(Weisbecker et al., 2015)</w:t>
            </w:r>
            <w:r w:rsidRPr="00A73ECA">
              <w:rPr>
                <w:rFonts w:ascii="Arial" w:hAnsi="Arial" w:cs="Arial"/>
                <w:szCs w:val="24"/>
                <w:lang w:val="en-GB"/>
              </w:rPr>
              <w:fldChar w:fldCharType="end"/>
            </w:r>
          </w:p>
        </w:tc>
      </w:tr>
      <w:tr w:rsidR="00490555" w:rsidRPr="00A73ECA" w14:paraId="6EC309FB"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29C26C2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Home range</w:t>
            </w:r>
          </w:p>
        </w:tc>
        <w:tc>
          <w:tcPr>
            <w:tcW w:w="3134" w:type="dxa"/>
            <w:tcBorders>
              <w:top w:val="single" w:sz="4" w:space="0" w:color="auto"/>
              <w:left w:val="single" w:sz="4" w:space="0" w:color="auto"/>
              <w:bottom w:val="single" w:sz="4" w:space="0" w:color="auto"/>
              <w:right w:val="single" w:sz="4" w:space="0" w:color="auto"/>
            </w:tcBorders>
            <w:hideMark/>
          </w:tcPr>
          <w:p w14:paraId="22BAF8C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79E65BA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Larger home ranges usually imply increased cognitive complexity related to </w:t>
            </w:r>
            <w:r w:rsidRPr="00A73ECA">
              <w:rPr>
                <w:rFonts w:ascii="Arial" w:hAnsi="Arial" w:cs="Arial"/>
                <w:szCs w:val="24"/>
                <w:lang w:val="en-GB"/>
              </w:rPr>
              <w:lastRenderedPageBreak/>
              <w:t xml:space="preserve">orientation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Pr="00A73ECA">
              <w:rPr>
                <w:rFonts w:ascii="Cambria Math" w:hAnsi="Cambria Math" w:cs="Cambria Math"/>
                <w:szCs w:val="24"/>
                <w:lang w:val="en-GB"/>
              </w:rPr>
              <w:instrText>‐</w:instrText>
            </w:r>
            <w:r w:rsidRPr="00A73ECA">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Pr="00A73ECA">
              <w:rPr>
                <w:rFonts w:ascii="Cambria Math" w:hAnsi="Cambria Math" w:cs="Cambria Math"/>
                <w:szCs w:val="24"/>
                <w:lang w:val="en-GB"/>
              </w:rPr>
              <w:instrText>‐</w:instrText>
            </w:r>
            <w:r w:rsidRPr="00A73ECA">
              <w:rPr>
                <w:rFonts w:ascii="Arial" w:hAnsi="Arial" w:cs="Arial"/>
                <w:szCs w:val="24"/>
                <w:lang w:val="en-GB"/>
              </w:rPr>
              <w:instrText>Brock &amp; Harvey, 1980)","plainTextFormattedCitation":"(Clutton</w:instrText>
            </w:r>
            <w:r w:rsidRPr="00A73ECA">
              <w:rPr>
                <w:rFonts w:ascii="Cambria Math" w:hAnsi="Cambria Math" w:cs="Cambria Math"/>
                <w:szCs w:val="24"/>
                <w:lang w:val="en-GB"/>
              </w:rPr>
              <w:instrText>‐</w:instrText>
            </w:r>
            <w:r w:rsidRPr="00A73ECA">
              <w:rPr>
                <w:rFonts w:ascii="Arial" w:hAnsi="Arial" w:cs="Arial"/>
                <w:szCs w:val="24"/>
                <w:lang w:val="en-GB"/>
              </w:rPr>
              <w:instrText>Brock &amp; Harvey, 1980)","previouslyFormattedCitation":"&lt;sup&gt;23&lt;/sup&gt;"},"properties":{"noteIndex":0},"schema":"https://github.com/citation-style-language/schema/raw/master/csl-citation.json"}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(Clutton</w:t>
            </w:r>
            <w:r w:rsidRPr="00A73ECA">
              <w:rPr>
                <w:rFonts w:ascii="Cambria Math" w:hAnsi="Cambria Math" w:cs="Cambria Math"/>
                <w:noProof/>
                <w:szCs w:val="24"/>
                <w:lang w:val="en-GB"/>
              </w:rPr>
              <w:t>‐</w:t>
            </w:r>
            <w:r w:rsidRPr="00A73ECA">
              <w:rPr>
                <w:rFonts w:ascii="Arial" w:hAnsi="Arial" w:cs="Arial"/>
                <w:noProof/>
                <w:szCs w:val="24"/>
                <w:lang w:val="en-GB"/>
              </w:rPr>
              <w:t>Brock &amp; Harvey, 1980)</w:t>
            </w:r>
            <w:r w:rsidRPr="00A73ECA">
              <w:rPr>
                <w:rFonts w:ascii="Arial" w:hAnsi="Arial" w:cs="Arial"/>
                <w:szCs w:val="24"/>
                <w:lang w:val="en-GB"/>
              </w:rPr>
              <w:fldChar w:fldCharType="end"/>
            </w:r>
            <w:r w:rsidRPr="00A73ECA">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1558124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 xml:space="preserve">(Myers et al., 2006; van Dyck et al., 2013; </w:t>
            </w:r>
            <w:r w:rsidRPr="00A73ECA">
              <w:rPr>
                <w:rFonts w:ascii="Arial" w:hAnsi="Arial" w:cs="Arial"/>
                <w:noProof/>
                <w:szCs w:val="24"/>
                <w:lang w:val="en-GB"/>
              </w:rPr>
              <w:lastRenderedPageBreak/>
              <w:t>Weisbecker et al., 2015)</w:t>
            </w:r>
            <w:r w:rsidRPr="00A73ECA">
              <w:rPr>
                <w:rFonts w:ascii="Arial" w:hAnsi="Arial" w:cs="Arial"/>
                <w:szCs w:val="24"/>
                <w:lang w:val="en-GB"/>
              </w:rPr>
              <w:fldChar w:fldCharType="end"/>
            </w:r>
          </w:p>
        </w:tc>
      </w:tr>
      <w:tr w:rsidR="00490555" w:rsidRPr="00A73ECA" w14:paraId="5EA1C3CB"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4B62E59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2C0F5C3A"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6451ECA4"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Increased population density is a proxy of increased interaction and social tolerance.</w:t>
            </w:r>
          </w:p>
        </w:tc>
        <w:tc>
          <w:tcPr>
            <w:tcW w:w="1676" w:type="dxa"/>
            <w:tcBorders>
              <w:top w:val="single" w:sz="4" w:space="0" w:color="auto"/>
              <w:left w:val="single" w:sz="4" w:space="0" w:color="auto"/>
              <w:bottom w:val="single" w:sz="4" w:space="0" w:color="auto"/>
              <w:right w:val="single" w:sz="4" w:space="0" w:color="auto"/>
            </w:tcBorders>
            <w:hideMark/>
          </w:tcPr>
          <w:p w14:paraId="35F04C09"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(van Dyck et al., 2013; (Weisbecker et al., 2015)</w:t>
            </w:r>
            <w:r w:rsidRPr="00A73ECA">
              <w:rPr>
                <w:rFonts w:ascii="Arial" w:hAnsi="Arial" w:cs="Arial"/>
                <w:szCs w:val="24"/>
                <w:lang w:val="en-GB"/>
              </w:rPr>
              <w:fldChar w:fldCharType="end"/>
            </w:r>
          </w:p>
        </w:tc>
      </w:tr>
      <w:tr w:rsidR="00490555" w:rsidRPr="00A73ECA" w14:paraId="56849ED6"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7EE12A5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FMR</w:t>
            </w:r>
          </w:p>
        </w:tc>
        <w:tc>
          <w:tcPr>
            <w:tcW w:w="3134" w:type="dxa"/>
            <w:tcBorders>
              <w:top w:val="single" w:sz="4" w:space="0" w:color="auto"/>
              <w:left w:val="single" w:sz="4" w:space="0" w:color="auto"/>
              <w:bottom w:val="single" w:sz="4" w:space="0" w:color="auto"/>
              <w:right w:val="single" w:sz="4" w:space="0" w:color="auto"/>
            </w:tcBorders>
            <w:hideMark/>
          </w:tcPr>
          <w:p w14:paraId="1F23605F"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2B34D8A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Measure of metabolic turnover in the wild.</w:t>
            </w:r>
          </w:p>
        </w:tc>
        <w:tc>
          <w:tcPr>
            <w:tcW w:w="1676" w:type="dxa"/>
            <w:tcBorders>
              <w:top w:val="single" w:sz="4" w:space="0" w:color="auto"/>
              <w:left w:val="single" w:sz="4" w:space="0" w:color="auto"/>
              <w:bottom w:val="single" w:sz="4" w:space="0" w:color="auto"/>
              <w:right w:val="single" w:sz="4" w:space="0" w:color="auto"/>
            </w:tcBorders>
            <w:hideMark/>
          </w:tcPr>
          <w:p w14:paraId="25695F95"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(Riek &amp; Bruggeman, 2013)</w:t>
            </w:r>
            <w:r w:rsidRPr="00A73ECA">
              <w:rPr>
                <w:rFonts w:ascii="Arial" w:hAnsi="Arial" w:cs="Arial"/>
                <w:szCs w:val="24"/>
                <w:lang w:val="en-GB"/>
              </w:rPr>
              <w:fldChar w:fldCharType="end"/>
            </w:r>
          </w:p>
        </w:tc>
      </w:tr>
      <w:tr w:rsidR="00490555" w:rsidRPr="00A73ECA" w14:paraId="25CC2B16"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38CE4B10"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Torpor</w:t>
            </w:r>
          </w:p>
        </w:tc>
        <w:tc>
          <w:tcPr>
            <w:tcW w:w="3134" w:type="dxa"/>
            <w:tcBorders>
              <w:top w:val="single" w:sz="4" w:space="0" w:color="auto"/>
              <w:left w:val="single" w:sz="4" w:space="0" w:color="auto"/>
              <w:bottom w:val="single" w:sz="4" w:space="0" w:color="auto"/>
              <w:right w:val="single" w:sz="4" w:space="0" w:color="auto"/>
            </w:tcBorders>
          </w:tcPr>
          <w:p w14:paraId="5D227E0D"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0 – No, 1 – Yes</w:t>
            </w:r>
          </w:p>
          <w:p w14:paraId="0F4A9F61" w14:textId="77777777" w:rsidR="00490555" w:rsidRPr="00A73ECA" w:rsidRDefault="00490555" w:rsidP="009D2109">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CD0F9DF" w14:textId="22EE367F" w:rsidR="00490555" w:rsidRPr="00A73ECA" w:rsidRDefault="00490555" w:rsidP="009D2109">
            <w:pPr>
              <w:spacing w:line="480" w:lineRule="auto"/>
              <w:rPr>
                <w:rFonts w:ascii="Arial" w:hAnsi="Arial" w:cs="Arial"/>
                <w:szCs w:val="24"/>
                <w:lang w:val="en-GB"/>
              </w:rPr>
            </w:pPr>
            <w:proofErr w:type="spellStart"/>
            <w:r w:rsidRPr="00A73ECA">
              <w:rPr>
                <w:rFonts w:ascii="Arial" w:hAnsi="Arial" w:cs="Arial"/>
                <w:szCs w:val="24"/>
                <w:lang w:val="en-GB"/>
              </w:rPr>
              <w:t>Torporing</w:t>
            </w:r>
            <w:proofErr w:type="spellEnd"/>
            <w:r w:rsidRPr="00A73ECA">
              <w:rPr>
                <w:rFonts w:ascii="Arial" w:hAnsi="Arial" w:cs="Arial"/>
                <w:szCs w:val="24"/>
                <w:lang w:val="en-GB"/>
              </w:rPr>
              <w:t xml:space="preserve"> has been shown to be costly to the maintenance of large brains </w:t>
            </w:r>
            <w:r w:rsidR="0066030D">
              <w:rPr>
                <w:rFonts w:ascii="Arial" w:hAnsi="Arial" w:cs="Arial"/>
                <w:szCs w:val="24"/>
                <w:lang w:val="en-GB"/>
              </w:rPr>
              <w:fldChar w:fldCharType="begin"/>
            </w:r>
            <w:r w:rsidR="0066030D">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66030D">
              <w:rPr>
                <w:rFonts w:ascii="Arial" w:hAnsi="Arial" w:cs="Arial"/>
                <w:szCs w:val="24"/>
                <w:lang w:val="en-GB"/>
              </w:rPr>
              <w:fldChar w:fldCharType="separate"/>
            </w:r>
            <w:r w:rsidR="0066030D">
              <w:rPr>
                <w:rFonts w:ascii="Arial" w:hAnsi="Arial" w:cs="Arial"/>
                <w:noProof/>
                <w:szCs w:val="24"/>
                <w:lang w:val="en-GB"/>
              </w:rPr>
              <w:t>(Heldstab, Isler, &amp; van Schaik, 2018)</w:t>
            </w:r>
            <w:r w:rsidR="0066030D">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380EAB3E"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Pr="00A73ECA">
              <w:rPr>
                <w:rFonts w:ascii="Cambria Math" w:hAnsi="Cambria Math" w:cs="Cambria Math"/>
                <w:szCs w:val="24"/>
                <w:lang w:val="en-GB"/>
              </w:rPr>
              <w:instrText>∼</w:instrText>
            </w:r>
            <w:r w:rsidRPr="00A73ECA">
              <w:rPr>
                <w:rFonts w:ascii="Arial" w:hAnsi="Arial" w:cs="Arial"/>
                <w:szCs w:val="24"/>
                <w:lang w:val="en-GB"/>
              </w:rPr>
              <w:instrText>35°) than daily heterotherms (</w:instrText>
            </w:r>
            <w:r w:rsidRPr="00A73ECA">
              <w:rPr>
                <w:rFonts w:ascii="Cambria Math" w:hAnsi="Cambria Math" w:cs="Cambria Math"/>
                <w:szCs w:val="24"/>
                <w:lang w:val="en-GB"/>
              </w:rPr>
              <w:instrText>∼</w:instrText>
            </w:r>
            <w:r w:rsidRPr="00A73ECA">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Pr="00A73ECA">
              <w:rPr>
                <w:rFonts w:ascii="Cambria Math" w:hAnsi="Cambria Math" w:cs="Cambria Math"/>
                <w:szCs w:val="24"/>
                <w:lang w:val="en-GB"/>
              </w:rPr>
              <w:instrText>∼</w:instrText>
            </w:r>
            <w:r w:rsidRPr="00A73ECA">
              <w:rPr>
                <w:rFonts w:ascii="Arial" w:hAnsi="Arial" w:cs="Arial"/>
                <w:szCs w:val="24"/>
                <w:lang w:val="en-GB"/>
              </w:rPr>
              <w:instrText xml:space="preserve">13°C, and the mean minimum torpor metabolic rate was </w:instrText>
            </w:r>
            <w:r w:rsidRPr="00A73ECA">
              <w:rPr>
                <w:rFonts w:ascii="Cambria Math" w:hAnsi="Cambria Math" w:cs="Cambria Math"/>
                <w:szCs w:val="24"/>
                <w:lang w:val="en-GB"/>
              </w:rPr>
              <w:instrText>∼</w:instrText>
            </w:r>
            <w:r w:rsidRPr="00A73ECA">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(Geiser &amp; Körtner, 2010; McNab, 2008; Ruf &amp; Geiser, 2015)</w:t>
            </w:r>
            <w:r w:rsidRPr="00A73ECA">
              <w:rPr>
                <w:rFonts w:ascii="Arial" w:hAnsi="Arial" w:cs="Arial"/>
                <w:szCs w:val="24"/>
                <w:lang w:val="en-GB"/>
              </w:rPr>
              <w:fldChar w:fldCharType="end"/>
            </w:r>
          </w:p>
        </w:tc>
      </w:tr>
      <w:tr w:rsidR="00490555" w:rsidRPr="00A73ECA" w14:paraId="21B7F06B" w14:textId="77777777" w:rsidTr="009D2109">
        <w:tc>
          <w:tcPr>
            <w:tcW w:w="1762" w:type="dxa"/>
            <w:tcBorders>
              <w:top w:val="single" w:sz="4" w:space="0" w:color="auto"/>
              <w:left w:val="single" w:sz="4" w:space="0" w:color="auto"/>
              <w:bottom w:val="single" w:sz="4" w:space="0" w:color="auto"/>
              <w:right w:val="single" w:sz="4" w:space="0" w:color="auto"/>
            </w:tcBorders>
            <w:hideMark/>
          </w:tcPr>
          <w:p w14:paraId="249DC25C"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Play</w:t>
            </w:r>
          </w:p>
        </w:tc>
        <w:tc>
          <w:tcPr>
            <w:tcW w:w="3134" w:type="dxa"/>
            <w:tcBorders>
              <w:top w:val="single" w:sz="4" w:space="0" w:color="auto"/>
              <w:left w:val="single" w:sz="4" w:space="0" w:color="auto"/>
              <w:bottom w:val="single" w:sz="4" w:space="0" w:color="auto"/>
              <w:right w:val="single" w:sz="4" w:space="0" w:color="auto"/>
            </w:tcBorders>
            <w:hideMark/>
          </w:tcPr>
          <w:p w14:paraId="53361551"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5CDCB2B8" w14:textId="4D311E99"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t xml:space="preserve">Proxy for cognitive ability. Play has been shown to correlate with larger brains in birds and mammals </w:t>
            </w:r>
            <w:r w:rsidR="0066030D">
              <w:rPr>
                <w:rFonts w:ascii="Arial" w:hAnsi="Arial" w:cs="Arial"/>
                <w:szCs w:val="24"/>
                <w:lang w:val="en-GB"/>
              </w:rPr>
              <w:fldChar w:fldCharType="begin"/>
            </w:r>
            <w:r w:rsidR="0066030D">
              <w:rPr>
                <w:rFonts w:ascii="Arial" w:hAnsi="Arial" w:cs="Arial"/>
                <w:szCs w:val="24"/>
                <w:lang w:val="en-GB"/>
              </w:rPr>
              <w:instrText xml:space="preserve"> ADDIN EN.CITE &lt;EndNote&gt;&lt;Cite&gt;&lt;Author&gt;Iwaniuk&lt;/Author&gt;&lt;Year&gt;2001&lt;/Year&gt;&lt;RecNum&gt;212&lt;/RecNum&gt;&lt;DisplayText&gt;(Iwaniuk, Nelson, &amp;amp; Pellis,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66030D">
              <w:rPr>
                <w:rFonts w:ascii="Arial" w:hAnsi="Arial" w:cs="Arial"/>
                <w:szCs w:val="24"/>
                <w:lang w:val="en-GB"/>
              </w:rPr>
              <w:fldChar w:fldCharType="separate"/>
            </w:r>
            <w:r w:rsidR="0066030D">
              <w:rPr>
                <w:rFonts w:ascii="Arial" w:hAnsi="Arial" w:cs="Arial"/>
                <w:noProof/>
                <w:szCs w:val="24"/>
                <w:lang w:val="en-GB"/>
              </w:rPr>
              <w:t xml:space="preserve">(Iwaniuk, </w:t>
            </w:r>
            <w:r w:rsidR="0066030D">
              <w:rPr>
                <w:rFonts w:ascii="Arial" w:hAnsi="Arial" w:cs="Arial"/>
                <w:noProof/>
                <w:szCs w:val="24"/>
                <w:lang w:val="en-GB"/>
              </w:rPr>
              <w:lastRenderedPageBreak/>
              <w:t>Nelson, &amp; Pellis, 2001)</w:t>
            </w:r>
            <w:r w:rsidR="0066030D">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9C12512" w14:textId="77777777" w:rsidR="00490555" w:rsidRPr="00A73ECA" w:rsidRDefault="00490555" w:rsidP="009D2109">
            <w:pPr>
              <w:spacing w:line="480" w:lineRule="auto"/>
              <w:rPr>
                <w:rFonts w:ascii="Arial" w:hAnsi="Arial" w:cs="Arial"/>
                <w:szCs w:val="24"/>
                <w:lang w:val="en-GB"/>
              </w:rPr>
            </w:pPr>
            <w:r w:rsidRPr="00A73ECA">
              <w:rPr>
                <w:rFonts w:ascii="Arial" w:hAnsi="Arial" w:cs="Arial"/>
                <w:szCs w:val="24"/>
                <w:lang w:val="en-GB"/>
              </w:rPr>
              <w:lastRenderedPageBreak/>
              <w:fldChar w:fldCharType="begin" w:fldLock="1"/>
            </w:r>
            <w:r w:rsidRPr="00A73ECA">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(Ashwell, 2008; Iwaniuk et al., 2001)</w:t>
            </w:r>
            <w:r w:rsidRPr="00A73ECA">
              <w:rPr>
                <w:rFonts w:ascii="Arial" w:hAnsi="Arial" w:cs="Arial"/>
                <w:szCs w:val="24"/>
                <w:lang w:val="en-GB"/>
              </w:rPr>
              <w:fldChar w:fldCharType="end"/>
            </w:r>
          </w:p>
        </w:tc>
      </w:tr>
    </w:tbl>
    <w:p w14:paraId="288EFA49" w14:textId="77777777" w:rsidR="00490555" w:rsidRPr="00A73ECA" w:rsidRDefault="00490555" w:rsidP="00490555">
      <w:pPr>
        <w:spacing w:line="480" w:lineRule="auto"/>
        <w:rPr>
          <w:rFonts w:ascii="Arial" w:hAnsi="Arial" w:cs="Arial"/>
          <w:szCs w:val="24"/>
          <w:lang w:val="en-GB"/>
        </w:rPr>
      </w:pPr>
    </w:p>
    <w:p w14:paraId="10248BF4" w14:textId="77777777" w:rsidR="00490555" w:rsidRPr="00A73ECA" w:rsidRDefault="00490555" w:rsidP="00490555">
      <w:pPr>
        <w:spacing w:line="480" w:lineRule="auto"/>
        <w:rPr>
          <w:rFonts w:ascii="Arial" w:hAnsi="Arial" w:cs="Arial"/>
          <w:szCs w:val="24"/>
          <w:lang w:val="en-GB"/>
        </w:rPr>
      </w:pPr>
      <w:r w:rsidRPr="00A73ECA">
        <w:rPr>
          <w:rFonts w:ascii="Arial" w:hAnsi="Arial" w:cs="Arial"/>
          <w:szCs w:val="24"/>
          <w:lang w:val="en-GB"/>
        </w:rPr>
        <w:t>Dataset</w:t>
      </w:r>
      <w:bookmarkStart w:id="0" w:name="_GoBack"/>
      <w:bookmarkEnd w:id="0"/>
    </w:p>
    <w:p w14:paraId="6519C36A" w14:textId="77777777" w:rsidR="00490555" w:rsidRPr="00A73ECA" w:rsidRDefault="00490555" w:rsidP="00490555">
      <w:pPr>
        <w:spacing w:line="480" w:lineRule="auto"/>
        <w:rPr>
          <w:rFonts w:ascii="Arial" w:hAnsi="Arial" w:cs="Arial"/>
          <w:szCs w:val="24"/>
          <w:lang w:val="en-GB"/>
        </w:rPr>
      </w:pPr>
      <w:r w:rsidRPr="00A73ECA">
        <w:rPr>
          <w:rFonts w:ascii="Arial" w:hAnsi="Arial" w:cs="Arial"/>
          <w:szCs w:val="24"/>
          <w:lang w:val="en-GB"/>
        </w:rPr>
        <w:t>Imputed datasets</w:t>
      </w:r>
    </w:p>
    <w:p w14:paraId="71404957" w14:textId="652109AA" w:rsidR="00440FDF" w:rsidRDefault="00490555" w:rsidP="00490555">
      <w:pPr>
        <w:spacing w:line="480" w:lineRule="auto"/>
        <w:rPr>
          <w:rFonts w:ascii="Arial" w:hAnsi="Arial" w:cs="Arial"/>
          <w:szCs w:val="24"/>
          <w:lang w:val="en-GB"/>
        </w:rPr>
      </w:pPr>
      <w:r w:rsidRPr="00A73ECA">
        <w:rPr>
          <w:rFonts w:ascii="Arial" w:hAnsi="Arial" w:cs="Arial"/>
          <w:szCs w:val="24"/>
          <w:lang w:val="en-GB"/>
        </w:rPr>
        <w:t>R Code</w:t>
      </w:r>
    </w:p>
    <w:p w14:paraId="04830B4B" w14:textId="77777777" w:rsidR="0066030D" w:rsidRDefault="00490555" w:rsidP="00490555">
      <w:pPr>
        <w:spacing w:line="480" w:lineRule="auto"/>
        <w:rPr>
          <w:rFonts w:ascii="Arial" w:hAnsi="Arial" w:cs="Arial"/>
          <w:szCs w:val="24"/>
          <w:lang w:val="en-GB"/>
        </w:rPr>
      </w:pPr>
      <w:r>
        <w:rPr>
          <w:rFonts w:ascii="Arial" w:hAnsi="Arial" w:cs="Arial"/>
          <w:szCs w:val="24"/>
          <w:lang w:val="en-GB"/>
        </w:rPr>
        <w:t>Graphs</w:t>
      </w:r>
    </w:p>
    <w:p w14:paraId="7DCE3146" w14:textId="77777777" w:rsidR="0066030D" w:rsidRDefault="0066030D" w:rsidP="00490555">
      <w:pPr>
        <w:spacing w:line="480" w:lineRule="auto"/>
        <w:rPr>
          <w:rFonts w:ascii="Arial" w:hAnsi="Arial" w:cs="Arial"/>
          <w:szCs w:val="24"/>
          <w:lang w:val="en-GB"/>
        </w:rPr>
      </w:pPr>
    </w:p>
    <w:p w14:paraId="54C28FCC" w14:textId="77777777" w:rsidR="0066030D" w:rsidRPr="0066030D" w:rsidRDefault="0066030D" w:rsidP="0066030D">
      <w:pPr>
        <w:pStyle w:val="EndNoteBibliography"/>
        <w:spacing w:after="0"/>
        <w:ind w:left="720" w:hanging="720"/>
      </w:pPr>
      <w:r>
        <w:rPr>
          <w:rFonts w:ascii="Arial" w:hAnsi="Arial" w:cs="Arial"/>
          <w:szCs w:val="24"/>
          <w:lang w:val="en-GB"/>
        </w:rPr>
        <w:fldChar w:fldCharType="begin"/>
      </w:r>
      <w:r>
        <w:rPr>
          <w:rFonts w:ascii="Arial" w:hAnsi="Arial" w:cs="Arial"/>
          <w:szCs w:val="24"/>
          <w:lang w:val="en-GB"/>
        </w:rPr>
        <w:instrText xml:space="preserve"> ADDIN EN.REFLIST </w:instrText>
      </w:r>
      <w:r>
        <w:rPr>
          <w:rFonts w:ascii="Arial" w:hAnsi="Arial" w:cs="Arial"/>
          <w:szCs w:val="24"/>
          <w:lang w:val="en-GB"/>
        </w:rPr>
        <w:fldChar w:fldCharType="separate"/>
      </w:r>
      <w:r w:rsidRPr="0066030D">
        <w:t xml:space="preserve">Heldstab, S. A., Isler, K., &amp; van Schaik, C. P. (2018). Hibernation constrains brain size evolution in mammals. </w:t>
      </w:r>
      <w:r w:rsidRPr="0066030D">
        <w:rPr>
          <w:i/>
        </w:rPr>
        <w:t>J Evol Biol, 31</w:t>
      </w:r>
      <w:r w:rsidRPr="0066030D">
        <w:t>(10), 1582-1588. doi:10.1111/jeb.13353</w:t>
      </w:r>
    </w:p>
    <w:p w14:paraId="1CB9A4B1" w14:textId="77777777" w:rsidR="0066030D" w:rsidRPr="0066030D" w:rsidRDefault="0066030D" w:rsidP="0066030D">
      <w:pPr>
        <w:pStyle w:val="EndNoteBibliography"/>
        <w:ind w:left="720" w:hanging="720"/>
      </w:pPr>
      <w:r w:rsidRPr="0066030D">
        <w:t xml:space="preserve">Iwaniuk, A. N., Nelson, J. E., &amp; Pellis, S. M. (2001). Do big-brained animals play more? Comparative analyses of play and relative brain size in mammals. </w:t>
      </w:r>
      <w:r w:rsidRPr="0066030D">
        <w:rPr>
          <w:i/>
        </w:rPr>
        <w:t>Journal of Comparative Psychology, 115</w:t>
      </w:r>
      <w:r w:rsidRPr="0066030D">
        <w:t>(1), 29-41. doi:10.1037/0735-7036.115.1.29</w:t>
      </w:r>
    </w:p>
    <w:p w14:paraId="4346D47F" w14:textId="4F7027F4" w:rsidR="0066030D" w:rsidRDefault="0066030D" w:rsidP="00490555">
      <w:pPr>
        <w:spacing w:line="480" w:lineRule="auto"/>
        <w:rPr>
          <w:rFonts w:ascii="Arial" w:hAnsi="Arial" w:cs="Arial"/>
          <w:szCs w:val="24"/>
          <w:lang w:val="en-GB"/>
        </w:rPr>
      </w:pPr>
      <w:r>
        <w:rPr>
          <w:rFonts w:ascii="Arial" w:hAnsi="Arial" w:cs="Arial"/>
          <w:szCs w:val="24"/>
          <w:lang w:val="en-GB"/>
        </w:rPr>
        <w:fldChar w:fldCharType="end"/>
      </w:r>
    </w:p>
    <w:sectPr w:rsidR="0066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hysical Anthro&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45&lt;/item&gt;&lt;item&gt;212&lt;/item&gt;&lt;/record-ids&gt;&lt;/item&gt;&lt;/Libraries&gt;"/>
  </w:docVars>
  <w:rsids>
    <w:rsidRoot w:val="00492589"/>
    <w:rsid w:val="00490555"/>
    <w:rsid w:val="00492589"/>
    <w:rsid w:val="0066030D"/>
    <w:rsid w:val="00C01749"/>
    <w:rsid w:val="00DB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8CFE"/>
  <w15:chartTrackingRefBased/>
  <w15:docId w15:val="{A3F3B417-2CDA-4246-AFFB-8ED87ABF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555"/>
    <w:rPr>
      <w:rFonts w:ascii="Lato" w:hAnsi="Lato"/>
      <w:color w:val="000000" w:themeColor="text1"/>
      <w:sz w:val="24"/>
      <w:lang w:val="en-AU"/>
    </w:rPr>
  </w:style>
  <w:style w:type="paragraph" w:styleId="Heading1">
    <w:name w:val="heading 1"/>
    <w:basedOn w:val="Normal"/>
    <w:next w:val="Normal"/>
    <w:link w:val="Heading1Char"/>
    <w:uiPriority w:val="9"/>
    <w:qFormat/>
    <w:rsid w:val="00490555"/>
    <w:pPr>
      <w:keepNext/>
      <w:keepLines/>
      <w:spacing w:before="240" w:after="0"/>
      <w:outlineLvl w:val="0"/>
    </w:pPr>
    <w:rPr>
      <w:rFonts w:eastAsiaTheme="majorEastAsia"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555"/>
    <w:rPr>
      <w:rFonts w:ascii="Lato" w:eastAsiaTheme="majorEastAsia" w:hAnsi="Lato" w:cstheme="majorBidi"/>
      <w:color w:val="2F5496" w:themeColor="accent1" w:themeShade="BF"/>
      <w:sz w:val="32"/>
      <w:szCs w:val="32"/>
    </w:rPr>
  </w:style>
  <w:style w:type="table" w:styleId="TableGrid">
    <w:name w:val="Table Grid"/>
    <w:basedOn w:val="TableNormal"/>
    <w:uiPriority w:val="39"/>
    <w:rsid w:val="00490555"/>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6030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6030D"/>
    <w:rPr>
      <w:rFonts w:ascii="Lato" w:hAnsi="Lato"/>
      <w:noProof/>
      <w:color w:val="000000" w:themeColor="text1"/>
      <w:sz w:val="24"/>
    </w:rPr>
  </w:style>
  <w:style w:type="paragraph" w:customStyle="1" w:styleId="EndNoteBibliography">
    <w:name w:val="EndNote Bibliography"/>
    <w:basedOn w:val="Normal"/>
    <w:link w:val="EndNoteBibliographyChar"/>
    <w:rsid w:val="0066030D"/>
    <w:pPr>
      <w:spacing w:line="240" w:lineRule="auto"/>
    </w:pPr>
    <w:rPr>
      <w:noProof/>
      <w:lang w:val="en-US"/>
    </w:rPr>
  </w:style>
  <w:style w:type="character" w:customStyle="1" w:styleId="EndNoteBibliographyChar">
    <w:name w:val="EndNote Bibliography Char"/>
    <w:basedOn w:val="DefaultParagraphFont"/>
    <w:link w:val="EndNoteBibliography"/>
    <w:rsid w:val="0066030D"/>
    <w:rPr>
      <w:rFonts w:ascii="Lato" w:hAnsi="Lato"/>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16000</Words>
  <Characters>91204</Characters>
  <Application>Microsoft Office Word</Application>
  <DocSecurity>0</DocSecurity>
  <Lines>760</Lines>
  <Paragraphs>213</Paragraphs>
  <ScaleCrop>false</ScaleCrop>
  <Company/>
  <LinksUpToDate>false</LinksUpToDate>
  <CharactersWithSpaces>106991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3</cp:revision>
  <dcterms:created xsi:type="dcterms:W3CDTF">2020-12-01T00:53:00Z</dcterms:created>
  <dcterms:modified xsi:type="dcterms:W3CDTF">2020-12-01T00:55:00Z</dcterms:modified>
</cp:coreProperties>
</file>