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tabs>
          <w:tab w:val="clear" w:pos="709"/>
          <w:tab w:val="left" w:pos="-15" w:leader="none"/>
        </w:tabs>
        <w:spacing w:before="0" w:after="0"/>
        <w:jc w:val="both"/>
        <w:rPr>
          <w:lang w:val="ru-RU"/>
        </w:rPr>
      </w:pPr>
      <w:r>
        <w:rPr>
          <w:rFonts w:eastAsia="" w:ascii="Times New Roman" w:hAnsi="Times New Roman" w:eastAsiaTheme="minorHAnsi"/>
          <w:b/>
          <w:color w:val="000000"/>
          <w:sz w:val="24"/>
          <w:szCs w:val="24"/>
          <w:lang w:val="ru-RU"/>
        </w:rPr>
        <w:t xml:space="preserve">Задание 1.1. </w:t>
      </w:r>
      <w:r>
        <w:rPr>
          <w:rFonts w:eastAsia="" w:cs="Times New Roman" w:ascii="Times New Roman" w:hAnsi="Times New Roman" w:eastAsiaTheme="minorHAnsi"/>
          <w:b/>
          <w:i/>
          <w:color w:val="000000"/>
          <w:sz w:val="24"/>
          <w:szCs w:val="24"/>
          <w:lang w:val="ru-RU"/>
        </w:rPr>
        <w:t>Изучение и анализ печатных и Internet-источников по методологическим, психологическим, педагогическим, методическим аспектам использования ТЭО.</w:t>
      </w:r>
    </w:p>
    <w:p>
      <w:pPr>
        <w:pStyle w:val="LOnormal"/>
        <w:tabs>
          <w:tab w:val="clear" w:pos="709"/>
          <w:tab w:val="left" w:pos="-15" w:leader="none"/>
        </w:tabs>
        <w:spacing w:before="0" w:after="0"/>
        <w:jc w:val="both"/>
        <w:rPr>
          <w:rFonts w:ascii="Times New Roman" w:hAnsi="Times New Roman" w:eastAsia="" w:cs="Times New Roman" w:eastAsiaTheme="minorHAnsi"/>
          <w:color w:val="000000"/>
          <w:sz w:val="24"/>
          <w:szCs w:val="24"/>
        </w:rPr>
      </w:pPr>
      <w:r>
        <w:rPr>
          <w:rFonts w:eastAsia="" w:cs="Times New Roman" w:eastAsiaTheme="minorHAnsi" w:ascii="Times New Roman" w:hAnsi="Times New Roman"/>
          <w:color w:val="000000"/>
          <w:sz w:val="24"/>
          <w:szCs w:val="24"/>
        </w:rPr>
      </w:r>
    </w:p>
    <w:tbl>
      <w:tblPr>
        <w:tblW w:w="9975" w:type="dxa"/>
        <w:jc w:val="left"/>
        <w:tblInd w:w="0" w:type="dxa"/>
        <w:tblCellMar>
          <w:top w:w="55" w:type="dxa"/>
          <w:left w:w="55" w:type="dxa"/>
          <w:bottom w:w="55" w:type="dxa"/>
          <w:right w:w="55" w:type="dxa"/>
        </w:tblCellMar>
      </w:tblPr>
      <w:tblGrid>
        <w:gridCol w:w="345"/>
        <w:gridCol w:w="2835"/>
        <w:gridCol w:w="6795"/>
      </w:tblGrid>
      <w:tr>
        <w:trPr/>
        <w:tc>
          <w:tcPr>
            <w:tcW w:w="345" w:type="dxa"/>
            <w:tcBorders>
              <w:top w:val="single" w:sz="2" w:space="0" w:color="000000"/>
              <w:left w:val="single" w:sz="2" w:space="0" w:color="000000"/>
            </w:tcBorders>
            <w:shd w:fill="auto" w:val="clear"/>
          </w:tcPr>
          <w:p>
            <w:pPr>
              <w:pStyle w:val="TableContents"/>
              <w:rPr>
                <w:lang w:val="ru-RU"/>
              </w:rPr>
            </w:pPr>
            <w:r>
              <w:rPr>
                <w:lang w:val="ru-RU"/>
              </w:rPr>
              <w:t>№</w:t>
            </w:r>
          </w:p>
        </w:tc>
        <w:tc>
          <w:tcPr>
            <w:tcW w:w="2835" w:type="dxa"/>
            <w:tcBorders>
              <w:top w:val="single" w:sz="2" w:space="0" w:color="000000"/>
              <w:left w:val="single" w:sz="2" w:space="0" w:color="000000"/>
            </w:tcBorders>
            <w:shd w:fill="auto" w:val="clear"/>
          </w:tcPr>
          <w:p>
            <w:pPr>
              <w:pStyle w:val="TableContents"/>
              <w:rPr>
                <w:lang w:val="ru-RU"/>
              </w:rPr>
            </w:pPr>
            <w:r>
              <w:rPr>
                <w:lang w:val="ru-RU"/>
              </w:rPr>
              <w:t>ссылка</w:t>
            </w:r>
          </w:p>
        </w:tc>
        <w:tc>
          <w:tcPr>
            <w:tcW w:w="6795" w:type="dxa"/>
            <w:tcBorders>
              <w:top w:val="single" w:sz="2" w:space="0" w:color="000000"/>
              <w:left w:val="single" w:sz="2" w:space="0" w:color="000000"/>
              <w:right w:val="single" w:sz="2" w:space="0" w:color="000000"/>
            </w:tcBorders>
            <w:shd w:fill="auto" w:val="clear"/>
          </w:tcPr>
          <w:p>
            <w:pPr>
              <w:pStyle w:val="Normal"/>
              <w:rPr>
                <w:lang w:val="ru-RU"/>
              </w:rPr>
            </w:pPr>
            <w:r>
              <w:rPr>
                <w:lang w:val="ru-RU"/>
              </w:rPr>
              <w:t>Описание</w:t>
            </w:r>
          </w:p>
        </w:tc>
      </w:tr>
      <w:tr>
        <w:trPr/>
        <w:tc>
          <w:tcPr>
            <w:tcW w:w="345" w:type="dxa"/>
            <w:tcBorders>
              <w:left w:val="single" w:sz="2" w:space="0" w:color="000000"/>
            </w:tcBorders>
            <w:shd w:fill="auto" w:val="clear"/>
          </w:tcPr>
          <w:p>
            <w:pPr>
              <w:pStyle w:val="TableContents"/>
              <w:rPr>
                <w:lang w:val="ru-RU"/>
              </w:rPr>
            </w:pPr>
            <w:r>
              <w:rPr>
                <w:lang w:val="ru-RU"/>
              </w:rPr>
              <w:t>1.</w:t>
            </w:r>
          </w:p>
        </w:tc>
        <w:tc>
          <w:tcPr>
            <w:tcW w:w="2835" w:type="dxa"/>
            <w:tcBorders>
              <w:left w:val="single" w:sz="2" w:space="0" w:color="000000"/>
            </w:tcBorders>
            <w:shd w:fill="auto" w:val="clear"/>
          </w:tcPr>
          <w:p>
            <w:pPr>
              <w:pStyle w:val="TableContents"/>
              <w:rPr>
                <w:lang w:val="ru-RU"/>
              </w:rPr>
            </w:pPr>
            <w:r>
              <w:rPr>
                <w:lang w:val="ru-RU"/>
              </w:rPr>
              <w:t>http://www.intuit.ru/</w:t>
            </w:r>
          </w:p>
        </w:tc>
        <w:tc>
          <w:tcPr>
            <w:tcW w:w="6795" w:type="dxa"/>
            <w:tcBorders>
              <w:left w:val="single" w:sz="2" w:space="0" w:color="000000"/>
              <w:right w:val="single" w:sz="2" w:space="0" w:color="000000"/>
            </w:tcBorders>
            <w:shd w:fill="auto" w:val="clear"/>
          </w:tcPr>
          <w:p>
            <w:pPr>
              <w:pStyle w:val="Normal"/>
              <w:rPr>
                <w:lang w:val="ru-RU" w:eastAsia="zh-CN" w:bidi="hi-IN"/>
              </w:rPr>
            </w:pPr>
            <w:r>
              <w:rPr>
                <w:lang w:val="ru-RU" w:eastAsia="zh-CN" w:bidi="hi-IN"/>
              </w:rPr>
              <w:t xml:space="preserve">Национальный Открытый Университет «ИНТУИТ» (от интернет-университет информационных технологий) — организация, предоставляющая с помощью собственного сайта услуги дистанционного обучения по нескольким образовательным программам, многие из которых касаются информационных технологий. Сайт содержит несколько сотен открытых образовательных курсов, по прохождении которых можно бесплатно получить электронный сертификат. Также возможно платное получение сертификатов о повышении квалификации. Кроме того, организация действует как издательство, выпуская учебную литературу по курсам. </w:t>
            </w:r>
          </w:p>
        </w:tc>
      </w:tr>
      <w:tr>
        <w:trPr>
          <w:trHeight w:val="1422" w:hRule="atLeast"/>
        </w:trPr>
        <w:tc>
          <w:tcPr>
            <w:tcW w:w="345" w:type="dxa"/>
            <w:tcBorders>
              <w:left w:val="single" w:sz="2" w:space="0" w:color="000000"/>
            </w:tcBorders>
            <w:shd w:fill="auto" w:val="clear"/>
          </w:tcPr>
          <w:p>
            <w:pPr>
              <w:pStyle w:val="TableContents"/>
              <w:rPr>
                <w:lang w:val="ru-RU"/>
              </w:rPr>
            </w:pPr>
            <w:r>
              <w:rPr>
                <w:lang w:val="ru-RU"/>
              </w:rPr>
              <w:t>2.</w:t>
            </w:r>
          </w:p>
        </w:tc>
        <w:tc>
          <w:tcPr>
            <w:tcW w:w="2835" w:type="dxa"/>
            <w:tcBorders>
              <w:left w:val="single" w:sz="2" w:space="0" w:color="000000"/>
            </w:tcBorders>
            <w:shd w:fill="auto" w:val="clear"/>
          </w:tcPr>
          <w:p>
            <w:pPr>
              <w:pStyle w:val="TableContents"/>
              <w:rPr>
                <w:lang w:val="ru-RU"/>
              </w:rPr>
            </w:pPr>
            <w:r>
              <w:rPr>
                <w:lang w:val="ru-RU"/>
              </w:rPr>
              <w:t>https://ru.coursera.org/</w:t>
            </w:r>
          </w:p>
        </w:tc>
        <w:tc>
          <w:tcPr>
            <w:tcW w:w="6795" w:type="dxa"/>
            <w:tcBorders>
              <w:left w:val="single" w:sz="2" w:space="0" w:color="000000"/>
              <w:right w:val="single" w:sz="2" w:space="0" w:color="000000"/>
            </w:tcBorders>
            <w:shd w:fill="auto" w:val="clear"/>
          </w:tcPr>
          <w:p>
            <w:pPr>
              <w:pStyle w:val="Normal"/>
              <w:rPr>
                <w:lang w:val="ru-RU" w:eastAsia="zh-CN" w:bidi="hi-IN"/>
              </w:rPr>
            </w:pPr>
            <w:r>
              <w:rPr>
                <w:lang w:val="ru-RU" w:eastAsia="zh-CN" w:bidi="hi-IN"/>
              </w:rPr>
              <w:t xml:space="preserve">Coursera — проект в сфере массового онлайн-образования, основанный профессорами информатики Стэнфордского университета Эндрю Ыном и Дафной Коллер. В его рамках существует проект по публикации образовательных материалов в интернете в виде набора онлайн-курсов. </w:t>
            </w:r>
          </w:p>
        </w:tc>
      </w:tr>
      <w:tr>
        <w:trPr/>
        <w:tc>
          <w:tcPr>
            <w:tcW w:w="345" w:type="dxa"/>
            <w:tcBorders>
              <w:left w:val="single" w:sz="2" w:space="0" w:color="000000"/>
            </w:tcBorders>
            <w:shd w:fill="auto" w:val="clear"/>
          </w:tcPr>
          <w:p>
            <w:pPr>
              <w:pStyle w:val="TableContents"/>
              <w:rPr>
                <w:lang w:val="ru-RU"/>
              </w:rPr>
            </w:pPr>
            <w:r>
              <w:rPr>
                <w:lang w:val="ru-RU"/>
              </w:rPr>
              <w:t>3.</w:t>
            </w:r>
          </w:p>
        </w:tc>
        <w:tc>
          <w:tcPr>
            <w:tcW w:w="2835" w:type="dxa"/>
            <w:tcBorders>
              <w:left w:val="single" w:sz="2" w:space="0" w:color="000000"/>
            </w:tcBorders>
            <w:shd w:fill="auto" w:val="clear"/>
          </w:tcPr>
          <w:p>
            <w:pPr>
              <w:pStyle w:val="TableContents"/>
              <w:rPr>
                <w:lang w:val="ru-RU"/>
              </w:rPr>
            </w:pPr>
            <w:r>
              <w:rPr>
                <w:lang w:val="ru-RU"/>
              </w:rPr>
              <w:t>https://www.lektorium.tv/</w:t>
            </w:r>
          </w:p>
        </w:tc>
        <w:tc>
          <w:tcPr>
            <w:tcW w:w="6795" w:type="dxa"/>
            <w:tcBorders>
              <w:left w:val="single" w:sz="2" w:space="0" w:color="000000"/>
              <w:right w:val="single" w:sz="2" w:space="0" w:color="000000"/>
            </w:tcBorders>
            <w:shd w:fill="auto" w:val="clear"/>
          </w:tcPr>
          <w:p>
            <w:pPr>
              <w:pStyle w:val="Normal"/>
              <w:rPr>
                <w:lang w:val="ru-RU" w:eastAsia="zh-CN" w:bidi="hi-IN"/>
              </w:rPr>
            </w:pPr>
            <w:r>
              <w:rPr>
                <w:lang w:val="ru-RU" w:eastAsia="zh-CN" w:bidi="hi-IN"/>
              </w:rPr>
              <w:t xml:space="preserve">Лекториум — санкт-петербургский некоммерческий проект, занимающийся созданием учебных материалов в формате открытых онлайн-курсов, а также съёмкой и размещением видеолекций. Создателем проекта является Яков Сомов. Основная деятельность проекта проходит в Санкт-Петербурге и Москве. </w:t>
            </w:r>
          </w:p>
        </w:tc>
      </w:tr>
      <w:tr>
        <w:trPr/>
        <w:tc>
          <w:tcPr>
            <w:tcW w:w="345" w:type="dxa"/>
            <w:tcBorders>
              <w:left w:val="single" w:sz="2" w:space="0" w:color="000000"/>
              <w:bottom w:val="single" w:sz="2" w:space="0" w:color="000000"/>
            </w:tcBorders>
            <w:shd w:fill="auto" w:val="clear"/>
          </w:tcPr>
          <w:p>
            <w:pPr>
              <w:pStyle w:val="TableContents"/>
              <w:rPr>
                <w:lang w:val="ru-RU"/>
              </w:rPr>
            </w:pPr>
            <w:r>
              <w:rPr>
                <w:lang w:val="ru-RU"/>
              </w:rPr>
              <w:t>4.</w:t>
            </w:r>
          </w:p>
        </w:tc>
        <w:tc>
          <w:tcPr>
            <w:tcW w:w="2835" w:type="dxa"/>
            <w:tcBorders>
              <w:left w:val="single" w:sz="2" w:space="0" w:color="000000"/>
              <w:bottom w:val="single" w:sz="2" w:space="0" w:color="000000"/>
            </w:tcBorders>
            <w:shd w:fill="auto" w:val="clear"/>
          </w:tcPr>
          <w:p>
            <w:pPr>
              <w:pStyle w:val="TableContents"/>
              <w:rPr>
                <w:lang w:val="ru-RU"/>
              </w:rPr>
            </w:pPr>
            <w:r>
              <w:rPr>
                <w:lang w:val="ru-RU"/>
              </w:rPr>
              <w:t>https://stepik.org/</w:t>
            </w:r>
          </w:p>
        </w:tc>
        <w:tc>
          <w:tcPr>
            <w:tcW w:w="6795" w:type="dxa"/>
            <w:tcBorders>
              <w:left w:val="single" w:sz="2" w:space="0" w:color="000000"/>
              <w:bottom w:val="single" w:sz="2" w:space="0" w:color="000000"/>
              <w:right w:val="single" w:sz="2" w:space="0" w:color="000000"/>
            </w:tcBorders>
            <w:shd w:fill="auto" w:val="clear"/>
          </w:tcPr>
          <w:p>
            <w:pPr>
              <w:pStyle w:val="Normal"/>
              <w:rPr>
                <w:lang w:val="ru-RU" w:eastAsia="zh-CN" w:bidi="hi-IN"/>
              </w:rPr>
            </w:pPr>
            <w:r>
              <w:rPr>
                <w:lang w:val="ru-RU" w:eastAsia="zh-CN" w:bidi="hi-IN"/>
              </w:rPr>
              <w:t xml:space="preserve">Stepik (Стэпик, до августа 2016 года — Stepic) — российская образовательная платформа и конструктор бесплатных открытых онлайн-курсов и уроков. </w:t>
            </w:r>
          </w:p>
          <w:p>
            <w:pPr>
              <w:pStyle w:val="Normal"/>
              <w:rPr>
                <w:lang w:val="ru-RU" w:eastAsia="zh-CN" w:bidi="hi-IN"/>
              </w:rPr>
            </w:pPr>
            <w:r>
              <w:rPr>
                <w:lang w:val="ru-RU" w:eastAsia="zh-CN" w:bidi="hi-IN"/>
              </w:rPr>
              <w:t xml:space="preserve">Позволяет любому зарегистрированному пользователю создавать интерактивные обучающие уроки и онлайн-курсы, используя видео, тексты и разнообразные задачи с автоматической проверкой и моментальной обратной связью. В процессе обучения студенты могут вести обсуждения между собой и задавать вопросы преподавателю на форуме. Основные охватываемые курсами дисциплины — программирование, математика, биоинформатика и биология, экономика; основной язык курсов — русский, есть курсы на английском языке. По состоянию на июль 2018 года на платформе зарегистрирован 1 миллион пользователей, из которых 77 % из России, 9 % — Украины, 3 % — Республики Беларусь, 2 % — США, 1 % — Казахстана. Целевые аудитории — школьники (в основном курсы по подготовке к ЕГЭ), студенты, начинающие специалисты. </w:t>
            </w:r>
          </w:p>
        </w:tc>
      </w:tr>
    </w:tbl>
    <w:p>
      <w:pPr>
        <w:pStyle w:val="TextBody"/>
        <w:spacing w:before="0" w:after="140"/>
        <w:rPr/>
      </w:pPr>
      <w:r>
        <w:rPr/>
      </w:r>
    </w:p>
    <w:p>
      <w:pPr>
        <w:pStyle w:val="TextBody"/>
        <w:rPr/>
      </w:pPr>
      <w:r>
        <w:rPr/>
        <w:t>Электронный формат корпоративного обучения в компаниях сегодня не является собственным ноу-хау или предметом роскоши. Параллельно созданию интернет-технологий и запуску огромного количества образовательных порталов система e-learning стремительно растет и существует в современном мире среднего и крупного бизнеса.</w:t>
      </w:r>
    </w:p>
    <w:p>
      <w:pPr>
        <w:pStyle w:val="TextBody"/>
        <w:rPr/>
      </w:pPr>
      <w:r>
        <w:rPr/>
        <w:t>В отличие от традиционной формы обучения, система e-learning имеет массу преимуществ:</w:t>
      </w:r>
    </w:p>
    <w:p>
      <w:pPr>
        <w:pStyle w:val="TextBody"/>
        <w:numPr>
          <w:ilvl w:val="0"/>
          <w:numId w:val="2"/>
        </w:numPr>
        <w:tabs>
          <w:tab w:val="clear" w:pos="709"/>
          <w:tab w:val="left" w:pos="0" w:leader="none"/>
        </w:tabs>
        <w:ind w:left="707" w:hanging="283"/>
        <w:rPr/>
      </w:pPr>
      <w:r>
        <w:rPr/>
        <w:t xml:space="preserve">Повышение квалификации, предоставление ценных, узкоспециализированных знаний происходит без отрыва сотрудников от основного рабочего места </w:t>
      </w:r>
    </w:p>
    <w:p>
      <w:pPr>
        <w:pStyle w:val="TextBody"/>
        <w:numPr>
          <w:ilvl w:val="0"/>
          <w:numId w:val="2"/>
        </w:numPr>
        <w:tabs>
          <w:tab w:val="clear" w:pos="709"/>
          <w:tab w:val="left" w:pos="0" w:leader="none"/>
        </w:tabs>
        <w:ind w:left="707" w:hanging="283"/>
        <w:rPr/>
      </w:pPr>
      <w:r>
        <w:rPr/>
        <w:t xml:space="preserve">Выбор подходящей системы обучения позволяет компании оптимизировать финансовые затраты на образование персонала </w:t>
      </w:r>
    </w:p>
    <w:p>
      <w:pPr>
        <w:pStyle w:val="TextBody"/>
        <w:numPr>
          <w:ilvl w:val="0"/>
          <w:numId w:val="2"/>
        </w:numPr>
        <w:tabs>
          <w:tab w:val="clear" w:pos="709"/>
          <w:tab w:val="left" w:pos="0" w:leader="none"/>
        </w:tabs>
        <w:ind w:left="707" w:hanging="283"/>
        <w:rPr/>
      </w:pPr>
      <w:r>
        <w:rPr/>
        <w:t xml:space="preserve">Е-learning охватывает огромные сферы и направления бизнеса (торговля, финансы, менеджмент и другие) </w:t>
      </w:r>
    </w:p>
    <w:p>
      <w:pPr>
        <w:pStyle w:val="TextBody"/>
        <w:numPr>
          <w:ilvl w:val="0"/>
          <w:numId w:val="2"/>
        </w:numPr>
        <w:tabs>
          <w:tab w:val="clear" w:pos="709"/>
          <w:tab w:val="left" w:pos="0" w:leader="none"/>
        </w:tabs>
        <w:ind w:left="707" w:hanging="283"/>
        <w:rPr/>
      </w:pPr>
      <w:r>
        <w:rPr/>
        <w:t xml:space="preserve">Электронное образование дает возможность индивидуальных занятий, самостоятельного изучения материала в необходимом объеме </w:t>
      </w:r>
    </w:p>
    <w:p>
      <w:pPr>
        <w:pStyle w:val="TextBody"/>
        <w:numPr>
          <w:ilvl w:val="0"/>
          <w:numId w:val="2"/>
        </w:numPr>
        <w:tabs>
          <w:tab w:val="clear" w:pos="709"/>
          <w:tab w:val="left" w:pos="0" w:leader="none"/>
        </w:tabs>
        <w:ind w:left="707" w:hanging="283"/>
        <w:rPr/>
      </w:pPr>
      <w:r>
        <w:rPr/>
        <w:t xml:space="preserve">В процессе обучения участники могут консультироваться с бизнес-тренерами в режиме онлайн </w:t>
      </w:r>
    </w:p>
    <w:p>
      <w:pPr>
        <w:pStyle w:val="TextBody"/>
        <w:numPr>
          <w:ilvl w:val="0"/>
          <w:numId w:val="2"/>
        </w:numPr>
        <w:tabs>
          <w:tab w:val="clear" w:pos="709"/>
          <w:tab w:val="left" w:pos="0" w:leader="none"/>
        </w:tabs>
        <w:ind w:left="707" w:hanging="283"/>
        <w:rPr/>
      </w:pPr>
      <w:r>
        <w:rPr/>
        <w:t xml:space="preserve">Учебные программы содержат комплексы упражнений и практических заданий с привлечением мультимедийных решений, что делает процесс обучения интересным, повышает его понимание, усвоение и запоминание </w:t>
      </w:r>
    </w:p>
    <w:p>
      <w:pPr>
        <w:pStyle w:val="TextBody"/>
        <w:rPr/>
      </w:pPr>
      <w:r>
        <w:rPr/>
        <w:t>Многие российские компании успешно применяют систему e-learning. Например, крупные промышленные корпорации «Сибнефть», «Норильский никель», Сбербанк России, МПС, «Северсталь», сетевая компания «Сибирское здоровье», центр медицинских услуг «ИНВИТРО» и многие другие.</w:t>
        <w:br/>
        <w:t>Например, в Сбербанке была внедрена мощная программа корпоративного обучения для конкретных должностных лиц «Вводный курс по банковским продуктам». Курс содержит индивидуальные обучающие материалы, а также мощную платформу для получения знаний – инструменты, доступные сотрудникам в режиме онлайн.</w:t>
        <w:br/>
        <w:t xml:space="preserve">В проекте сконцентрированы все наработки системы e-learning за период использования дистанционных технологий в компании. Программа является одной их самых результативных и масштабных систем корпоративного обучения на территории РФ (по версии Центра Разработки Мультимедийных Материалов (ЦРММ)). </w:t>
      </w:r>
    </w:p>
    <w:p>
      <w:pPr>
        <w:pStyle w:val="TextBody"/>
        <w:spacing w:lineRule="auto" w:line="276" w:before="0" w:after="140"/>
        <w:rPr/>
      </w:pPr>
      <w:r>
        <w:rPr/>
      </w:r>
    </w:p>
    <w:sectPr>
      <w:headerReference w:type="default" r:id="rId2"/>
      <w:type w:val="nextPage"/>
      <w:pgSz w:w="12240" w:h="15840"/>
      <w:pgMar w:left="1134" w:right="1134" w:header="1134" w:top="3073" w:footer="72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Times New Roman">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b w:val="false"/>
        <w:b w:val="false"/>
        <w:bCs w:val="false"/>
        <w:lang w:val="ru-RU" w:eastAsia="zh-CN" w:bidi="hi-IN"/>
      </w:rPr>
    </w:pPr>
    <w:r>
      <w:rPr>
        <w:b w:val="false"/>
        <w:bCs w:val="false"/>
        <w:lang w:val="ru-RU" w:eastAsia="zh-CN" w:bidi="hi-IN"/>
      </w:rPr>
      <w:t>Научно-исследовательская работа</w:t>
    </w:r>
  </w:p>
  <w:p>
    <w:pPr>
      <w:pStyle w:val="Normal"/>
      <w:jc w:val="right"/>
      <w:rPr>
        <w:b w:val="false"/>
        <w:b w:val="false"/>
        <w:bCs w:val="false"/>
        <w:lang w:val="ru-RU" w:eastAsia="zh-CN" w:bidi="hi-IN"/>
      </w:rPr>
    </w:pPr>
    <w:r>
      <w:rPr>
        <w:b w:val="false"/>
        <w:bCs w:val="false"/>
        <w:lang w:val="ru-RU" w:eastAsia="zh-CN" w:bidi="hi-IN"/>
      </w:rPr>
      <w:t>Выполнена магистром 1 курса</w:t>
    </w:r>
  </w:p>
  <w:p>
    <w:pPr>
      <w:pStyle w:val="Normal"/>
      <w:jc w:val="right"/>
      <w:rPr>
        <w:b w:val="false"/>
        <w:b w:val="false"/>
        <w:bCs w:val="false"/>
        <w:lang w:val="ru-RU" w:eastAsia="zh-CN" w:bidi="hi-IN"/>
      </w:rPr>
    </w:pPr>
    <w:r>
      <w:rPr>
        <w:b w:val="false"/>
        <w:bCs w:val="false"/>
        <w:lang w:val="ru-RU" w:eastAsia="zh-CN" w:bidi="hi-IN"/>
      </w:rPr>
      <w:t>Педагогического направления</w:t>
    </w:r>
  </w:p>
  <w:p>
    <w:pPr>
      <w:pStyle w:val="Normal"/>
      <w:jc w:val="right"/>
      <w:rPr>
        <w:b w:val="false"/>
        <w:b w:val="false"/>
        <w:bCs w:val="false"/>
        <w:lang w:val="ru-RU" w:eastAsia="zh-CN" w:bidi="hi-IN"/>
      </w:rPr>
    </w:pPr>
    <w:r>
      <w:rPr>
        <w:b w:val="false"/>
        <w:bCs w:val="false"/>
        <w:lang w:val="ru-RU" w:eastAsia="zh-CN" w:bidi="hi-IN"/>
      </w:rPr>
      <w:t>Профиль «Корпоративное электронное обучение»</w:t>
    </w:r>
  </w:p>
  <w:p>
    <w:pPr>
      <w:pStyle w:val="Normal"/>
      <w:jc w:val="right"/>
      <w:rPr>
        <w:b w:val="false"/>
        <w:b w:val="false"/>
        <w:bCs w:val="false"/>
        <w:lang w:val="ru-RU" w:eastAsia="zh-CN" w:bidi="hi-IN"/>
      </w:rPr>
    </w:pPr>
    <w:r>
      <w:rPr>
        <w:b w:val="false"/>
        <w:bCs w:val="false"/>
        <w:lang w:val="ru-RU" w:eastAsia="zh-CN" w:bidi="hi-IN"/>
      </w:rPr>
      <w:t>Орловым Валентином Сергеевичем</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DejaVu Sans" w:cs="DejaVu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DejaVu Sans" w:cs="DejaVu Sans"/>
      <w:b/>
      <w:bCs/>
      <w:sz w:val="48"/>
      <w:szCs w:val="4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lang w:val="ru-RU" w:eastAsia="zh-CN" w:bidi="hi-IN"/>
    </w:rPr>
  </w:style>
  <w:style w:type="character" w:styleId="ListLabel2">
    <w:name w:val="ListLabel 2"/>
    <w:qFormat/>
    <w:rPr>
      <w:lang w:val="ru-RU" w:eastAsia="zh-CN" w:bidi="hi-IN"/>
    </w:rPr>
  </w:style>
  <w:style w:type="character" w:styleId="StrongEmphasis">
    <w:name w:val="Strong Emphasis"/>
    <w:qFormat/>
    <w:rPr>
      <w:b/>
      <w:bCs/>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suppressLineNumbers/>
      <w:tabs>
        <w:tab w:val="clear" w:pos="709"/>
        <w:tab w:val="center" w:pos="4986" w:leader="none"/>
        <w:tab w:val="right" w:pos="9972" w:leader="none"/>
      </w:tabs>
    </w:pPr>
    <w:rPr/>
  </w:style>
  <w:style w:type="paragraph" w:styleId="TableContents">
    <w:name w:val="Table Contents"/>
    <w:basedOn w:val="Normal"/>
    <w:qFormat/>
    <w:pPr>
      <w:suppressLineNumbers/>
    </w:pPr>
    <w:rPr/>
  </w:style>
  <w:style w:type="paragraph" w:styleId="1">
    <w:name w:val="Обычный1"/>
    <w:qFormat/>
    <w:pPr>
      <w:widowControl/>
      <w:bidi w:val="0"/>
      <w:spacing w:lineRule="auto" w:line="276" w:before="0" w:after="200"/>
      <w:jc w:val="left"/>
    </w:pPr>
    <w:rPr>
      <w:rFonts w:ascii="Calibri" w:hAnsi="Calibri" w:eastAsia="Calibri" w:cs="Calibri"/>
      <w:color w:val="auto"/>
      <w:kern w:val="2"/>
      <w:sz w:val="20"/>
      <w:szCs w:val="24"/>
      <w:lang w:val="en-US" w:eastAsia="ru-RU" w:bidi="hi-IN"/>
    </w:rPr>
  </w:style>
  <w:style w:type="paragraph" w:styleId="LOnormal">
    <w:name w:val="LO-normal"/>
    <w:qFormat/>
    <w:pPr>
      <w:widowControl/>
      <w:bidi w:val="0"/>
      <w:spacing w:lineRule="auto" w:line="276" w:before="0" w:after="200"/>
      <w:jc w:val="left"/>
    </w:pPr>
    <w:rPr>
      <w:rFonts w:ascii="Calibri" w:hAnsi="Calibri" w:eastAsia="Calibri" w:cs="Calibri"/>
      <w:color w:val="auto"/>
      <w:kern w:val="2"/>
      <w:sz w:val="20"/>
      <w:szCs w:val="24"/>
      <w:lang w:val="en-US" w:eastAsia="ru-RU" w:bidi="hi-IN"/>
    </w:rPr>
  </w:style>
  <w:style w:type="paragraph" w:styleId="NormalWeb">
    <w:name w:val="Normal (Web)"/>
    <w:basedOn w:val="Normal"/>
    <w:qFormat/>
    <w:pPr>
      <w:spacing w:lineRule="auto" w:line="240" w:beforeAutospacing="1" w:afterAutospacing="1"/>
    </w:pPr>
    <w:rPr>
      <w:rFonts w:ascii="Times New Roman" w:hAnsi="Times New Roman" w:eastAsia="Times New Roman"/>
      <w:sz w:val="24"/>
      <w:szCs w:val="24"/>
      <w:lang w:eastAsia="ru-RU"/>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TotalTime>
  <Application>LibreOffice/6.2.0.3$Linux_X86_64 LibreOffice_project/20$Build-3</Application>
  <Pages>3</Pages>
  <Words>520</Words>
  <Characters>3990</Characters>
  <CharactersWithSpaces>4498</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2019-02-23T04:51:14Z</dcterms:created>
  <dc:creator/>
  <dc:description/>
  <dc:language>en-US</dc:language>
  <cp:lastModifiedBy/>
  <dcterms:modified xsi:type="dcterms:W3CDTF">2019-02-25T03:04:15Z</dcterms:modified>
  <cp:revision>17</cp:revision>
  <dc:subject/>
  <dc:title/>
</cp:coreProperties>
</file>