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pPr>
      <w:r>
        <w:rPr>
          <w:rFonts w:ascii="Arial" w:cs="Arial" w:eastAsia="Arial" w:hAnsi="Arial"/>
          <w:color w:val="707070"/>
          <w:sz w:val="22"/>
          <w:szCs w:val="22"/>
        </w:rPr>
        <w:t xml:space="preserve">CHAPITRE 5</w:t>
      </w:r>
    </w:p>
    <w:p>
      <w:pPr>
        <w:pStyle w:val="Heading1"/>
        <w:pBdr>
          <w:bottom w:val="single" w:color="C0522A" w:sz="6" w:space="8"/>
        </w:pBdr>
        <w:spacing w:after="320" w:before="0"/>
      </w:pPr>
      <w:r>
        <w:rPr>
          <w:rFonts w:ascii="Arial" w:cs="Arial" w:eastAsia="Arial" w:hAnsi="Arial"/>
          <w:b/>
          <w:bCs/>
          <w:color w:val="C0522A"/>
          <w:sz w:val="34"/>
          <w:szCs w:val="34"/>
        </w:rPr>
        <w:t xml:space="preserve">Modélisation Bloc 1 — Scan de vulnérabilités</w:t>
      </w:r>
    </w:p>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Avant d'écrire une seule ligne de code pour le scanner, il faut modéliser précisément ce qu'il doit faire, dans quel ordre, et avec quels artefacts en entrée et en sortie. Ce chapitre pose cette modélisation pour le Bloc 1, sous la responsabilité de l'équipe Cybersécurité.</w:t>
      </w:r>
    </w:p>
    <w:p>
      <w:pPr>
        <w:pStyle w:val="Heading2"/>
        <w:spacing w:after="160" w:before="440"/>
      </w:pPr>
      <w:r>
        <w:rPr>
          <w:rFonts w:ascii="Arial" w:cs="Arial" w:eastAsia="Arial" w:hAnsi="Arial"/>
          <w:b/>
          <w:bCs/>
          <w:color w:val="C0522A"/>
          <w:sz w:val="27"/>
          <w:szCs w:val="27"/>
        </w:rPr>
        <w:t xml:space="preserve">5.1  Workflow du scan automatique OWASP ZAP</w:t>
      </w:r>
    </w:p>
    <w:p>
      <w:pPr>
        <w:spacing w:after="200" w:before="0" w:line="360"/>
        <w:ind w:firstLine="720"/>
        <w:jc w:val="both"/>
      </w:pPr>
      <w:r>
        <w:rPr>
          <w:rFonts w:ascii="Times New Roman" w:cs="Times New Roman" w:eastAsia="Times New Roman" w:hAnsi="Times New Roman"/>
          <w:color w:val="1A1A1A"/>
          <w:sz w:val="24"/>
          <w:szCs w:val="24"/>
        </w:rPr>
        <w:t xml:space="preserve">Le scan se déroule en quatre étapes distinctes et séquentielles. Aucune ne peut commencer avant que la précédente soit terminée — c'est une contrainte technique imposée par le fonctionnement d'OWASP ZAP lui-même.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Initialisation : démarrage du daemon ZAP en arrière-plan via l'API Python, configuration du proxy, définition de la cible.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Spider passif : exploration automatique de toutes les pages et formulaires accessibles sans authentification. ZAP construit une carte du site cible.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Scan actif : injection de payloads de test sur chaque endpoint découvert. C'est là que les vulnérabilités sont réellement détectées — XSS, SQLi, CSRF, IDOR et autres.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Collecte et export : récupération de la liste des alertes via l'API, normalisation en JSON structuré, enrichissement CVE/NVD.</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1B3A6B" w:val="clear"/>
            <w:tcMar>
              <w:top w:type="dxa" w:w="80"/>
              <w:left w:type="dxa" w:w="200"/>
              <w:bottom w:type="dxa" w:w="80"/>
              <w:right w:type="dxa" w:w="200"/>
            </w:tcMar>
          </w:tcPr>
          <w:p>
            <w:pPr>
              <w:jc w:val="center"/>
            </w:pPr>
            <w:r>
              <w:rPr>
                <w:rFonts w:ascii="Arial" w:cs="Arial" w:eastAsia="Arial" w:hAnsi="Arial"/>
                <w:b/>
                <w:bCs/>
                <w:color w:val="FFFFFF"/>
                <w:sz w:val="21"/>
                <w:szCs w:val="21"/>
              </w:rPr>
              <w:t xml:space="preserve">Figure 5.1 — Workflow du scan automatique OWASP ZAP (flowchart complet)</w:t>
            </w:r>
          </w:p>
        </w:tc>
      </w:tr>
      <w:tr>
        <w:trPr>
          <w:trHeight w:val="45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160"/>
              <w:jc w:val="center"/>
            </w:pPr>
            <w:r>
              <w:rPr>
                <w:rFonts w:ascii="Arial" w:cs="Arial" w:eastAsia="Arial" w:hAnsi="Arial"/>
                <w:b/>
                <w:bCs/>
                <w:color w:val="AAAAAA"/>
                <w:sz w:val="24"/>
                <w:szCs w:val="24"/>
              </w:rPr>
              <w:t xml:space="preserve">[ DIAGRAMME À INSÉRER ICI ]</w:t>
            </w:r>
          </w:p>
          <w:p>
            <w:pPr>
              <w:spacing w:after="80" w:before="0"/>
              <w:jc w:val="center"/>
            </w:pPr>
            <w:r>
              <w:rPr>
                <w:rFonts w:ascii="Courier New" w:cs="Courier New" w:eastAsia="Courier New" w:hAnsi="Courier New"/>
                <w:b/>
                <w:bCs/>
                <w:color w:val="1B3A6B"/>
                <w:sz w:val="20"/>
                <w:szCs w:val="20"/>
              </w:rPr>
              <w:t xml:space="preserve">Fichier :  bloc1_workflow_zap.drawio</w:t>
            </w:r>
          </w:p>
          <w:p>
            <w:pPr>
              <w:spacing w:after="0" w:before="0"/>
              <w:jc w:val="center"/>
            </w:pPr>
            <w:r>
              <w:rPr>
                <w:rFonts w:ascii="Arial" w:cs="Arial" w:eastAsia="Arial" w:hAnsi="Arial"/>
                <w:i/>
                <w:iCs/>
                <w:color w:val="888888"/>
                <w:sz w:val="18"/>
                <w:szCs w:val="18"/>
              </w:rPr>
              <w:t xml:space="preserve">app.diagrams.net → Exporter PNG 300dpi → Insertion → Image</w:t>
            </w:r>
          </w:p>
        </w:tc>
      </w:tr>
    </w:tbl>
    <w:p>
      <w:pPr>
        <w:spacing w:after="280" w:before="80"/>
        <w:jc w:val="center"/>
      </w:pPr>
      <w:r>
        <w:rPr>
          <w:rFonts w:ascii="Arial" w:cs="Arial" w:eastAsia="Arial" w:hAnsi="Arial"/>
          <w:b/>
          <w:bCs/>
          <w:color w:val="4A4A4A"/>
          <w:sz w:val="20"/>
          <w:szCs w:val="20"/>
        </w:rPr>
        <w:t xml:space="preserve">Figure 5.1 — </w:t>
      </w:r>
      <w:r>
        <w:rPr>
          <w:rFonts w:ascii="Arial" w:cs="Arial" w:eastAsia="Arial" w:hAnsi="Arial"/>
          <w:i/>
          <w:iCs/>
          <w:color w:val="4A4A4A"/>
          <w:sz w:val="20"/>
          <w:szCs w:val="20"/>
        </w:rPr>
        <w:t xml:space="preserve">Workflow du scan automatique OWASP ZAP — du déclenchement à l'export JSON</w:t>
      </w:r>
    </w:p>
    <w:p>
      <w:pPr>
        <w:spacing w:after="0" w:before="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diagramme ci-dessus formalise les boucles d'attente entre chaque étape. La boucle spider vérifie toutes les 2 secondes si l'exploration est terminée — ZAP retourne un pourcentage d'avancement qu'on compare à 100. La boucle de scan actif fonctionne de la même façon avec un intervalle de 5 secondes, plus long car le traitement est plus lourd.</w:t>
      </w:r>
    </w:p>
    <w:p>
      <w:pPr>
        <w:pStyle w:val="Heading2"/>
        <w:spacing w:after="160" w:before="440"/>
      </w:pPr>
      <w:r>
        <w:rPr>
          <w:rFonts w:ascii="Arial" w:cs="Arial" w:eastAsia="Arial" w:hAnsi="Arial"/>
          <w:b/>
          <w:bCs/>
          <w:color w:val="C0522A"/>
          <w:sz w:val="27"/>
          <w:szCs w:val="27"/>
        </w:rPr>
        <w:t xml:space="preserve">5.2  Structure JSON de sortie normalisée</w:t>
      </w:r>
    </w:p>
    <w:p>
      <w:pPr>
        <w:spacing w:after="200" w:before="0" w:line="360"/>
        <w:ind w:firstLine="720"/>
        <w:jc w:val="both"/>
      </w:pPr>
      <w:r>
        <w:rPr>
          <w:rFonts w:ascii="Times New Roman" w:cs="Times New Roman" w:eastAsia="Times New Roman" w:hAnsi="Times New Roman"/>
          <w:color w:val="1A1A1A"/>
          <w:sz w:val="24"/>
          <w:szCs w:val="24"/>
        </w:rPr>
        <w:t xml:space="preserve">Le format de sortie est le contrat technique entre C1 et I2. Il doit être stable et documenté dès la modélisation — pas ajusté en cours d'implémentation.</w:t>
      </w:r>
    </w:p>
    <w:p>
      <w:pPr>
        <w:spacing w:after="100" w:before="100"/>
        <w:ind w:left="720"/>
      </w:pPr>
      <w:r>
        <w:rPr>
          <w:rFonts w:ascii="Courier New" w:cs="Courier New" w:eastAsia="Courier New" w:hAnsi="Courier New"/>
          <w:color w:val="1A1A1A"/>
          <w:sz w:val="19"/>
          <w:szCs w:val="19"/>
        </w:rPr>
        <w:t xml:space="preserve">{
  "scan_id": "3f7a2c1d-...",
  "target_url": "http://dvwa.local",
  "timestamp": "2025-03-15T10:23:00Z",
  "duration_sec": 487,
  "total_vulns": 12,
  "vulnerabilities": [
    {
      "vuln_id": "uuid",
      "cve_id": "CVE-2023-4567",
      "type": "Cross Site Scripting (Reflected)",
      "cvss_score": 6.1,
      "cvss_vector": "AV:N/AC:L/PR:N/UI:R/S:C/C:L/I:L/A:N",
      "exposed_service": "http",
      "endpoint": "/vulnerabilities/xss_r/",
      "method": "GET",
      "parameter": "name",
      "exploit_public": true,
      "patch_available": true,
      "description": "Reflected XSS détecté sur le paramètre name..."
    }
  ]
}</w:t>
      </w:r>
    </w:p>
    <w:p>
      <w:pPr>
        <w:spacing w:after="0" w:before="80"/>
      </w:pPr>
      <w:r>
        <w:t xml:space="preserve"/>
      </w:r>
    </w:p>
    <w:p>
      <w:pPr>
        <w:pStyle w:val="Heading2"/>
        <w:spacing w:after="160" w:before="440"/>
      </w:pPr>
      <w:r>
        <w:rPr>
          <w:rFonts w:ascii="Arial" w:cs="Arial" w:eastAsia="Arial" w:hAnsi="Arial"/>
          <w:b/>
          <w:bCs/>
          <w:color w:val="C0522A"/>
          <w:sz w:val="27"/>
          <w:szCs w:val="27"/>
        </w:rPr>
        <w:t xml:space="preserve">5.3  Enrichissement CVE/NVD</w:t>
      </w:r>
    </w:p>
    <w:p>
      <w:pPr>
        <w:spacing w:after="200" w:before="0" w:line="360"/>
        <w:ind w:firstLine="720"/>
        <w:jc w:val="both"/>
      </w:pPr>
      <w:r>
        <w:rPr>
          <w:rFonts w:ascii="Times New Roman" w:cs="Times New Roman" w:eastAsia="Times New Roman" w:hAnsi="Times New Roman"/>
          <w:color w:val="1A1A1A"/>
          <w:sz w:val="24"/>
          <w:szCs w:val="24"/>
        </w:rPr>
        <w:t xml:space="preserve">Pour chaque vulnérabilité retournée par ZAP, nous interrogeons l'API REST du National Vulnerability Database (NVD) du NIST. Cette étape ajoute quatre informations qui ne sont pas disponibles dans les résultats ZAP bruts.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 ajouté</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 dans le Bloc 3b</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cvss_vector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 API</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Feature engineering — vecteur d'attaque, complexité,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exploit_public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 + Exploit-DB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Feature binaire décisive pour la priorisation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patch_available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 Advisory</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Indicateur de remédiation rapide 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cwe_id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Classification CWE pour l'agrégation des résultats</w:t>
            </w:r>
          </w:p>
        </w:tc>
      </w:tr>
    </w:tbl>
    <w:p>
      <w:pPr>
        <w:spacing w:after="0" w:before="16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5 —</w:t>
      </w:r>
    </w:p>
    <w:p>
      <w:r>
        <w:br/>
      </w:r>
      <w:r>
        <w:t xml:space="preserve"/>
      </w:r>
    </w:p>
    <w:p>
      <w:pPr>
        <w:pStyle w:val="Heading1"/>
        <w:spacing w:after="80" w:before="240"/>
      </w:pPr>
      <w:r>
        <w:rPr>
          <w:rFonts w:ascii="Arial" w:cs="Arial" w:eastAsia="Arial" w:hAnsi="Arial"/>
          <w:color w:val="707070"/>
          <w:sz w:val="22"/>
          <w:szCs w:val="22"/>
        </w:rPr>
        <w:t xml:space="preserve">CHAPITRE 6</w:t>
      </w:r>
    </w:p>
    <w:p>
      <w:pPr>
        <w:pStyle w:val="Heading1"/>
        <w:pBdr>
          <w:bottom w:val="single" w:color="534AB7" w:sz="6" w:space="8"/>
        </w:pBdr>
        <w:spacing w:after="320" w:before="0"/>
      </w:pPr>
      <w:r>
        <w:rPr>
          <w:rFonts w:ascii="Arial" w:cs="Arial" w:eastAsia="Arial" w:hAnsi="Arial"/>
          <w:b/>
          <w:bCs/>
          <w:color w:val="534AB7"/>
          <w:sz w:val="34"/>
          <w:szCs w:val="34"/>
        </w:rPr>
        <w:t xml:space="preserve">Modélisation Bloc 2 — Pipeline données phishing</w:t>
      </w:r>
    </w:p>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La qualité du corpus conditionne directement les performances des modèles du Bloc 3a. Ce chapitre décrit le pipeline de collecte, de prétraitement et d'annotation des données phishing — l'un des défis les plus délicats du projet, précisément parce qu'il n'existe pas de corpus camerounais préexistant à réutiliser.</w:t>
      </w:r>
    </w:p>
    <w:p>
      <w:pPr>
        <w:pStyle w:val="Heading2"/>
        <w:spacing w:after="160" w:before="440"/>
      </w:pPr>
      <w:r>
        <w:rPr>
          <w:rFonts w:ascii="Arial" w:cs="Arial" w:eastAsia="Arial" w:hAnsi="Arial"/>
          <w:b/>
          <w:bCs/>
          <w:color w:val="534AB7"/>
          <w:sz w:val="27"/>
          <w:szCs w:val="27"/>
        </w:rPr>
        <w:t xml:space="preserve">6.1  Pipeline de prétraitement général</w:t>
      </w:r>
    </w:p>
    <w:p>
      <w:pPr>
        <w:spacing w:after="200" w:before="0" w:line="360"/>
        <w:ind w:firstLine="720"/>
        <w:jc w:val="both"/>
      </w:pPr>
      <w:r>
        <w:rPr>
          <w:rFonts w:ascii="Times New Roman" w:cs="Times New Roman" w:eastAsia="Times New Roman" w:hAnsi="Times New Roman"/>
          <w:color w:val="1A1A1A"/>
          <w:sz w:val="24"/>
          <w:szCs w:val="24"/>
        </w:rPr>
        <w:t xml:space="preserve">Quelle que soit la source des données — Kaggle, PhishTank ou corpus synthétique — toutes les entrées passent par le même pipeline de nettoyage avant d'être utilisées par les modèles.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1B3A6B" w:val="clear"/>
            <w:tcMar>
              <w:top w:type="dxa" w:w="80"/>
              <w:left w:type="dxa" w:w="200"/>
              <w:bottom w:type="dxa" w:w="80"/>
              <w:right w:type="dxa" w:w="200"/>
            </w:tcMar>
          </w:tcPr>
          <w:p>
            <w:pPr>
              <w:jc w:val="center"/>
            </w:pPr>
            <w:r>
              <w:rPr>
                <w:rFonts w:ascii="Arial" w:cs="Arial" w:eastAsia="Arial" w:hAnsi="Arial"/>
                <w:b/>
                <w:bCs/>
                <w:color w:val="FFFFFF"/>
                <w:sz w:val="21"/>
                <w:szCs w:val="21"/>
              </w:rPr>
              <w:t xml:space="preserve">Figure 6.1 — Pipeline Bloc 2 : collecte, nettoyage, vectorisation, annotation</w:t>
            </w:r>
          </w:p>
        </w:tc>
      </w:tr>
      <w:tr>
        <w:trPr>
          <w:trHeight w:val="45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160"/>
              <w:jc w:val="center"/>
            </w:pPr>
            <w:r>
              <w:rPr>
                <w:rFonts w:ascii="Arial" w:cs="Arial" w:eastAsia="Arial" w:hAnsi="Arial"/>
                <w:b/>
                <w:bCs/>
                <w:color w:val="AAAAAA"/>
                <w:sz w:val="24"/>
                <w:szCs w:val="24"/>
              </w:rPr>
              <w:t xml:space="preserve">[ DIAGRAMME À INSÉRER ICI ]</w:t>
            </w:r>
          </w:p>
          <w:p>
            <w:pPr>
              <w:spacing w:after="80" w:before="0"/>
              <w:jc w:val="center"/>
            </w:pPr>
            <w:r>
              <w:rPr>
                <w:rFonts w:ascii="Courier New" w:cs="Courier New" w:eastAsia="Courier New" w:hAnsi="Courier New"/>
                <w:b/>
                <w:bCs/>
                <w:color w:val="1B3A6B"/>
                <w:sz w:val="20"/>
                <w:szCs w:val="20"/>
              </w:rPr>
              <w:t xml:space="preserve">Fichier :  bloc2_pipeline_phishing.drawio</w:t>
            </w:r>
          </w:p>
          <w:p>
            <w:pPr>
              <w:spacing w:after="0" w:before="0"/>
              <w:jc w:val="center"/>
            </w:pPr>
            <w:r>
              <w:rPr>
                <w:rFonts w:ascii="Arial" w:cs="Arial" w:eastAsia="Arial" w:hAnsi="Arial"/>
                <w:i/>
                <w:iCs/>
                <w:color w:val="888888"/>
                <w:sz w:val="18"/>
                <w:szCs w:val="18"/>
              </w:rPr>
              <w:t xml:space="preserve">app.diagrams.net → Exporter PNG 300dpi → Insertion → Image</w:t>
            </w:r>
          </w:p>
        </w:tc>
      </w:tr>
    </w:tbl>
    <w:p>
      <w:pPr>
        <w:spacing w:after="280" w:before="80"/>
        <w:jc w:val="center"/>
      </w:pPr>
      <w:r>
        <w:rPr>
          <w:rFonts w:ascii="Arial" w:cs="Arial" w:eastAsia="Arial" w:hAnsi="Arial"/>
          <w:b/>
          <w:bCs/>
          <w:color w:val="4A4A4A"/>
          <w:sz w:val="20"/>
          <w:szCs w:val="20"/>
        </w:rPr>
        <w:t xml:space="preserve">Figure 6.1 — </w:t>
      </w:r>
      <w:r>
        <w:rPr>
          <w:rFonts w:ascii="Arial" w:cs="Arial" w:eastAsia="Arial" w:hAnsi="Arial"/>
          <w:i/>
          <w:iCs/>
          <w:color w:val="4A4A4A"/>
          <w:sz w:val="20"/>
          <w:szCs w:val="20"/>
        </w:rPr>
        <w:t xml:space="preserve">Pipeline complet de traitement des données phishing — du brut au corpus annoté</w:t>
      </w:r>
    </w:p>
    <w:p>
      <w:pPr>
        <w:spacing w:after="0" w:before="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pipeline se divise en deux branches à partir du nettoyage initial, selon le type de données traité. Les SMS et emails suivent un chemin NLP classique — tokenisation, détection de langue, vectorisation TF-IDF et encodage BERT. Les URLs, elles, sont traitées comme des données structurées : on en extrait des features numériques (longueur totale, longueur du domaine, nombre de sous-domaines, présence de chiffres dans le TLD, ratio de caractères spéciaux) qui alimentent directement un classifieur.</w:t>
      </w:r>
    </w:p>
    <w:p>
      <w:pPr>
        <w:pStyle w:val="Heading2"/>
        <w:spacing w:after="160" w:before="440"/>
      </w:pPr>
      <w:r>
        <w:rPr>
          <w:rFonts w:ascii="Arial" w:cs="Arial" w:eastAsia="Arial" w:hAnsi="Arial"/>
          <w:b/>
          <w:bCs/>
          <w:color w:val="534AB7"/>
          <w:sz w:val="27"/>
          <w:szCs w:val="27"/>
        </w:rPr>
        <w:t xml:space="preserve">6.2  Features extraites par type de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 extraites</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SMS / Email</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Tokens TF-IDF (1-grammes, 2-grammes), embeddings BERT, longueur texte, mots-clés urgence (FCFA, PIN, code, urgent), détection langue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Capture le contenu sémantique et les patterns frauduleux lexicaux spécifiques au contexte camerounais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URL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Longueur totale, longueur domaine, nb sous-domaines, présence IP, nb tirets, ratio chiffres, TLD suspect (.xyz .tk .ml), présence HTTPS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Les URLs phishing présentent des patterns structurels caractéristiques indépendants du contenu</w:t>
            </w:r>
          </w:p>
        </w:tc>
      </w:tr>
    </w:tbl>
    <w:p>
      <w:pPr>
        <w:spacing w:after="0" w:before="160"/>
      </w:pPr>
      <w:r>
        <w:t xml:space="preserve"/>
      </w:r>
    </w:p>
    <w:p>
      <w:pPr>
        <w:pStyle w:val="Heading2"/>
        <w:spacing w:after="160" w:before="440"/>
      </w:pPr>
      <w:r>
        <w:rPr>
          <w:rFonts w:ascii="Arial" w:cs="Arial" w:eastAsia="Arial" w:hAnsi="Arial"/>
          <w:b/>
          <w:bCs/>
          <w:color w:val="534AB7"/>
          <w:sz w:val="27"/>
          <w:szCs w:val="27"/>
        </w:rPr>
        <w:t xml:space="preserve">6.3  Schéma d'annotation du corpus camerounais</w:t>
      </w:r>
    </w:p>
    <w:p>
      <w:pPr>
        <w:spacing w:after="200" w:before="0" w:line="360"/>
        <w:ind w:firstLine="720"/>
        <w:jc w:val="both"/>
      </w:pPr>
      <w:r>
        <w:rPr>
          <w:rFonts w:ascii="Times New Roman" w:cs="Times New Roman" w:eastAsia="Times New Roman" w:hAnsi="Times New Roman"/>
          <w:color w:val="1A1A1A"/>
          <w:sz w:val="24"/>
          <w:szCs w:val="24"/>
        </w:rPr>
        <w:t xml:space="preserve">Chaque entrée du corpus synthétique est annotée selon un schéma à cinq champs. Ce schéma a été conçu pour être utilisable à la fois pour l'entraînement des modèles et pour l'analyse qualitative des résultats.</w:t>
      </w:r>
    </w:p>
    <w:p>
      <w:pPr>
        <w:spacing w:after="100" w:before="100"/>
        <w:ind w:left="720"/>
      </w:pPr>
      <w:r>
        <w:rPr>
          <w:rFonts w:ascii="Courier New" w:cs="Courier New" w:eastAsia="Courier New" w:hAnsi="Courier New"/>
          <w:color w:val="1A1A1A"/>
          <w:sz w:val="19"/>
          <w:szCs w:val="19"/>
        </w:rPr>
        <w:t xml:space="preserve">{
  "entry_id": "uuid",
  "text_content": "MTN MoMo: Vous avez reçu 75000 FCFA...",
  "source_type": "sms",
  "label": 1,
  "language": "fr-CM",
  "domain_extracted": "momo-cm-verify.net",
  "risk_indicators": ["FCFA", "urgent", "PIN", "cliquez"],
  "origin": "synthetic",
  "created_at": "2025-03-01T08:00:00Z"
}</w:t>
      </w:r>
    </w:p>
    <w:p>
      <w:pPr>
        <w:spacing w:after="0" w:before="80"/>
      </w:pPr>
      <w:r>
        <w:t xml:space="preserve"/>
      </w:r>
    </w:p>
    <w:p>
      <w:pPr>
        <w:pStyle w:val="Heading2"/>
        <w:spacing w:after="160" w:before="440"/>
      </w:pPr>
      <w:r>
        <w:rPr>
          <w:rFonts w:ascii="Arial" w:cs="Arial" w:eastAsia="Arial" w:hAnsi="Arial"/>
          <w:b/>
          <w:bCs/>
          <w:color w:val="534AB7"/>
          <w:sz w:val="27"/>
          <w:szCs w:val="27"/>
        </w:rPr>
        <w:t xml:space="preserve">6.4  Stratégie de génération synthétique</w:t>
      </w:r>
    </w:p>
    <w:p>
      <w:pPr>
        <w:spacing w:after="200" w:before="0" w:line="360"/>
        <w:ind w:firstLine="720"/>
        <w:jc w:val="both"/>
      </w:pPr>
      <w:r>
        <w:rPr>
          <w:rFonts w:ascii="Times New Roman" w:cs="Times New Roman" w:eastAsia="Times New Roman" w:hAnsi="Times New Roman"/>
          <w:color w:val="1A1A1A"/>
          <w:sz w:val="24"/>
          <w:szCs w:val="24"/>
        </w:rPr>
        <w:t xml:space="preserve">Les SMS frauduleux camerounais présentent des patterns récurrents que nous avons formalisés en templates paramétrables. Chaque template correspond à un scénario d'attaque identifié : faux crédit de compte, alerte de sécurité fictive, gain de loterie, demande de vérification d'identité.</w:t>
      </w:r>
    </w:p>
    <w:p>
      <w:pPr>
        <w:spacing w:after="200" w:before="0" w:line="360"/>
        <w:ind/>
        <w:jc w:val="both"/>
      </w:pPr>
      <w:r>
        <w:rPr>
          <w:rFonts w:ascii="Times New Roman" w:cs="Times New Roman" w:eastAsia="Times New Roman" w:hAnsi="Times New Roman"/>
          <w:b w:val="false"/>
          <w:bCs w:val="false"/>
          <w:i w:val="false"/>
          <w:iCs w:val="false"/>
          <w:color w:val="1A1A1A"/>
          <w:sz w:val="24"/>
          <w:szCs w:val="24"/>
        </w:rPr>
        <w:t xml:space="preserve">Un template prend la forme suivante (exemple scénario 'faux crédit') : </w:t>
      </w:r>
    </w:p>
    <w:p>
      <w:pPr>
        <w:spacing w:after="100" w:before="100"/>
        <w:ind w:left="720"/>
      </w:pPr>
      <w:r>
        <w:rPr>
          <w:rFonts w:ascii="Courier New" w:cs="Courier New" w:eastAsia="Courier New" w:hAnsi="Courier New"/>
          <w:color w:val="1A1A1A"/>
          <w:sz w:val="19"/>
          <w:szCs w:val="19"/>
        </w:rPr>
        <w:t xml:space="preserve">template_faux_credit = (
  "{operateur} {service}: Félicitations! Vous avez reçu "
  "{montant} FCFA de {expediteur}. "
  "Cliquez sur {url} ou tapez {code} pour valider."
)
# Variables instanciées aléatoirement :
# operateur  : ["MTN", "Orange", "Camtel"]
# service    : ["MoMo", "Money", "Mobile Money"]
# montant    : [5000, 10000, 25000, 50000, 75000, 100000]
# url        : domaines_suspects_generes
# code       : code_4_chiffres_aleatoire</w:t>
      </w:r>
    </w:p>
    <w:p>
      <w:pPr>
        <w:spacing w:after="0" w:before="8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Cette approche permet de générer rapidement des centaines de variations réalistes tout en maîtrisant la distribution des classes. La cible est 500 SMS minimum, répartis à 50 % entre phishing et légitimes, pour éviter les biais de classe dans l'entraînement.</w:t>
      </w:r>
    </w:p>
    <w:p>
      <w:pPr>
        <w:spacing w:after="0" w:before="16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6 —</w:t>
      </w:r>
    </w:p>
    <w:p>
      <w:r>
        <w:br/>
      </w:r>
      <w:r>
        <w:t xml:space="preserve"/>
      </w:r>
    </w:p>
    <w:p>
      <w:pPr>
        <w:pStyle w:val="Heading1"/>
        <w:spacing w:after="80" w:before="240"/>
      </w:pPr>
      <w:r>
        <w:rPr>
          <w:rFonts w:ascii="Arial" w:cs="Arial" w:eastAsia="Arial" w:hAnsi="Arial"/>
          <w:color w:val="707070"/>
          <w:sz w:val="22"/>
          <w:szCs w:val="22"/>
        </w:rPr>
        <w:t xml:space="preserve">CHAPITRE 7</w:t>
      </w:r>
    </w:p>
    <w:p>
      <w:pPr>
        <w:pStyle w:val="Heading1"/>
        <w:pBdr>
          <w:bottom w:val="single" w:color="0F6E56" w:sz="6" w:space="8"/>
        </w:pBdr>
        <w:spacing w:after="320" w:before="0"/>
      </w:pPr>
      <w:r>
        <w:rPr>
          <w:rFonts w:ascii="Arial" w:cs="Arial" w:eastAsia="Arial" w:hAnsi="Arial"/>
          <w:b/>
          <w:bCs/>
          <w:color w:val="0F6E56"/>
          <w:sz w:val="34"/>
          <w:szCs w:val="34"/>
        </w:rPr>
        <w:t xml:space="preserve">Modélisation Bloc 3 — Moteur d'intelligence artificielle</w:t>
      </w:r>
    </w:p>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Bloc 3 est le cœur analytique du système. Il regroupe deux sous-modules distincts — la détection de phishing par NLP et le scoring des vulnérabilités par ML — qui partagent la même infrastructure Python mais traitent des données de nature très différente. Ce chapitre modélise leur architecture respective, les métriques d'évaluation retenues, et les diagrammes UML associés.</w:t>
      </w:r>
    </w:p>
    <w:p>
      <w:pPr>
        <w:pStyle w:val="Heading2"/>
        <w:spacing w:after="160" w:before="440"/>
      </w:pPr>
      <w:r>
        <w:rPr>
          <w:rFonts w:ascii="Arial" w:cs="Arial" w:eastAsia="Arial" w:hAnsi="Arial"/>
          <w:b/>
          <w:bCs/>
          <w:color w:val="0F6E56"/>
          <w:sz w:val="27"/>
          <w:szCs w:val="27"/>
        </w:rPr>
        <w:t xml:space="preserve">7.1  Architecture du sous-module 3a — Détection phishing (NLP)</w:t>
      </w:r>
    </w:p>
    <w:p>
      <w:pPr>
        <w:spacing w:after="200" w:before="0" w:line="360"/>
        <w:ind w:firstLine="720"/>
        <w:jc w:val="both"/>
      </w:pPr>
      <w:r>
        <w:rPr>
          <w:rFonts w:ascii="Times New Roman" w:cs="Times New Roman" w:eastAsia="Times New Roman" w:hAnsi="Times New Roman"/>
          <w:color w:val="1A1A1A"/>
          <w:sz w:val="24"/>
          <w:szCs w:val="24"/>
        </w:rPr>
        <w:t xml:space="preserve">Le sous-module 3a implémente une stratégie à deux niveaux. Le premier niveau — TF-IDF + Random Forest — constitue le modèle baseline : rapide à entraîner, facilement interprétable, performant sur les cas les plus évidents. Le second niveau — BERT multilingue fine-tuné — prend le relais pour les textes ambigus que le baseline classe avec une confiance inférieure à 0,7.</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1B3A6B" w:val="clear"/>
            <w:tcMar>
              <w:top w:type="dxa" w:w="80"/>
              <w:left w:type="dxa" w:w="200"/>
              <w:bottom w:type="dxa" w:w="80"/>
              <w:right w:type="dxa" w:w="200"/>
            </w:tcMar>
          </w:tcPr>
          <w:p>
            <w:pPr>
              <w:jc w:val="center"/>
            </w:pPr>
            <w:r>
              <w:rPr>
                <w:rFonts w:ascii="Arial" w:cs="Arial" w:eastAsia="Arial" w:hAnsi="Arial"/>
                <w:b/>
                <w:bCs/>
                <w:color w:val="FFFFFF"/>
                <w:sz w:val="21"/>
                <w:szCs w:val="21"/>
              </w:rPr>
              <w:t xml:space="preserve">Figure 7.1 — Architecture complète du moteur IA : sous-modules 3a (NLP) et 3b (ML)</w:t>
            </w:r>
          </w:p>
        </w:tc>
      </w:tr>
      <w:tr>
        <w:trPr>
          <w:trHeight w:val="51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160"/>
              <w:jc w:val="center"/>
            </w:pPr>
            <w:r>
              <w:rPr>
                <w:rFonts w:ascii="Arial" w:cs="Arial" w:eastAsia="Arial" w:hAnsi="Arial"/>
                <w:b/>
                <w:bCs/>
                <w:color w:val="AAAAAA"/>
                <w:sz w:val="24"/>
                <w:szCs w:val="24"/>
              </w:rPr>
              <w:t xml:space="preserve">[ DIAGRAMME À INSÉRER ICI ]</w:t>
            </w:r>
          </w:p>
          <w:p>
            <w:pPr>
              <w:spacing w:after="80" w:before="0"/>
              <w:jc w:val="center"/>
            </w:pPr>
            <w:r>
              <w:rPr>
                <w:rFonts w:ascii="Courier New" w:cs="Courier New" w:eastAsia="Courier New" w:hAnsi="Courier New"/>
                <w:b/>
                <w:bCs/>
                <w:color w:val="1B3A6B"/>
                <w:sz w:val="20"/>
                <w:szCs w:val="20"/>
              </w:rPr>
              <w:t xml:space="preserve">Fichier :  bloc3_moteur_ia.drawio</w:t>
            </w:r>
          </w:p>
          <w:p>
            <w:pPr>
              <w:spacing w:after="0" w:before="0"/>
              <w:jc w:val="center"/>
            </w:pPr>
            <w:r>
              <w:rPr>
                <w:rFonts w:ascii="Arial" w:cs="Arial" w:eastAsia="Arial" w:hAnsi="Arial"/>
                <w:i/>
                <w:iCs/>
                <w:color w:val="888888"/>
                <w:sz w:val="18"/>
                <w:szCs w:val="18"/>
              </w:rPr>
              <w:t xml:space="preserve">app.diagrams.net → Exporter PNG 300dpi → Insertion → Image</w:t>
            </w:r>
          </w:p>
        </w:tc>
      </w:tr>
    </w:tbl>
    <w:p>
      <w:pPr>
        <w:spacing w:after="280" w:before="80"/>
        <w:jc w:val="center"/>
      </w:pPr>
      <w:r>
        <w:rPr>
          <w:rFonts w:ascii="Arial" w:cs="Arial" w:eastAsia="Arial" w:hAnsi="Arial"/>
          <w:b/>
          <w:bCs/>
          <w:color w:val="4A4A4A"/>
          <w:sz w:val="20"/>
          <w:szCs w:val="20"/>
        </w:rPr>
        <w:t xml:space="preserve">Figure 7.1 — </w:t>
      </w:r>
      <w:r>
        <w:rPr>
          <w:rFonts w:ascii="Arial" w:cs="Arial" w:eastAsia="Arial" w:hAnsi="Arial"/>
          <w:i/>
          <w:iCs/>
          <w:color w:val="4A4A4A"/>
          <w:sz w:val="20"/>
          <w:szCs w:val="20"/>
        </w:rPr>
        <w:t xml:space="preserve">Architecture du Bloc 3 — pipeline NLP phishing (gauche) et scoring ML vulnérabilités (droite)</w:t>
      </w:r>
    </w:p>
    <w:p>
      <w:pPr>
        <w:spacing w:after="0" w:before="60"/>
      </w:pPr>
      <w:r>
        <w:t xml:space="preserve"/>
      </w:r>
    </w:p>
    <w:p>
      <w:pPr>
        <w:pStyle w:val="Heading3"/>
        <w:spacing w:after="100" w:before="300"/>
      </w:pPr>
      <w:r>
        <w:rPr>
          <w:rFonts w:ascii="Arial" w:cs="Arial" w:eastAsia="Arial" w:hAnsi="Arial"/>
          <w:b/>
          <w:bCs/>
          <w:color w:val="4A4A4A"/>
          <w:sz w:val="24"/>
          <w:szCs w:val="24"/>
        </w:rPr>
        <w:t xml:space="preserve">7.1.1  Modèle baseline TF-IDF + Random Forest</w:t>
      </w:r>
    </w:p>
    <w:p>
      <w:pPr>
        <w:spacing w:after="200" w:before="0" w:line="360"/>
        <w:ind w:firstLine="720"/>
        <w:jc w:val="both"/>
      </w:pPr>
      <w:r>
        <w:rPr>
          <w:rFonts w:ascii="Times New Roman" w:cs="Times New Roman" w:eastAsia="Times New Roman" w:hAnsi="Times New Roman"/>
          <w:color w:val="1A1A1A"/>
          <w:sz w:val="24"/>
          <w:szCs w:val="24"/>
        </w:rPr>
        <w:t xml:space="preserve">Le pipeline baseline se compose de trois étapes : vectorisation TF-IDF sur un vocabulaire de 10 000 tokens avec n-grammes (1,2), réduction de dimensionnalité optionnelle par SVD tronquée, puis classification par Random Forest avec 100 estimateurs. Ce pipeline s'entraîne en quelques minutes sur CPU et sert de référence pour évaluer le gain apporté par BERT.</w:t>
      </w:r>
    </w:p>
    <w:p>
      <w:pPr>
        <w:pStyle w:val="Heading3"/>
        <w:spacing w:after="100" w:before="300"/>
      </w:pPr>
      <w:r>
        <w:rPr>
          <w:rFonts w:ascii="Arial" w:cs="Arial" w:eastAsia="Arial" w:hAnsi="Arial"/>
          <w:b/>
          <w:bCs/>
          <w:color w:val="4A4A4A"/>
          <w:sz w:val="24"/>
          <w:szCs w:val="24"/>
        </w:rPr>
        <w:t xml:space="preserve">7.1.2  Fine-tuning BERT multilingue</w:t>
      </w:r>
    </w:p>
    <w:p>
      <w:pPr>
        <w:spacing w:after="200" w:before="0" w:line="360"/>
        <w:ind/>
        <w:jc w:val="both"/>
      </w:pPr>
      <w:r>
        <w:rPr>
          <w:rFonts w:ascii="Times New Roman" w:cs="Times New Roman" w:eastAsia="Times New Roman" w:hAnsi="Times New Roman"/>
          <w:b w:val="false"/>
          <w:bCs w:val="false"/>
          <w:i w:val="false"/>
          <w:iCs w:val="false"/>
          <w:color w:val="1A1A1A"/>
          <w:sz w:val="24"/>
          <w:szCs w:val="24"/>
        </w:rPr>
        <w:t xml:space="preserve">Le modèle </w:t>
      </w:r>
      <w:r>
        <w:rPr>
          <w:rFonts w:ascii="Times New Roman" w:cs="Times New Roman" w:eastAsia="Times New Roman" w:hAnsi="Times New Roman"/>
          <w:b/>
          <w:bCs/>
          <w:i w:val="false"/>
          <w:iCs w:val="false"/>
          <w:color w:val="1A1A1A"/>
          <w:sz w:val="24"/>
          <w:szCs w:val="24"/>
        </w:rPr>
        <w:t xml:space="preserve">bert-base-multilingual-cased</w:t>
      </w:r>
      <w:r>
        <w:rPr>
          <w:rFonts w:ascii="Times New Roman" w:cs="Times New Roman" w:eastAsia="Times New Roman" w:hAnsi="Times New Roman"/>
          <w:b w:val="false"/>
          <w:bCs w:val="false"/>
          <w:i w:val="false"/>
          <w:iCs w:val="false"/>
          <w:color w:val="1A1A1A"/>
          <w:sz w:val="24"/>
          <w:szCs w:val="24"/>
        </w:rPr>
        <w:t xml:space="preserve"> est fine-tuné sur notre corpus avec les paramètres suivants : learning rate 2e-5, batch size 16, 3 epochs, avec un scheduler linéaire avec warmup sur 10 % des steps. La dernière couche du modèle est remplacée par un classifieur binaire (couche dense + dropout 0.1 + softmax). L'entraînement est réalisé sur GPU si disponible, sinon CPU avec réduction du batch size à 8.</w:t>
      </w:r>
    </w:p>
    <w:p>
      <w:pPr>
        <w:pStyle w:val="Heading2"/>
        <w:spacing w:after="160" w:before="440"/>
      </w:pPr>
      <w:r>
        <w:rPr>
          <w:rFonts w:ascii="Arial" w:cs="Arial" w:eastAsia="Arial" w:hAnsi="Arial"/>
          <w:b/>
          <w:bCs/>
          <w:color w:val="0F6E56"/>
          <w:sz w:val="27"/>
          <w:szCs w:val="27"/>
        </w:rPr>
        <w:t xml:space="preserve">7.2  Métriques d'évaluation</w:t>
      </w:r>
    </w:p>
    <w:p>
      <w:pPr>
        <w:spacing w:after="200" w:before="0" w:line="360"/>
        <w:ind w:firstLine="720"/>
        <w:jc w:val="both"/>
      </w:pPr>
      <w:r>
        <w:rPr>
          <w:rFonts w:ascii="Times New Roman" w:cs="Times New Roman" w:eastAsia="Times New Roman" w:hAnsi="Times New Roman"/>
          <w:color w:val="1A1A1A"/>
          <w:sz w:val="24"/>
          <w:szCs w:val="24"/>
        </w:rPr>
        <w:t xml:space="preserve">Le choix des métriques n'est pas neutre. La précision seule est insuffisante sur des jeux de données déséquilibrés — or notre corpus synthétique est équilibré à 50/50, mais les données réelles ne le sont pas forcément. Nous retenons quatre métriques complémentaires.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17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qu'elle mesure</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fixée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F1-score</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2 × (P × R) / (P + R)</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Équilibre précision / rappel</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 0.90 (BERT)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Précision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VP / (VP + FP)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Taux de fausses alarmes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 0.88</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Rappel</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VP / (VP + FN)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Taux de phishing non détectés</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 0.90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ROC-AUC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Aire sous la courbe ROC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Discrimination globale du modèle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 0.95</w:t>
            </w:r>
          </w:p>
        </w:tc>
      </w:tr>
    </w:tbl>
    <w:p>
      <w:pPr>
        <w:spacing w:after="0" w:before="160"/>
      </w:pPr>
      <w:r>
        <w:t xml:space="preserve"/>
      </w:r>
    </w:p>
    <w:p>
      <w:pPr>
        <w:pStyle w:val="Heading2"/>
        <w:spacing w:after="160" w:before="440"/>
      </w:pPr>
      <w:r>
        <w:rPr>
          <w:rFonts w:ascii="Arial" w:cs="Arial" w:eastAsia="Arial" w:hAnsi="Arial"/>
          <w:b/>
          <w:bCs/>
          <w:color w:val="0F6E56"/>
          <w:sz w:val="27"/>
          <w:szCs w:val="27"/>
        </w:rPr>
        <w:t xml:space="preserve">7.3  Architecture du sous-module 3b — Scoring vulnérabilités (ML)</w:t>
      </w:r>
    </w:p>
    <w:p>
      <w:pPr>
        <w:spacing w:after="200" w:before="0" w:line="360"/>
        <w:ind w:firstLine="720"/>
        <w:jc w:val="both"/>
      </w:pPr>
      <w:r>
        <w:rPr>
          <w:rFonts w:ascii="Times New Roman" w:cs="Times New Roman" w:eastAsia="Times New Roman" w:hAnsi="Times New Roman"/>
          <w:color w:val="1A1A1A"/>
          <w:sz w:val="24"/>
          <w:szCs w:val="24"/>
        </w:rPr>
        <w:t xml:space="preserve">Le sous-module 3b transforme les données JSON du Bloc 1 en un score de priorité contextuel. Son pipeline comporte trois étapes : extraction de features à partir du JSON, entraînement de deux modèles en parallèle (Random Forest et XGBoost), puis sélection du meilleur modèle sur la base du F1-score pondéré sur le jeu de validation.</w:t>
      </w:r>
    </w:p>
    <w:p>
      <w:pPr>
        <w:pStyle w:val="Heading3"/>
        <w:spacing w:after="100" w:before="300"/>
      </w:pPr>
      <w:r>
        <w:rPr>
          <w:rFonts w:ascii="Arial" w:cs="Arial" w:eastAsia="Arial" w:hAnsi="Arial"/>
          <w:b/>
          <w:bCs/>
          <w:color w:val="4A4A4A"/>
          <w:sz w:val="24"/>
          <w:szCs w:val="24"/>
        </w:rPr>
        <w:t xml:space="preserve">7.3.1  Features du modèle de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3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cvss_score</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Numérique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Score CVSS brut [0–10]</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attack_vector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Catégoriel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 (réseau) / A (adjacent) / L (local) / P (physique)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 CVSS vector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privileges_required</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Catégoriel</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None / Low / High</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 CVSS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exploit_public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Booléen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Existence d'un exploit public connu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Exploit-DB / NVD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patch_available</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Booléen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Patch officiel disponible</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NVD Advisory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exposed_service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Catégoriel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http / https / ftp / ssh /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Résultat ZAP</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network_exposure</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Catégoriel</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external / internal / dmz</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Configuration réseau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vuln_type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Catégoriel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XSS / SQLi / CSRF / IDOR / autres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OWASP classification</w:t>
            </w:r>
          </w:p>
        </w:tc>
      </w:tr>
    </w:tbl>
    <w:p>
      <w:pPr>
        <w:spacing w:after="0" w:before="160"/>
      </w:pPr>
      <w:r>
        <w:t xml:space="preserve"/>
      </w:r>
    </w:p>
    <w:p>
      <w:pPr>
        <w:pStyle w:val="Heading3"/>
        <w:spacing w:after="100" w:before="300"/>
      </w:pPr>
      <w:r>
        <w:rPr>
          <w:rFonts w:ascii="Arial" w:cs="Arial" w:eastAsia="Arial" w:hAnsi="Arial"/>
          <w:b/>
          <w:bCs/>
          <w:color w:val="4A4A4A"/>
          <w:sz w:val="24"/>
          <w:szCs w:val="24"/>
        </w:rPr>
        <w:t xml:space="preserve">7.3.2  Hyperparamètres XGBoost retenus</w:t>
      </w:r>
    </w:p>
    <w:p>
      <w:pPr>
        <w:spacing w:after="100" w:before="100"/>
        <w:ind w:left="720"/>
      </w:pPr>
      <w:r>
        <w:rPr>
          <w:rFonts w:ascii="Courier New" w:cs="Courier New" w:eastAsia="Courier New" w:hAnsi="Courier New"/>
          <w:color w:val="1A1A1A"/>
          <w:sz w:val="19"/>
          <w:szCs w:val="19"/>
        </w:rPr>
        <w:t xml:space="preserve">xgb_params = {
    "n_estimators": 200,
    "max_depth": 6,
    "learning_rate": 0.1,
    "subsample": 0.8,
    "colsample_bytree": 0.8,
    "scale_pos_weight": 1,
    "eval_metric": "logloss",
    "use_label_encoder": False
}</w:t>
      </w:r>
    </w:p>
    <w:p>
      <w:pPr>
        <w:spacing w:after="0" w:before="16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7 —</w:t>
      </w:r>
    </w:p>
    <w:p>
      <w:r>
        <w:br/>
      </w:r>
      <w:r>
        <w:t xml:space="preserve"/>
      </w:r>
    </w:p>
    <w:p>
      <w:pPr>
        <w:pStyle w:val="Heading1"/>
        <w:spacing w:after="80" w:before="240"/>
      </w:pPr>
      <w:r>
        <w:rPr>
          <w:rFonts w:ascii="Arial" w:cs="Arial" w:eastAsia="Arial" w:hAnsi="Arial"/>
          <w:color w:val="707070"/>
          <w:sz w:val="22"/>
          <w:szCs w:val="22"/>
        </w:rPr>
        <w:t xml:space="preserve">CHAPITRE 8</w:t>
      </w:r>
    </w:p>
    <w:p>
      <w:pPr>
        <w:pStyle w:val="Heading1"/>
        <w:pBdr>
          <w:bottom w:val="single" w:color="BA7517" w:sz="6" w:space="8"/>
        </w:pBdr>
        <w:spacing w:after="320" w:before="0"/>
      </w:pPr>
      <w:r>
        <w:rPr>
          <w:rFonts w:ascii="Arial" w:cs="Arial" w:eastAsia="Arial" w:hAnsi="Arial"/>
          <w:b/>
          <w:bCs/>
          <w:color w:val="BA7517"/>
          <w:sz w:val="34"/>
          <w:szCs w:val="34"/>
        </w:rPr>
        <w:t xml:space="preserve">Modélisation Bloc 4 — Moteur de corrélation</w:t>
      </w:r>
    </w:p>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moteur de corrélation est la pièce architecturale la plus originale de ce projet. Sa modélisation est aussi la plus délicate — parce qu'il n'existe pas de template standard auquel se référer. Nous partons d'une intuition opérationnelle simple : une organisation qui subit simultanément une campagne de phishing ciblant son domaine et une vulnérabilité non patchée sur ce même domaine est dans une situation de risque qualitativement différente de celle qui n'affronte qu'une seule de ces menaces.</w:t>
      </w:r>
    </w:p>
    <w:p>
      <w:pPr>
        <w:pStyle w:val="Heading2"/>
        <w:spacing w:after="160" w:before="440"/>
      </w:pPr>
      <w:r>
        <w:rPr>
          <w:rFonts w:ascii="Arial" w:cs="Arial" w:eastAsia="Arial" w:hAnsi="Arial"/>
          <w:b/>
          <w:bCs/>
          <w:color w:val="BA7517"/>
          <w:sz w:val="27"/>
          <w:szCs w:val="27"/>
        </w:rPr>
        <w:t xml:space="preserve">8.1  Règles de corrélation formalisées</w:t>
      </w:r>
    </w:p>
    <w:p>
      <w:pPr>
        <w:spacing w:after="200" w:before="0" w:line="360"/>
        <w:ind w:firstLine="720"/>
        <w:jc w:val="both"/>
      </w:pPr>
      <w:r>
        <w:rPr>
          <w:rFonts w:ascii="Times New Roman" w:cs="Times New Roman" w:eastAsia="Times New Roman" w:hAnsi="Times New Roman"/>
          <w:color w:val="1A1A1A"/>
          <w:sz w:val="24"/>
          <w:szCs w:val="24"/>
        </w:rPr>
        <w:t xml:space="preserve">Trois règles de corrélation sont implémentées, appliquées par ordre décroissant de confiance. Quand une règle établit une correspondance, le moteur calcule le score composite et génère l'alerte sans appliquer les règles suivantes.</w:t>
      </w:r>
    </w:p>
    <w:p>
      <w:pPr>
        <w:spacing w:after="70" w:before="220"/>
      </w:pPr>
      <w:r>
        <w:rPr>
          <w:rFonts w:ascii="Arial" w:cs="Arial" w:eastAsia="Arial" w:hAnsi="Arial"/>
          <w:b/>
          <w:bCs/>
          <w:i/>
          <w:iCs/>
          <w:color w:val="1A1A1A"/>
          <w:sz w:val="22"/>
          <w:szCs w:val="22"/>
        </w:rPr>
        <w:t xml:space="preserve">Règle R1 — Correspondance exacte de domaine (confiance : haute)</w:t>
      </w:r>
    </w:p>
    <w:p>
      <w:pPr>
        <w:spacing w:after="200" w:before="0" w:line="360"/>
        <w:ind/>
        <w:jc w:val="both"/>
      </w:pPr>
      <w:r>
        <w:rPr>
          <w:rFonts w:ascii="Times New Roman" w:cs="Times New Roman" w:eastAsia="Times New Roman" w:hAnsi="Times New Roman"/>
          <w:b/>
          <w:bCs/>
          <w:i w:val="false"/>
          <w:iCs w:val="false"/>
          <w:color w:val="1A1A1A"/>
          <w:sz w:val="24"/>
          <w:szCs w:val="24"/>
        </w:rPr>
        <w:t xml:space="preserve">Condition : </w:t>
      </w:r>
      <w:r>
        <w:rPr>
          <w:rFonts w:ascii="Times New Roman" w:cs="Times New Roman" w:eastAsia="Times New Roman" w:hAnsi="Times New Roman"/>
          <w:b w:val="false"/>
          <w:bCs w:val="false"/>
          <w:i/>
          <w:iCs/>
          <w:color w:val="1A1A1A"/>
          <w:sz w:val="24"/>
          <w:szCs w:val="24"/>
        </w:rPr>
        <w:t xml:space="preserve">domain_phishing == domain_vuln</w:t>
      </w:r>
      <w:r>
        <w:rPr>
          <w:rFonts w:ascii="Times New Roman" w:cs="Times New Roman" w:eastAsia="Times New Roman" w:hAnsi="Times New Roman"/>
          <w:b w:val="false"/>
          <w:bCs w:val="false"/>
          <w:i w:val="false"/>
          <w:iCs w:val="false"/>
          <w:color w:val="1A1A1A"/>
          <w:sz w:val="24"/>
          <w:szCs w:val="24"/>
        </w:rPr>
        <w:t xml:space="preserve">
Action : corrélation établie avec score de confiance 1.0</w:t>
      </w:r>
    </w:p>
    <w:p>
      <w:pPr>
        <w:spacing w:after="200" w:before="0" w:line="360"/>
        <w:ind/>
        <w:jc w:val="both"/>
      </w:pPr>
      <w:r>
        <w:rPr>
          <w:rFonts w:ascii="Times New Roman" w:cs="Times New Roman" w:eastAsia="Times New Roman" w:hAnsi="Times New Roman"/>
          <w:color w:val="1A1A1A"/>
          <w:sz w:val="24"/>
          <w:szCs w:val="24"/>
        </w:rPr>
        <w:t xml:space="preserve">Exemple : une URL de phishing pointant vers mtn-cm.net et une vulnérabilité XSS détectée sur mtn-cm.net lors d'un scan récent.</w:t>
      </w:r>
    </w:p>
    <w:p>
      <w:pPr>
        <w:spacing w:after="70" w:before="220"/>
      </w:pPr>
      <w:r>
        <w:rPr>
          <w:rFonts w:ascii="Arial" w:cs="Arial" w:eastAsia="Arial" w:hAnsi="Arial"/>
          <w:b/>
          <w:bCs/>
          <w:i/>
          <w:iCs/>
          <w:color w:val="1A1A1A"/>
          <w:sz w:val="22"/>
          <w:szCs w:val="22"/>
        </w:rPr>
        <w:t xml:space="preserve">Règle R2 — Similarité de domaine (confiance : moyenne)</w:t>
      </w:r>
    </w:p>
    <w:p>
      <w:pPr>
        <w:spacing w:after="200" w:before="0" w:line="360"/>
        <w:ind/>
        <w:jc w:val="both"/>
      </w:pPr>
      <w:r>
        <w:rPr>
          <w:rFonts w:ascii="Times New Roman" w:cs="Times New Roman" w:eastAsia="Times New Roman" w:hAnsi="Times New Roman"/>
          <w:b/>
          <w:bCs/>
          <w:i w:val="false"/>
          <w:iCs w:val="false"/>
          <w:color w:val="1A1A1A"/>
          <w:sz w:val="24"/>
          <w:szCs w:val="24"/>
        </w:rPr>
        <w:t xml:space="preserve">Condition : </w:t>
      </w:r>
      <w:r>
        <w:rPr>
          <w:rFonts w:ascii="Times New Roman" w:cs="Times New Roman" w:eastAsia="Times New Roman" w:hAnsi="Times New Roman"/>
          <w:b w:val="false"/>
          <w:bCs w:val="false"/>
          <w:i/>
          <w:iCs/>
          <w:color w:val="1A1A1A"/>
          <w:sz w:val="24"/>
          <w:szCs w:val="24"/>
        </w:rPr>
        <w:t xml:space="preserve">distance_levenshtein(domain_phishing, domain_vuln) ≤ 3</w:t>
      </w:r>
      <w:r>
        <w:rPr>
          <w:rFonts w:ascii="Times New Roman" w:cs="Times New Roman" w:eastAsia="Times New Roman" w:hAnsi="Times New Roman"/>
          <w:b w:val="false"/>
          <w:bCs w:val="false"/>
          <w:i w:val="false"/>
          <w:iCs w:val="false"/>
          <w:color w:val="1A1A1A"/>
          <w:sz w:val="24"/>
          <w:szCs w:val="24"/>
        </w:rPr>
        <w:t xml:space="preserve">  ou  </w:t>
      </w:r>
      <w:r>
        <w:rPr>
          <w:rFonts w:ascii="Times New Roman" w:cs="Times New Roman" w:eastAsia="Times New Roman" w:hAnsi="Times New Roman"/>
          <w:b w:val="false"/>
          <w:bCs w:val="false"/>
          <w:i/>
          <w:iCs/>
          <w:color w:val="1A1A1A"/>
          <w:sz w:val="24"/>
          <w:szCs w:val="24"/>
        </w:rPr>
        <w:t xml:space="preserve">mots_clés_communs(domain_phishing, domain_vuln) ≥ 2</w:t>
      </w:r>
      <w:r>
        <w:rPr>
          <w:rFonts w:ascii="Times New Roman" w:cs="Times New Roman" w:eastAsia="Times New Roman" w:hAnsi="Times New Roman"/>
          <w:b w:val="false"/>
          <w:bCs w:val="false"/>
          <w:i w:val="false"/>
          <w:iCs w:val="false"/>
          <w:color w:val="1A1A1A"/>
          <w:sz w:val="24"/>
          <w:szCs w:val="24"/>
        </w:rPr>
        <w:t xml:space="preserve">
Action : corrélation probable avec score de confiance 0.7</w:t>
      </w:r>
    </w:p>
    <w:p>
      <w:pPr>
        <w:spacing w:after="200" w:before="0" w:line="360"/>
        <w:ind/>
        <w:jc w:val="both"/>
      </w:pPr>
      <w:r>
        <w:rPr>
          <w:rFonts w:ascii="Times New Roman" w:cs="Times New Roman" w:eastAsia="Times New Roman" w:hAnsi="Times New Roman"/>
          <w:color w:val="1A1A1A"/>
          <w:sz w:val="24"/>
          <w:szCs w:val="24"/>
        </w:rPr>
        <w:t xml:space="preserve">Exemple : mtn-momo-cm.net et mtn-cameroun.net partagent le mot-clé 'mtn' et ont une distance de Levenshtein de 8.</w:t>
      </w:r>
    </w:p>
    <w:p>
      <w:pPr>
        <w:spacing w:after="70" w:before="220"/>
      </w:pPr>
      <w:r>
        <w:rPr>
          <w:rFonts w:ascii="Arial" w:cs="Arial" w:eastAsia="Arial" w:hAnsi="Arial"/>
          <w:b/>
          <w:bCs/>
          <w:i/>
          <w:iCs/>
          <w:color w:val="1A1A1A"/>
          <w:sz w:val="22"/>
          <w:szCs w:val="22"/>
        </w:rPr>
        <w:t xml:space="preserve">Règle R3 — Co-occurrence temporelle et géographique (confiance : faible)</w:t>
      </w:r>
    </w:p>
    <w:p>
      <w:pPr>
        <w:spacing w:after="200" w:before="0" w:line="360"/>
        <w:ind/>
        <w:jc w:val="both"/>
      </w:pPr>
      <w:r>
        <w:rPr>
          <w:rFonts w:ascii="Times New Roman" w:cs="Times New Roman" w:eastAsia="Times New Roman" w:hAnsi="Times New Roman"/>
          <w:b/>
          <w:bCs/>
          <w:i w:val="false"/>
          <w:iCs w:val="false"/>
          <w:color w:val="1A1A1A"/>
          <w:sz w:val="24"/>
          <w:szCs w:val="24"/>
        </w:rPr>
        <w:t xml:space="preserve">Condition : </w:t>
      </w:r>
      <w:r>
        <w:rPr>
          <w:rFonts w:ascii="Times New Roman" w:cs="Times New Roman" w:eastAsia="Times New Roman" w:hAnsi="Times New Roman"/>
          <w:b w:val="false"/>
          <w:bCs w:val="false"/>
          <w:i/>
          <w:iCs/>
          <w:color w:val="1A1A1A"/>
          <w:sz w:val="24"/>
          <w:szCs w:val="24"/>
        </w:rPr>
        <w:t xml:space="preserve">abs(timestamp_phishing - timestamp_scan) ≤ 24h</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subnet_commun(ip_phishing, ip_vuln)</w:t>
      </w:r>
      <w:r>
        <w:rPr>
          <w:rFonts w:ascii="Times New Roman" w:cs="Times New Roman" w:eastAsia="Times New Roman" w:hAnsi="Times New Roman"/>
          <w:b w:val="false"/>
          <w:bCs w:val="false"/>
          <w:i w:val="false"/>
          <w:iCs w:val="false"/>
          <w:color w:val="1A1A1A"/>
          <w:sz w:val="24"/>
          <w:szCs w:val="24"/>
        </w:rPr>
        <w:t xml:space="preserve">
Action : corrélation possible avec score de confiance 0.4</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1B3A6B" w:val="clear"/>
            <w:tcMar>
              <w:top w:type="dxa" w:w="80"/>
              <w:left w:type="dxa" w:w="200"/>
              <w:bottom w:type="dxa" w:w="80"/>
              <w:right w:type="dxa" w:w="200"/>
            </w:tcMar>
          </w:tcPr>
          <w:p>
            <w:pPr>
              <w:jc w:val="center"/>
            </w:pPr>
            <w:r>
              <w:rPr>
                <w:rFonts w:ascii="Arial" w:cs="Arial" w:eastAsia="Arial" w:hAnsi="Arial"/>
                <w:b/>
                <w:bCs/>
                <w:color w:val="FFFFFF"/>
                <w:sz w:val="21"/>
                <w:szCs w:val="21"/>
              </w:rPr>
              <w:t xml:space="preserve">Figure 8.1 — Moteur de corrélation (Bloc 4) et diagramme Use Case du Bloc 5</w:t>
            </w:r>
          </w:p>
        </w:tc>
      </w:tr>
      <w:tr>
        <w:trPr>
          <w:trHeight w:val="51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160"/>
              <w:jc w:val="center"/>
            </w:pPr>
            <w:r>
              <w:rPr>
                <w:rFonts w:ascii="Arial" w:cs="Arial" w:eastAsia="Arial" w:hAnsi="Arial"/>
                <w:b/>
                <w:bCs/>
                <w:color w:val="AAAAAA"/>
                <w:sz w:val="24"/>
                <w:szCs w:val="24"/>
              </w:rPr>
              <w:t xml:space="preserve">[ DIAGRAMME À INSÉRER ICI ]</w:t>
            </w:r>
          </w:p>
          <w:p>
            <w:pPr>
              <w:spacing w:after="80" w:before="0"/>
              <w:jc w:val="center"/>
            </w:pPr>
            <w:r>
              <w:rPr>
                <w:rFonts w:ascii="Courier New" w:cs="Courier New" w:eastAsia="Courier New" w:hAnsi="Courier New"/>
                <w:b/>
                <w:bCs/>
                <w:color w:val="1B3A6B"/>
                <w:sz w:val="20"/>
                <w:szCs w:val="20"/>
              </w:rPr>
              <w:t xml:space="preserve">Fichier :  bloc4_correlation_bloc5_usecase.drawio</w:t>
            </w:r>
          </w:p>
          <w:p>
            <w:pPr>
              <w:spacing w:after="0" w:before="0"/>
              <w:jc w:val="center"/>
            </w:pPr>
            <w:r>
              <w:rPr>
                <w:rFonts w:ascii="Arial" w:cs="Arial" w:eastAsia="Arial" w:hAnsi="Arial"/>
                <w:i/>
                <w:iCs/>
                <w:color w:val="888888"/>
                <w:sz w:val="18"/>
                <w:szCs w:val="18"/>
              </w:rPr>
              <w:t xml:space="preserve">app.diagrams.net → Exporter PNG 300dpi → Insertion → Image</w:t>
            </w:r>
          </w:p>
        </w:tc>
      </w:tr>
    </w:tbl>
    <w:p>
      <w:pPr>
        <w:spacing w:after="280" w:before="80"/>
        <w:jc w:val="center"/>
      </w:pPr>
      <w:r>
        <w:rPr>
          <w:rFonts w:ascii="Arial" w:cs="Arial" w:eastAsia="Arial" w:hAnsi="Arial"/>
          <w:b/>
          <w:bCs/>
          <w:color w:val="4A4A4A"/>
          <w:sz w:val="20"/>
          <w:szCs w:val="20"/>
        </w:rPr>
        <w:t xml:space="preserve">Figure 8.1 — </w:t>
      </w:r>
      <w:r>
        <w:rPr>
          <w:rFonts w:ascii="Arial" w:cs="Arial" w:eastAsia="Arial" w:hAnsi="Arial"/>
          <w:i/>
          <w:iCs/>
          <w:color w:val="4A4A4A"/>
          <w:sz w:val="20"/>
          <w:szCs w:val="20"/>
        </w:rPr>
        <w:t xml:space="preserve">Moteur de corrélation (gauche) et cas d'utilisation du Dashboard SOC (droite)</w:t>
      </w:r>
    </w:p>
    <w:p>
      <w:pPr>
        <w:spacing w:after="0" w:before="60"/>
      </w:pPr>
      <w:r>
        <w:t xml:space="preserve"/>
      </w:r>
    </w:p>
    <w:p>
      <w:pPr>
        <w:pStyle w:val="Heading2"/>
        <w:spacing w:after="160" w:before="440"/>
      </w:pPr>
      <w:r>
        <w:rPr>
          <w:rFonts w:ascii="Arial" w:cs="Arial" w:eastAsia="Arial" w:hAnsi="Arial"/>
          <w:b/>
          <w:bCs/>
          <w:color w:val="BA7517"/>
          <w:sz w:val="27"/>
          <w:szCs w:val="27"/>
        </w:rPr>
        <w:t xml:space="preserve">8.2  Calcul du score de risque composite</w:t>
      </w:r>
    </w:p>
    <w:p>
      <w:pPr>
        <w:spacing w:after="200" w:before="0" w:line="360"/>
        <w:ind w:firstLine="720"/>
        <w:jc w:val="both"/>
      </w:pPr>
      <w:r>
        <w:rPr>
          <w:rFonts w:ascii="Times New Roman" w:cs="Times New Roman" w:eastAsia="Times New Roman" w:hAnsi="Times New Roman"/>
          <w:color w:val="1A1A1A"/>
          <w:sz w:val="24"/>
          <w:szCs w:val="24"/>
        </w:rPr>
        <w:t xml:space="preserve">Lorsqu'une corrélation est établie par l'une des trois règles, le score de risque composite est calculé selon la formule pondérée suivante :</w:t>
      </w:r>
    </w:p>
    <w:p>
      <w:pPr>
        <w:pBdr>
          <w:left w:val="single" w:color="BA7517" w:sz="10" w:space="12"/>
        </w:pBdr>
        <w:spacing w:after="160" w:before="160"/>
        <w:ind w:left="720"/>
        <w:jc w:val="center"/>
      </w:pPr>
      <w:r>
        <w:rPr>
          <w:rFonts w:ascii="Courier New" w:cs="Courier New" w:eastAsia="Courier New" w:hAnsi="Courier New"/>
          <w:b/>
          <w:bCs/>
          <w:color w:val="BA7517"/>
          <w:sz w:val="22"/>
          <w:szCs w:val="22"/>
        </w:rPr>
        <w:t xml:space="preserve">S = α × score_vuln_ml + β × score_phishing + γ × confiance_correlation</w:t>
      </w:r>
    </w:p>
    <w:p>
      <w:pPr>
        <w:spacing w:after="200" w:before="0" w:line="360"/>
        <w:ind/>
        <w:jc w:val="both"/>
      </w:pPr>
      <w:r>
        <w:rPr>
          <w:rFonts w:ascii="Times New Roman" w:cs="Times New Roman" w:eastAsia="Times New Roman" w:hAnsi="Times New Roman"/>
          <w:color w:val="1A1A1A"/>
          <w:sz w:val="24"/>
          <w:szCs w:val="24"/>
        </w:rPr>
        <w:t xml:space="preserve">Avec les coefficients par défaut : α = 0.5, β = 0.3, γ = 0.2. Ces coefficients sont paramétrables depuis la configuration du système — une organisation qui considère le phishing comme sa menace principale peut augmenter β au détriment de α.</w:t>
      </w:r>
    </w:p>
    <w:p>
      <w:pPr>
        <w:pStyle w:val="Heading2"/>
        <w:spacing w:after="160" w:before="440"/>
      </w:pPr>
      <w:r>
        <w:rPr>
          <w:rFonts w:ascii="Arial" w:cs="Arial" w:eastAsia="Arial" w:hAnsi="Arial"/>
          <w:b/>
          <w:bCs/>
          <w:color w:val="BA7517"/>
          <w:sz w:val="27"/>
          <w:szCs w:val="27"/>
        </w:rPr>
        <w:t xml:space="preserve">8.3  Niveaux d'alerte et actions recommandées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Couleur</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recommandée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Critique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 8.0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Rouge (#CC0000)</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Isolation immédiate du service. Patch d'urgence. Escalade RSSI.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Élevé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6.0 – 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Orange (#FF6600)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Patch sous 24h. Surveillance renforcée des logs. Notification équipe.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Moyen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4.0 – 5.9</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Jaune (#FFA500)</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Planifier le patch dans la semaine. Ajouter règle WAF.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Faible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&lt; 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Vert (#009900)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Inscription au backlog. Revue mensuelle.</w:t>
            </w:r>
          </w:p>
        </w:tc>
      </w:tr>
    </w:tbl>
    <w:p>
      <w:pPr>
        <w:spacing w:after="0" w:before="16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8 —</w:t>
      </w:r>
    </w:p>
    <w:p>
      <w:r>
        <w:br/>
      </w:r>
      <w:r>
        <w:t xml:space="preserve"/>
      </w:r>
    </w:p>
    <w:p>
      <w:pPr>
        <w:pStyle w:val="Heading1"/>
        <w:spacing w:after="80" w:before="240"/>
      </w:pPr>
      <w:r>
        <w:rPr>
          <w:rFonts w:ascii="Arial" w:cs="Arial" w:eastAsia="Arial" w:hAnsi="Arial"/>
          <w:color w:val="707070"/>
          <w:sz w:val="22"/>
          <w:szCs w:val="22"/>
        </w:rPr>
        <w:t xml:space="preserve">CHAPITRE 9</w:t>
      </w:r>
    </w:p>
    <w:p>
      <w:pPr>
        <w:pStyle w:val="Heading1"/>
        <w:pBdr>
          <w:bottom w:val="single" w:color="1B3A6B" w:sz="6" w:space="8"/>
        </w:pBdr>
        <w:spacing w:after="320" w:before="0"/>
      </w:pPr>
      <w:r>
        <w:rPr>
          <w:rFonts w:ascii="Arial" w:cs="Arial" w:eastAsia="Arial" w:hAnsi="Arial"/>
          <w:b/>
          <w:bCs/>
          <w:color w:val="1B3A6B"/>
          <w:sz w:val="34"/>
          <w:szCs w:val="34"/>
        </w:rPr>
        <w:t xml:space="preserve">Modélisation Bloc 5 — Dashboard SOC</w:t>
      </w:r>
    </w:p>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dashboard SOC est la face visible du système — celle que l'analyste utilise au quotidien. Sa modélisation doit donc partir des besoins réels de cet utilisateur, pas des capacités techniques du système. Ce chapitre décrit les maquettes fonctionnelles, l'architecture frontend/backend, et les cas d'utilisation formalisés en UML.</w:t>
      </w:r>
    </w:p>
    <w:p>
      <w:pPr>
        <w:pStyle w:val="Heading2"/>
        <w:spacing w:after="160" w:before="440"/>
      </w:pPr>
      <w:r>
        <w:rPr>
          <w:rFonts w:ascii="Arial" w:cs="Arial" w:eastAsia="Arial" w:hAnsi="Arial"/>
          <w:b/>
          <w:bCs/>
          <w:color w:val="1B3A6B"/>
          <w:sz w:val="27"/>
          <w:szCs w:val="27"/>
        </w:rPr>
        <w:t xml:space="preserve">9.1  Cas d'utilisation — diagramme UML</w:t>
      </w:r>
    </w:p>
    <w:p>
      <w:pPr>
        <w:spacing w:after="200" w:before="0" w:line="360"/>
        <w:ind w:firstLine="720"/>
        <w:jc w:val="both"/>
      </w:pPr>
      <w:r>
        <w:rPr>
          <w:rFonts w:ascii="Times New Roman" w:cs="Times New Roman" w:eastAsia="Times New Roman" w:hAnsi="Times New Roman"/>
          <w:color w:val="1A1A1A"/>
          <w:sz w:val="24"/>
          <w:szCs w:val="24"/>
        </w:rPr>
        <w:t xml:space="preserve">Le diagramme Use Case du Bloc 5 est inclus dans la Figure 8.1 du chapitre précédent (partie droite). Il recense sept cas d'utilisation principaux pour l'analyste SOC, et trois interactions avec le système IA automatisé.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0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 d'utilisation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 principal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Précondition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 attendu</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Consulter les alertes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Dashboard ouvert, données chargées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Liste triée par criticité avec filtres actifs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Déclencher un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URL cible saisie et valide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Scan lancé, résultats affichés dans l'heure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Analyser un texte phishing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Texte ou URL soumis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Score phishing + indicateurs affichés &lt; 8s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Exporter un rapport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Plage de dates sélectionnée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PDF généré et téléchargé</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Marquer alerte résolue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Alerte ouverte sélectionnée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Statut mis à jour en base, alerte archivée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Annoter corpus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Texte soumis manuellement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Entrée ajoutée au corpus avec label confirmé</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Visualiser tendances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Analyste SOC</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Période sélectionnée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Graphiques Chart.js actualisés</w:t>
            </w:r>
          </w:p>
        </w:tc>
      </w:tr>
    </w:tbl>
    <w:p>
      <w:pPr>
        <w:spacing w:after="0" w:before="160"/>
      </w:pPr>
      <w:r>
        <w:t xml:space="preserve"/>
      </w:r>
    </w:p>
    <w:p>
      <w:pPr>
        <w:pStyle w:val="Heading2"/>
        <w:spacing w:after="160" w:before="440"/>
      </w:pPr>
      <w:r>
        <w:rPr>
          <w:rFonts w:ascii="Arial" w:cs="Arial" w:eastAsia="Arial" w:hAnsi="Arial"/>
          <w:b/>
          <w:bCs/>
          <w:color w:val="1B3A6B"/>
          <w:sz w:val="27"/>
          <w:szCs w:val="27"/>
        </w:rPr>
        <w:t xml:space="preserve">9.2  Architecture Frontend ↔ Backend</w:t>
      </w:r>
    </w:p>
    <w:p>
      <w:pPr>
        <w:spacing w:after="200" w:before="0" w:line="360"/>
        <w:ind w:firstLine="720"/>
        <w:jc w:val="both"/>
      </w:pPr>
      <w:r>
        <w:rPr>
          <w:rFonts w:ascii="Times New Roman" w:cs="Times New Roman" w:eastAsia="Times New Roman" w:hAnsi="Times New Roman"/>
          <w:color w:val="1A1A1A"/>
          <w:sz w:val="24"/>
          <w:szCs w:val="24"/>
        </w:rPr>
        <w:t xml:space="preserve">L'interface utilisateur est découplée du backend par une API REST. Ce choix architectural offre deux avantages : il permet de remplacer le frontend sans toucher au backend, et il rend le système accessible à des outils tiers via l'API.</w:t>
      </w:r>
    </w:p>
    <w:p>
      <w:pPr>
        <w:pStyle w:val="Heading3"/>
        <w:spacing w:after="100" w:before="300"/>
      </w:pPr>
      <w:r>
        <w:rPr>
          <w:rFonts w:ascii="Arial" w:cs="Arial" w:eastAsia="Arial" w:hAnsi="Arial"/>
          <w:b/>
          <w:bCs/>
          <w:color w:val="4A4A4A"/>
          <w:sz w:val="24"/>
          <w:szCs w:val="24"/>
        </w:rPr>
        <w:t xml:space="preserve">9.2.1  Backend Flask — endpoints API 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400"/>
        <w:gridCol w:w="16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Équipe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POST /api/scan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POST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Déclencher un scan ZAP sur une URL cible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GET /api/scan/{id}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Récupérer les résultats d'un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C1</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POST /api/analyze/text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POST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Analyser un texte (SMS/email/URL) pour phishing</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I1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GET /api/alerts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Lister les alertes avec filtres (sévérité, date,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C3</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PATCH /api/alerts/{id}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PATCH</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Mettre à jour le statut d'une alerte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GET /api/export/pdf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Générer et télécharger le rapport 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C3</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bCs/>
                <w:color w:val="1A1A1A"/>
                <w:sz w:val="19"/>
                <w:szCs w:val="19"/>
              </w:rPr>
              <w:t xml:space="preserve">POST /api/corpus/annotate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POST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Ajouter une entrée annotée au corpus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I3</w:t>
            </w:r>
          </w:p>
        </w:tc>
      </w:tr>
    </w:tbl>
    <w:p>
      <w:pPr>
        <w:spacing w:after="0" w:before="160"/>
      </w:pPr>
      <w:r>
        <w:t xml:space="preserve"/>
      </w:r>
    </w:p>
    <w:p>
      <w:pPr>
        <w:pStyle w:val="Heading3"/>
        <w:spacing w:after="100" w:before="300"/>
      </w:pPr>
      <w:r>
        <w:rPr>
          <w:rFonts w:ascii="Arial" w:cs="Arial" w:eastAsia="Arial" w:hAnsi="Arial"/>
          <w:b/>
          <w:bCs/>
          <w:color w:val="4A4A4A"/>
          <w:sz w:val="24"/>
          <w:szCs w:val="24"/>
        </w:rPr>
        <w:t xml:space="preserve">9.2.2  Frontend React — composants principaux</w:t>
      </w:r>
    </w:p>
    <w:p>
      <w:pPr>
        <w:spacing w:after="200" w:before="0" w:line="360"/>
        <w:ind w:firstLine="720"/>
        <w:jc w:val="both"/>
      </w:pPr>
      <w:r>
        <w:rPr>
          <w:rFonts w:ascii="Times New Roman" w:cs="Times New Roman" w:eastAsia="Times New Roman" w:hAnsi="Times New Roman"/>
          <w:color w:val="1A1A1A"/>
          <w:sz w:val="24"/>
          <w:szCs w:val="24"/>
        </w:rPr>
        <w:t xml:space="preserve">L'interface React est organisée en cinq composants principaux, chacun correspondant à une vue du dashboard :</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AlertList — tableau des alertes triées, avec filtres par sévérité et type, et boutons d'action (résoudre, ignorer, détailler).</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ScanForm — formulaire de déclenchement de scan avec champ URL, bouton de lancement et barre de progression en temps réel.</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PhishingAnalyzer — zone de saisie de texte ou d'URL avec affichage du score, des indicateurs de risque et du modèle utilisé.</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TrendCharts — graphiques Chart.js : histogramme des alertes par jour, camembert par type, courbe de score moyen sur 30 jours.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AlertDetail — vue détaillée d'une alerte composite avec les données sources (scan + phishing) et les actions recommandées.</w:t>
      </w:r>
    </w:p>
    <w:p>
      <w:pPr>
        <w:pStyle w:val="Heading2"/>
        <w:spacing w:after="160" w:before="440"/>
      </w:pPr>
      <w:r>
        <w:rPr>
          <w:rFonts w:ascii="Arial" w:cs="Arial" w:eastAsia="Arial" w:hAnsi="Arial"/>
          <w:b/>
          <w:bCs/>
          <w:color w:val="1B3A6B"/>
          <w:sz w:val="27"/>
          <w:szCs w:val="27"/>
        </w:rPr>
        <w:t xml:space="preserve">9.3  Maquettes fonctionnelles (wireframes)</w:t>
      </w:r>
    </w:p>
    <w:p>
      <w:pPr>
        <w:spacing w:after="200" w:before="0" w:line="360"/>
        <w:ind w:firstLine="720"/>
        <w:jc w:val="both"/>
      </w:pPr>
      <w:r>
        <w:rPr>
          <w:rFonts w:ascii="Times New Roman" w:cs="Times New Roman" w:eastAsia="Times New Roman" w:hAnsi="Times New Roman"/>
          <w:color w:val="1A1A1A"/>
          <w:sz w:val="24"/>
          <w:szCs w:val="24"/>
        </w:rPr>
        <w:t xml:space="preserve">Les wireframes ci-dessous définissent la disposition des éléments à l'écran. Ils ne constituent pas une charte graphique définitive — les couleurs et polices seront affinées en phase d'implémentation — mais ils fixent la hiérarchie de l'information et les zones d'interaction.</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B3A6B" w:sz="1"/>
              <w:left w:val="single" w:color="1B3A6B" w:sz="1"/>
              <w:bottom w:val="single" w:color="1B3A6B" w:sz="1"/>
              <w:right w:val="single" w:color="1B3A6B" w:sz="1"/>
            </w:tcBorders>
            <w:shd w:fill="1B3A6B" w:val="clear"/>
            <w:tcMar>
              <w:top w:type="dxa" w:w="60"/>
              <w:left w:type="dxa" w:w="200"/>
              <w:bottom w:type="dxa" w:w="60"/>
              <w:right w:type="dxa" w:w="200"/>
            </w:tcMar>
          </w:tcPr>
          <w:p>
            <w:pPr>
              <w:jc w:val="center"/>
            </w:pPr>
            <w:r>
              <w:rPr>
                <w:rFonts w:ascii="Arial" w:cs="Arial" w:eastAsia="Arial" w:hAnsi="Arial"/>
                <w:b/>
                <w:bCs/>
                <w:color w:val="FFFFFF"/>
                <w:sz w:val="20"/>
                <w:szCs w:val="20"/>
              </w:rPr>
              <w:t xml:space="preserve">🛡  SOC Dashboard — IA &amp; Cybersécurité Cameroun</w:t>
            </w:r>
          </w:p>
        </w:tc>
      </w:tr>
      <w:tr>
        <w:tc>
          <w:tcPr>
            <w:tcW w:type="dxa" w:w="9000"/>
            <w:tcBorders>
              <w:top w:val="single" w:color="CCCCCC" w:sz="1"/>
              <w:left w:val="single" w:color="CCCCCC" w:sz="1"/>
              <w:bottom w:val="single" w:color="CCCCCC" w:sz="1"/>
              <w:right w:val="single" w:color="CCCCCC" w:sz="1"/>
            </w:tcBorders>
            <w:shd w:fill="F0F4FF" w:val="clear"/>
            <w:tcMar>
              <w:top w:type="dxa" w:w="80"/>
              <w:left w:type="dxa" w:w="200"/>
              <w:bottom w:type="dxa" w:w="80"/>
              <w:right w:type="dxa" w:w="200"/>
            </w:tcMar>
          </w:tcPr>
          <w:p>
            <w:pPr>
              <w:jc w:val="center"/>
            </w:pPr>
            <w:r>
              <w:rPr>
                <w:rFonts w:ascii="Arial" w:cs="Arial" w:eastAsia="Arial" w:hAnsi="Arial"/>
                <w:color w:val="1A1A1A"/>
                <w:sz w:val="18"/>
                <w:szCs w:val="18"/>
              </w:rPr>
              <w:t xml:space="preserve">[ KPI ] Alertes critiques : 3  |  Alertes élevées : 7  |  Scans actifs : 1  |  Phishing détectés (24h) : 12</w:t>
            </w:r>
          </w:p>
        </w:tc>
      </w:tr>
      <w:tr>
        <w:tc>
          <w:tcPr>
            <w:tcW w:type="dxa" w:w="9000"/>
            <w:tcBorders>
              <w:top w:val="single" w:color="CCCCCC" w:sz="1"/>
              <w:left w:val="single" w:color="CCCCCC" w:sz="1"/>
              <w:bottom w:val="single" w:color="CCCCCC" w:sz="1"/>
              <w:right w:val="single" w:color="CCCCCC" w:sz="1"/>
            </w:tcBorders>
            <w:shd w:fill="FAFAFA" w:val="clear"/>
            <w:tcMar>
              <w:top w:type="dxa" w:w="100"/>
              <w:left w:type="dxa" w:w="200"/>
              <w:bottom w:type="dxa" w:w="100"/>
              <w:right w:type="dxa" w:w="200"/>
            </w:tcMar>
          </w:tcPr>
          <w:p>
            <w:pPr>
              <w:spacing w:after="40" w:before="40"/>
              <w:jc w:val="center"/>
            </w:pPr>
            <w:r>
              <w:rPr>
                <w:rFonts w:ascii="Arial" w:cs="Arial" w:eastAsia="Arial" w:hAnsi="Arial"/>
                <w:i/>
                <w:iCs/>
                <w:color w:val="707070"/>
                <w:sz w:val="18"/>
                <w:szCs w:val="18"/>
              </w:rPr>
              <w:t xml:space="preserve">[ Graphique tendances 30 jours — Chart.js ]        [ Camembert types de vulnérabilités ]</w:t>
            </w:r>
          </w:p>
          <w:p>
            <w:pPr>
              <w:spacing w:after="40" w:before="80"/>
              <w:jc w:val="center"/>
            </w:pPr>
            <w:r>
              <w:rPr>
                <w:rFonts w:ascii="Arial" w:cs="Arial" w:eastAsia="Arial" w:hAnsi="Arial"/>
                <w:b/>
                <w:bCs/>
                <w:color w:val="1B3A6B"/>
                <w:sz w:val="18"/>
                <w:szCs w:val="18"/>
              </w:rPr>
              <w:t xml:space="preserve">━━━━━━━━━━━━━━━  LISTE DES ALERTES  ━━━━━━━━━━━━━━━</w:t>
            </w:r>
          </w:p>
          <w:p>
            <w:pPr>
              <w:spacing w:after="20" w:before="20"/>
              <w:jc w:val="left"/>
            </w:pPr>
            <w:r>
              <w:rPr>
                <w:rFonts w:ascii="Arial" w:cs="Arial" w:eastAsia="Arial" w:hAnsi="Arial"/>
                <w:color w:val="1A1A1A"/>
                <w:sz w:val="17"/>
                <w:szCs w:val="17"/>
              </w:rPr>
              <w:t xml:space="preserve">🔴 CRITIQUE  |  XSS + Phishing mtn-cm.net  |  Score 9.2  |  15/03/2025 14:23  |  [ Détail ] [ Résoudre ]</w:t>
            </w:r>
          </w:p>
          <w:p>
            <w:pPr>
              <w:spacing w:after="20" w:before="20"/>
              <w:jc w:val="left"/>
            </w:pPr>
            <w:r>
              <w:rPr>
                <w:rFonts w:ascii="Arial" w:cs="Arial" w:eastAsia="Arial" w:hAnsi="Arial"/>
                <w:color w:val="1A1A1A"/>
                <w:sz w:val="17"/>
                <w:szCs w:val="17"/>
              </w:rPr>
              <w:t xml:space="preserve">🟠 ÉLEVÉ     |  SQLi endpoint /login         |  Score 6.8  |  15/03/2025 11:05  |  [ Détail ] [ Résoudre ]</w:t>
            </w:r>
          </w:p>
          <w:p>
            <w:pPr>
              <w:spacing w:after="60" w:before="20"/>
              <w:jc w:val="left"/>
            </w:pPr>
            <w:r>
              <w:rPr>
                <w:rFonts w:ascii="Arial" w:cs="Arial" w:eastAsia="Arial" w:hAnsi="Arial"/>
                <w:color w:val="1A1A1A"/>
                <w:sz w:val="17"/>
                <w:szCs w:val="17"/>
              </w:rPr>
              <w:t xml:space="preserve">🟡 MOYEN     |  Phishing Orange Money        |  Score 5.1  |  14/03/2025 09:40  |  [ Détail ] [ Ignorer  ]</w:t>
            </w:r>
          </w:p>
        </w:tc>
      </w:tr>
    </w:tbl>
    <w:p>
      <w:pPr>
        <w:spacing w:after="280" w:before="80"/>
        <w:jc w:val="center"/>
      </w:pPr>
      <w:r>
        <w:rPr>
          <w:rFonts w:ascii="Arial" w:cs="Arial" w:eastAsia="Arial" w:hAnsi="Arial"/>
          <w:b/>
          <w:bCs/>
          <w:color w:val="4A4A4A"/>
          <w:sz w:val="20"/>
          <w:szCs w:val="20"/>
        </w:rPr>
        <w:t xml:space="preserve">Figure 9.1 — </w:t>
      </w:r>
      <w:r>
        <w:rPr>
          <w:rFonts w:ascii="Arial" w:cs="Arial" w:eastAsia="Arial" w:hAnsi="Arial"/>
          <w:i/>
          <w:iCs/>
          <w:color w:val="4A4A4A"/>
          <w:sz w:val="20"/>
          <w:szCs w:val="20"/>
        </w:rPr>
        <w:t xml:space="preserve">Wireframe du dashboard SOC principal — disposition des composants React</w:t>
      </w:r>
    </w:p>
    <w:p>
      <w:pPr>
        <w:spacing w:after="0" w:before="8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 wireframe fixe quatre zones permanentes : la barre de navigation en haut avec le nom du système et les accès rapides, la ligne de KPIs sous la barre, la zone de visualisation graphique à gauche, et la liste des alertes en dessous avec les actions contextuelles. L'interface est conçue pour être lisible sur un écran 15 pouces sans scrolling vertical pour les alertes les plus récentes.</w:t>
      </w:r>
    </w:p>
    <w:p>
      <w:pPr>
        <w:spacing w:after="0" w:before="20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9 — Fin de la Partie 2 : Modélisation —</w:t>
      </w:r>
    </w:p>
    <w:sectPr>
      <w:footerReference w:type="default" r:id="rId7"/>
      <w:pgSz w:w="11906" w:h="16838" w:orient="portrait"/>
      <w:pgMar w:top="1440" w:right="126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8"/>
        <w:szCs w:val="18"/>
      </w:rPr>
      <w:t xml:space="preserve">Projet tutoré — IA &amp; Cybersécurité au Cameroun   |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4"/>
      <w:szCs w:val="34"/>
    </w:rPr>
  </w:style>
  <w:style w:type="paragraph" w:styleId="Heading2">
    <w:name w:val="Heading 2"/>
    <w:basedOn w:val="Normal"/>
    <w:next w:val="Normal"/>
    <w:qFormat/>
    <w:pPr>
      <w:spacing w:after="160" w:before="440"/>
      <w:outlineLvl w:val="1"/>
    </w:pPr>
    <w:rPr>
      <w:rFonts w:ascii="Arial" w:cs="Arial" w:eastAsia="Arial" w:hAnsi="Arial"/>
      <w:b/>
      <w:bCs/>
      <w:color w:val="1B3A6B"/>
      <w:sz w:val="27"/>
      <w:szCs w:val="27"/>
    </w:rPr>
  </w:style>
  <w:style w:type="paragraph" w:styleId="Heading3">
    <w:name w:val="Heading 3"/>
    <w:basedOn w:val="Normal"/>
    <w:next w:val="Normal"/>
    <w:qFormat/>
    <w:pPr>
      <w:spacing w:after="100" w:before="3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2026-06-07T01:32:43.556Z</dcterms:created>
  <dcterms:modified xsi:type="dcterms:W3CDTF">2026-06-07T01:32:43.568Z</dcterms:modified>
</cp:coreProperties>
</file>

<file path=docProps/custom.xml><?xml version="1.0" encoding="utf-8"?>
<Properties xmlns="http://schemas.openxmlformats.org/officeDocument/2006/custom-properties" xmlns:vt="http://schemas.openxmlformats.org/officeDocument/2006/docPropsVTypes"/>
</file>