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color w:val="1B3A6B"/>
        </w:rPr>
        <w:t xml:space="preserve">CHAPITRE 10</w:t>
      </w:r>
    </w:p>
    <w:p>
      <w:pPr>
        <w:spacing w:after="240"/>
      </w:pPr>
      <w:r>
        <w:rPr>
          <w:rFonts w:ascii="Arial" w:cs="Arial" w:eastAsia="Arial" w:hAnsi="Arial"/>
          <w:b/>
          <w:bCs/>
          <w:color w:val="1B3A6B"/>
          <w:sz w:val="36"/>
          <w:szCs w:val="36"/>
        </w:rPr>
        <w:t xml:space="preserve">Implémentation, tests et résultats</w:t>
      </w:r>
    </w:p>
    <w:p>
      <w:pPr>
        <w:pStyle w:val="Heading2"/>
      </w:pPr>
      <w:r>
        <w:t xml:space="preserve">10.1  De la modélisation à un système exécutable</w:t>
      </w:r>
    </w:p>
    <w:p>
      <w:pPr>
        <w:spacing w:after="120" w:line="276"/>
        <w:jc w:val="both"/>
      </w:pPr>
      <w:r>
        <w:rPr>
          <w:rFonts w:ascii="Times New Roman" w:cs="Times New Roman" w:eastAsia="Times New Roman" w:hAnsi="Times New Roman"/>
          <w:sz w:val="24"/>
          <w:szCs w:val="24"/>
        </w:rPr>
        <w:t xml:space="preserve">Les chapitres précédents ont défini l'architecture, les contrats d'interface et la modélisation des cinq blocs. Ce chapitre rend compte de leur implémentation effective : un dépôt de code structuré, testé et exécutable de bout en bout. L'objectif n'est pas seulement de montrer que le système « pourrait » fonctionner, mais d'en apporter la preuve par des tests automatisés qui réussissent et par l'exécution réelle du pipeline complet sur des données représentatives du contexte camerounais.</w:t>
      </w:r>
    </w:p>
    <w:p>
      <w:pPr>
        <w:spacing w:after="120" w:line="276"/>
        <w:jc w:val="both"/>
      </w:pPr>
      <w:r>
        <w:rPr>
          <w:rFonts w:ascii="Times New Roman" w:cs="Times New Roman" w:eastAsia="Times New Roman" w:hAnsi="Times New Roman"/>
          <w:sz w:val="24"/>
          <w:szCs w:val="24"/>
        </w:rPr>
        <w:t xml:space="preserve">Conformément à la démarche d'ingénierie adoptée, l'implémentation a légèrement fait évoluer certains choix de la conception initiale. Ces évolutions, présentées et justifiées en section 10.3, ne remettent pas en cause l'architecture en cinq blocs : elles la renforcent en améliorant la robustesse, la testabilité et la cohérence des échanges entre équipes.</w:t>
      </w:r>
    </w:p>
    <w:p>
      <w:pPr>
        <w:pStyle w:val="Heading2"/>
      </w:pPr>
      <w:r>
        <w:t xml:space="preserve">10.2  Organisation du dépôt et socle commun</w:t>
      </w:r>
    </w:p>
    <w:p>
      <w:pPr>
        <w:spacing w:after="120" w:line="276"/>
        <w:jc w:val="both"/>
      </w:pPr>
      <w:r>
        <w:rPr>
          <w:rFonts w:ascii="Times New Roman" w:cs="Times New Roman" w:eastAsia="Times New Roman" w:hAnsi="Times New Roman"/>
          <w:sz w:val="24"/>
          <w:szCs w:val="24"/>
        </w:rPr>
        <w:t xml:space="preserve">Le code est organisé en un paquet Python unique, src, dans lequel chaque bloc possède son propre sous-paquet. Un module transversal, src/common, héberge les contrats partagés (schémas de données, configuration, accès à la base, journalisation). Ce socle commun est la pièce maîtresse de l'interopérabilité : tous les blocs échangent exclusivement à travers les modèles qu'il définit, ce qui garantit qu'une sortie produite par un bloc est directement consommable par le suivant.</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3100"/>
        <w:gridCol w:w="5846"/>
      </w:tblGrid>
      <w:tr>
        <w:trPr>
          <w:tblHeader/>
        </w:trPr>
        <w:tc>
          <w:tcPr>
            <w:tcW w:type="dxa" w:w="310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Élément</w:t>
            </w:r>
          </w:p>
        </w:tc>
        <w:tc>
          <w:tcPr>
            <w:tcW w:type="dxa" w:w="5846"/>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Rôle</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src/common</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Contrats Pydantic (Vulnerability, PhishingSample, PhishingPrediction, VulnScore, Alert), configuration, base de données, journalisation</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src/bloc1_scan</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Scan de vulnérabilités : wrappers Nmap et OWASP ZAP, enrichissement CVE/NVD</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src/bloc2_phishing</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Chargement et prétraitement du corpus phishing (SMS, e-mails, URL)</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src/bloc3_ia</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Moteur IA : détection phishing (TF-IDF/RF, BERT) et scoring des vulnérabilités (RF/XGBoost)</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src/bloc4_correlation</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Règles de corrélation, score de risque composite, génération d'alertes</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src/bloc5_dashboard</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API REST (FastAPI) et tableau de bord SOC (HTML/Chart.js)</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src/pipeline.py</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Orchestration end-to-end des cinq blocs</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tests/</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Suite de tests automatisés (pytest)</w:t>
            </w:r>
          </w:p>
        </w:tc>
      </w:tr>
    </w:tbl>
    <w:p>
      <w:pPr>
        <w:pStyle w:val="Heading2"/>
      </w:pPr>
      <w:r>
        <w:t xml:space="preserve">10.3  Évolutions justifiées par rapport à la conception</w:t>
      </w:r>
    </w:p>
    <w:p>
      <w:pPr>
        <w:pStyle w:val="Heading3"/>
      </w:pPr>
      <w:r>
        <w:t xml:space="preserve">10.3.1  Du framework Flask à FastAPI</w:t>
      </w:r>
    </w:p>
    <w:p>
      <w:pPr>
        <w:spacing w:after="120" w:line="276"/>
        <w:jc w:val="both"/>
      </w:pPr>
      <w:r>
        <w:rPr>
          <w:rFonts w:ascii="Times New Roman" w:cs="Times New Roman" w:eastAsia="Times New Roman" w:hAnsi="Times New Roman"/>
          <w:sz w:val="24"/>
          <w:szCs w:val="24"/>
        </w:rPr>
        <w:t xml:space="preserve">Le cahier des charges envisageait Flask pour la couche applicative. À l'implémentation, nous avons retenu FastAPI, qui offre trois avantages décisifs pour notre cas : la validation automatique des entrées/sorties par les mêmes modèles Pydantic que ceux du socle commun (donc zéro duplication des contrats), une documentation interactive générée automatiquement (Swagger UI), et un support natif de l'asynchrone utile pour les appels réseau du scanner et de l'enrichissement CVE. Le diagramme d'architecture mentionnait d'ailleurs déjà « Flask / FastAPI » comme alternative ouverte. Ce choix ne modifie ni les endpoints ni le rôle du bloc 5.</w:t>
      </w:r>
    </w:p>
    <w:p>
      <w:pPr>
        <w:pStyle w:val="Heading3"/>
      </w:pPr>
      <w:r>
        <w:t xml:space="preserve">10.3.2  Enrichissement du schéma d'alertes</w:t>
      </w:r>
    </w:p>
    <w:p>
      <w:pPr>
        <w:spacing w:after="120" w:line="276"/>
        <w:jc w:val="both"/>
      </w:pPr>
      <w:r>
        <w:rPr>
          <w:rFonts w:ascii="Times New Roman" w:cs="Times New Roman" w:eastAsia="Times New Roman" w:hAnsi="Times New Roman"/>
          <w:sz w:val="24"/>
          <w:szCs w:val="24"/>
        </w:rPr>
        <w:t xml:space="preserve">La table d'alertes initialement spécifiée a été enrichie pour mieux servir l'analyse au sein d'un SOC. Plutôt qu'un unique identifiant de vulnérabilité et de phishing, le schéma retient des listes d'identifiants (une alerte composite peut agréger plusieurs sources). Un score de risque numérique (0–100) vient compléter le niveau de sévérité qualitatif, et un champ d'explication (rationale) rend chaque alerte auto-justifiée. Le tableau suivant résume cette évolution.</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4473"/>
        <w:gridCol w:w="4473"/>
      </w:tblGrid>
      <w:tr>
        <w:trPr>
          <w:tblHeader/>
        </w:trPr>
        <w:tc>
          <w:tcPr>
            <w:tcW w:type="dxa" w:w="4473"/>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Spécification initiale (§3.6.3)</w:t>
            </w:r>
          </w:p>
        </w:tc>
        <w:tc>
          <w:tcPr>
            <w:tcW w:type="dxa" w:w="4473"/>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Implémentation retenue</w:t>
            </w:r>
          </w:p>
        </w:tc>
      </w:tr>
      <w:tr>
        <w:trPr>
          <w:tblHeader w:val="false"/>
        </w:trPr>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source_vuln_id (1 valeur)</w:t>
            </w:r>
          </w:p>
        </w:tc>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vulnerability_ids (liste)</w:t>
            </w:r>
          </w:p>
        </w:tc>
      </w:tr>
      <w:tr>
        <w:trPr>
          <w:tblHeader w:val="false"/>
        </w:trPr>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source_phishing_id (1 valeur)</w:t>
            </w:r>
          </w:p>
        </w:tc>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phishing_sample_ids (liste)</w:t>
            </w:r>
          </w:p>
        </w:tc>
      </w:tr>
      <w:tr>
        <w:trPr>
          <w:tblHeader w:val="false"/>
        </w:trPr>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severity : critique/eleve/moyen/faible</w:t>
            </w:r>
          </w:p>
        </w:tc>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severity : CRITICAL/HIGH/MEDIUM/LOW/INFO + risk_score (0–100)</w:t>
            </w:r>
          </w:p>
        </w:tc>
      </w:tr>
      <w:tr>
        <w:trPr>
          <w:tblHeader w:val="false"/>
        </w:trPr>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description (texte libre)</w:t>
            </w:r>
          </w:p>
        </w:tc>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rationale (explication) + recommended_actions (liste d'actions)</w:t>
            </w:r>
          </w:p>
        </w:tc>
      </w:tr>
      <w:tr>
        <w:trPr>
          <w:tblHeader w:val="false"/>
        </w:trPr>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status : ouvert/resolu/ignore</w:t>
            </w:r>
          </w:p>
        </w:tc>
        <w:tc>
          <w:tcPr>
            <w:tcW w:type="dxa" w:w="447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status : NEW/ACKNOWLEDGED/RESOLVED/FALSE_POSITIVE</w:t>
            </w:r>
          </w:p>
        </w:tc>
      </w:tr>
    </w:tbl>
    <w:p>
      <w:pPr>
        <w:pStyle w:val="Heading3"/>
      </w:pPr>
      <w:r>
        <w:t xml:space="preserve">10.3.3  Contrats de données typés et validés</w:t>
      </w:r>
    </w:p>
    <w:p>
      <w:pPr>
        <w:spacing w:after="120" w:line="276"/>
        <w:jc w:val="both"/>
      </w:pPr>
      <w:r>
        <w:rPr>
          <w:rFonts w:ascii="Times New Roman" w:cs="Times New Roman" w:eastAsia="Times New Roman" w:hAnsi="Times New Roman"/>
          <w:sz w:val="24"/>
          <w:szCs w:val="24"/>
        </w:rPr>
        <w:t xml:space="preserve">Les interfaces JSON décrites au chapitre 3 ont été matérialisées par des modèles Pydantic stricts. Chaque échange entre blocs est ainsi validé à l'exécution : un champ manquant ou hors bornes (par exemple un score CVSS supérieur à 10) lève immédiatement une erreur explicite. Cette rigueur, impossible avec de simples dictionnaires, prévient les incompatibilités silencieuses entre les contributions des deux équipes.</w:t>
      </w:r>
    </w:p>
    <w:p>
      <w:pPr>
        <w:pStyle w:val="Heading2"/>
      </w:pPr>
      <w:r>
        <w:t xml:space="preserve">10.4  Implémentation des cinq blocs</w:t>
      </w:r>
    </w:p>
    <w:p>
      <w:pPr>
        <w:spacing w:after="120" w:line="276"/>
        <w:jc w:val="both"/>
      </w:pPr>
      <w:r>
        <w:rPr>
          <w:rFonts w:ascii="Times New Roman" w:cs="Times New Roman" w:eastAsia="Times New Roman" w:hAnsi="Times New Roman"/>
          <w:sz w:val="24"/>
          <w:szCs w:val="24"/>
        </w:rPr>
        <w:t xml:space="preserve">Chaque bloc a été développé indépendamment puis intégré via le socle commun, selon la répartition Cybersécurité / IA définie au chapitre 4. Un principe de conception transversal a guidé tous les blocs : la dégradation gracieuse. Les dépendances lourdes ou externes (Nmap, ZAP, scikit-learn, transformers, PostgreSQL) sont importées de manière paresseuse et chaque bloc dispose d'un mode de repli, de sorte que le système reste exécutable même en l'absence d'un outil ou d'un modèle entraîné.</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Bloc 1 — Scan : wrappers Nmap et OWASP ZAP, enrichissement CVE/NVD, et un mode démonstration produisant des vulnérabilités réalistes sans aucun appel réseau.</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Bloc 2 — Phishing : chargement du corpus camerounais (SMS Mobile Money, e-mails, URL) et normalisation du texte (URLs, numéros, montants FCFA remplacés par des jetons).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Bloc 3 — IA : détecteur de phishing TF-IDF + Random Forest avec repli heuristique par mots-clés, stub BERT multilingue, et module de scoring des vulnérabilités RF/XGBoost.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Bloc 4 — Corrélation : quatre règles formalisées, un score de risque composite borné, et la génération d'alertes explicites avec actions recommandées.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Bloc 5 — Dashboard : API FastAPI exposant six endpoints et un tableau de bord SOC autonome (graphiques de répartition, tableau d'alertes, actions d'acquittement).</w:t>
      </w:r>
    </w:p>
    <w:p>
      <w:pPr>
        <w:spacing w:after="120" w:line="276"/>
        <w:jc w:val="both"/>
      </w:pPr>
      <w:r>
        <w:rPr>
          <w:rFonts w:ascii="Times New Roman" w:cs="Times New Roman" w:eastAsia="Times New Roman" w:hAnsi="Times New Roman"/>
          <w:sz w:val="24"/>
          <w:szCs w:val="24"/>
        </w:rPr>
        <w:t xml:space="preserve">Les endpoints exposés par l'API sont résumés ci-dessous.</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3100"/>
        <w:gridCol w:w="5846"/>
      </w:tblGrid>
      <w:tr>
        <w:trPr>
          <w:tblHeader/>
        </w:trPr>
        <w:tc>
          <w:tcPr>
            <w:tcW w:type="dxa" w:w="310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Endpoint</w:t>
            </w:r>
          </w:p>
        </w:tc>
        <w:tc>
          <w:tcPr>
            <w:tcW w:type="dxa" w:w="5846"/>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Fonction</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GET /health</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Vérification de disponibilité du service</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GET /api/alerts</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Liste des alertes (filtres : sévérité, statut, risque minimal)</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GET /api/alerts/{id}</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Détail d'une alerte (404 si absente)</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PATCH /api/alerts/{id}</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Mise à jour du statut (acquittée, résolue, faux positif)</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GET /api/stats</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Agrégats pour le tableau de bord (totaux, répartitions, top risques)</w:t>
            </w:r>
          </w:p>
        </w:tc>
      </w:tr>
      <w:tr>
        <w:trPr>
          <w:tblHeader w:val="false"/>
        </w:trP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POST /api/run-demo</w:t>
            </w:r>
          </w:p>
        </w:tc>
        <w:tc>
          <w:tcPr>
            <w:tcW w:type="dxa" w:w="58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Exécution du pipeline de démonstration</w:t>
            </w:r>
          </w:p>
        </w:tc>
      </w:tr>
    </w:tbl>
    <w:p>
      <w:pPr>
        <w:pStyle w:val="Heading2"/>
      </w:pPr>
      <w:r>
        <w:t xml:space="preserve">10.5  Stratégie d'exécution dégradée</w:t>
      </w:r>
    </w:p>
    <w:p>
      <w:pPr>
        <w:spacing w:after="120" w:line="276"/>
        <w:jc w:val="both"/>
      </w:pPr>
      <w:r>
        <w:rPr>
          <w:rFonts w:ascii="Times New Roman" w:cs="Times New Roman" w:eastAsia="Times New Roman" w:hAnsi="Times New Roman"/>
          <w:sz w:val="24"/>
          <w:szCs w:val="24"/>
        </w:rPr>
        <w:t xml:space="preserve">L'une des originalités de l'implémentation est sa capacité à fonctionner sans infrastructure complète, ce qui facilite le développement collaboratif et la reproductibilité de la démonstration. Deux mécanismes y concourent. D'abord, un mode démonstration qui injecte des vulnérabilités simulées et n'effectue aucun appel réseau. Ensuite, un repli heuristique du moteur IA : tant qu'aucun modèle n'a été entraîné, la détection de phishing s'appuie sur des indicateurs lexicaux (présence de « code PIN », « suspendu », « gagné », domaines raccourcis, etc.) et le scoring de vulnérabilités sur une transformation pondérée du CVSS. Le pipeline produit ainsi des résultats cohérents immédiatement, puis monte en qualité dès qu'un modèle entraîné est disponible.</w:t>
      </w:r>
    </w:p>
    <w:p>
      <w:pPr>
        <w:pStyle w:val="Heading2"/>
      </w:pPr>
      <w:r>
        <w:t xml:space="preserve">10.6  Tests et validation</w:t>
      </w:r>
    </w:p>
    <w:p>
      <w:pPr>
        <w:spacing w:after="120" w:line="276"/>
        <w:jc w:val="both"/>
      </w:pPr>
      <w:r>
        <w:rPr>
          <w:rFonts w:ascii="Times New Roman" w:cs="Times New Roman" w:eastAsia="Times New Roman" w:hAnsi="Times New Roman"/>
          <w:sz w:val="24"/>
          <w:szCs w:val="24"/>
        </w:rPr>
        <w:t xml:space="preserve">La validation repose sur une suite de tests automatisés exécutée avec pytest. L'ensemble des tests réussit. Ils couvrent la correction des contrats de données, la logique de corrélation et l'exécution complète du pipeline.</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346"/>
      </w:tblGrid>
      <w:tr>
        <w:trPr>
          <w:tblHeader/>
        </w:trPr>
        <w:tc>
          <w:tcPr>
            <w:tcW w:type="dxa" w:w="350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Fichier de test</w:t>
            </w:r>
          </w:p>
        </w:tc>
        <w:tc>
          <w:tcPr>
            <w:tcW w:type="dxa" w:w="210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Cible</w:t>
            </w:r>
          </w:p>
        </w:tc>
        <w:tc>
          <w:tcPr>
            <w:tcW w:type="dxa" w:w="3346"/>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Vérifie</w:t>
            </w:r>
          </w:p>
        </w:tc>
      </w:tr>
      <w:tr>
        <w:trPr>
          <w:tblHeader w:val="false"/>
        </w:trP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test_schemas.py</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Socle commun</w:t>
            </w:r>
          </w:p>
        </w:tc>
        <w:tc>
          <w:tcPr>
            <w:tcW w:type="dxa" w:w="33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Dérivation de la sévérité depuis le CVSS, validation des champs et des bornes</w:t>
            </w:r>
          </w:p>
        </w:tc>
      </w:tr>
      <w:tr>
        <w:trPr>
          <w:tblHeader w:val="false"/>
        </w:trP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test_bloc4_correlation.py</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Bloc 4</w:t>
            </w:r>
          </w:p>
        </w:tc>
        <w:tc>
          <w:tcPr>
            <w:tcW w:type="dxa" w:w="33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Déclenchement des règles, bornes du score, robustesse aux entrées vides</w:t>
            </w:r>
          </w:p>
        </w:tc>
      </w:tr>
      <w:tr>
        <w:trPr>
          <w:tblHeader w:val="false"/>
        </w:trP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test_pipeline_demo.py</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Pipeline</w:t>
            </w:r>
          </w:p>
        </w:tc>
        <w:tc>
          <w:tcPr>
            <w:tcW w:type="dxa" w:w="33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Production d'alertes valides de bout en bout en mode démonstration</w:t>
            </w:r>
          </w:p>
        </w:tc>
      </w:tr>
    </w:tbl>
    <w:p>
      <w:pPr>
        <w:spacing w:after="120" w:line="276"/>
        <w:jc w:val="both"/>
      </w:pPr>
      <w:r>
        <w:rPr>
          <w:rFonts w:ascii="Times New Roman" w:cs="Times New Roman" w:eastAsia="Times New Roman" w:hAnsi="Times New Roman"/>
          <w:sz w:val="24"/>
          <w:szCs w:val="24"/>
        </w:rPr>
        <w:t xml:space="preserve">Résultat global : 32 tests exécutés, 32 réussis (100 %). Un bug de conception a été détecté et corrigé à cette occasion : la sévérité d'une vulnérabilité n'était pas dérivée automatiquement de son score CVSS lorsqu'elle n'était pas fournie explicitement ; la correction garantit désormais cette dérivation, dont dépend la priorisation des alertes.</w:t>
      </w:r>
    </w:p>
    <w:p>
      <w:pPr>
        <w:pStyle w:val="Heading2"/>
      </w:pPr>
      <w:r>
        <w:t xml:space="preserve">10.7  Résultats du pipeline de démonstration</w:t>
      </w:r>
    </w:p>
    <w:p>
      <w:pPr>
        <w:spacing w:after="120" w:line="276"/>
        <w:jc w:val="both"/>
      </w:pPr>
      <w:r>
        <w:rPr>
          <w:rFonts w:ascii="Times New Roman" w:cs="Times New Roman" w:eastAsia="Times New Roman" w:hAnsi="Times New Roman"/>
          <w:sz w:val="24"/>
          <w:szCs w:val="24"/>
        </w:rPr>
        <w:t xml:space="preserve">Exécuté en mode démonstration, le pipeline enchaîne le scan (4 vulnérabilités simulées), le scoring, le chargement et le prétraitement de 10 messages, la détection de phishing puis la corrélation. Il génère trois alertes, correctement hiérarchisées par le score de risque composite.</w:t>
      </w:r>
    </w:p>
    <w:tbl>
      <w:tblPr>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1100"/>
        <w:gridCol w:w="4946"/>
        <w:gridCol w:w="1450"/>
        <w:gridCol w:w="1450"/>
      </w:tblGrid>
      <w:tr>
        <w:trPr>
          <w:tblHeader/>
        </w:trPr>
        <w:tc>
          <w:tcPr>
            <w:tcW w:type="dxa" w:w="110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Règle</w:t>
            </w:r>
          </w:p>
        </w:tc>
        <w:tc>
          <w:tcPr>
            <w:tcW w:type="dxa" w:w="4946"/>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Alerte</w:t>
            </w:r>
          </w:p>
        </w:tc>
        <w:tc>
          <w:tcPr>
            <w:tcW w:type="dxa" w:w="145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Risque</w:t>
            </w:r>
          </w:p>
        </w:tc>
        <w:tc>
          <w:tcPr>
            <w:tcW w:type="dxa" w:w="1450"/>
            <w:tcBorders>
              <w:top w:val="single" w:color="BBBBBB" w:sz="1"/>
              <w:left w:val="single" w:color="BBBBBB" w:sz="1"/>
              <w:bottom w:val="single" w:color="BBBBBB" w:sz="1"/>
              <w:right w:val="single" w:color="BBBBBB" w:sz="1"/>
            </w:tcBorders>
            <w:shd w:fill="E8EEF6" w:val="clear"/>
            <w:tcMar>
              <w:top w:type="dxa" w:w="60"/>
              <w:left w:type="dxa" w:w="110"/>
              <w:bottom w:type="dxa" w:w="60"/>
              <w:right w:type="dxa" w:w="110"/>
            </w:tcMar>
          </w:tcPr>
          <w:p>
            <w:r>
              <w:rPr>
                <w:rFonts w:ascii="Arial" w:cs="Arial" w:eastAsia="Arial" w:hAnsi="Arial"/>
                <w:b/>
                <w:bCs/>
                <w:sz w:val="20"/>
                <w:szCs w:val="20"/>
              </w:rPr>
              <w:t xml:space="preserve">Sévérité</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R1</w:t>
            </w:r>
          </w:p>
        </w:tc>
        <w:tc>
          <w:tcPr>
            <w:tcW w:type="dxa" w:w="49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Vulnérabilité web critique + phishing URL/e-mail ciblant un service similaire</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91,9 / 100</w:t>
            </w:r>
          </w:p>
        </w:tc>
        <w:tc>
          <w:tcPr>
            <w:tcW w:type="dxa" w:w="1450"/>
            <w:tcBorders>
              <w:top w:val="single" w:color="BBBBBB" w:sz="1"/>
              <w:left w:val="single" w:color="BBBBBB" w:sz="1"/>
              <w:bottom w:val="single" w:color="BBBBBB" w:sz="1"/>
              <w:right w:val="single" w:color="BBBBBB" w:sz="1"/>
            </w:tcBorders>
            <w:shd w:fill="F8D7DA" w:val="clear"/>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CRITICAL</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R3</w:t>
            </w:r>
          </w:p>
        </w:tc>
        <w:tc>
          <w:tcPr>
            <w:tcW w:type="dxa" w:w="49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Vulnérabilité d'authentification (SSH) + phishing de type « vérification/login »</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71,7 / 100</w:t>
            </w:r>
          </w:p>
        </w:tc>
        <w:tc>
          <w:tcPr>
            <w:tcW w:type="dxa" w:w="1450"/>
            <w:tcBorders>
              <w:top w:val="single" w:color="BBBBBB" w:sz="1"/>
              <w:left w:val="single" w:color="BBBBBB" w:sz="1"/>
              <w:bottom w:val="single" w:color="BBBBBB" w:sz="1"/>
              <w:right w:val="single" w:color="BBBBBB" w:sz="1"/>
            </w:tcBorders>
            <w:shd w:fill="FDE6CC" w:val="clear"/>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HIGH</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bCs/>
                <w:sz w:val="20"/>
                <w:szCs w:val="20"/>
              </w:rPr>
              <w:t xml:space="preserve">R2</w:t>
            </w:r>
          </w:p>
        </w:tc>
        <w:tc>
          <w:tcPr>
            <w:tcW w:type="dxa" w:w="494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Pic de phishing SMS Mobile Money (plusieurs messages frauduleux)</w:t>
            </w:r>
          </w:p>
        </w:tc>
        <w:tc>
          <w:tcPr>
            <w:tcW w:type="dxa" w:w="145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30,8 / 100</w:t>
            </w:r>
          </w:p>
        </w:tc>
        <w:tc>
          <w:tcPr>
            <w:tcW w:type="dxa" w:w="1450"/>
            <w:tcBorders>
              <w:top w:val="single" w:color="BBBBBB" w:sz="1"/>
              <w:left w:val="single" w:color="BBBBBB" w:sz="1"/>
              <w:bottom w:val="single" w:color="BBBBBB" w:sz="1"/>
              <w:right w:val="single" w:color="BBBBBB" w:sz="1"/>
            </w:tcBorders>
            <w:shd w:fill="FFF3CD" w:val="clear"/>
            <w:tcMar>
              <w:top w:type="dxa" w:w="60"/>
              <w:left w:type="dxa" w:w="110"/>
              <w:bottom w:type="dxa" w:w="60"/>
              <w:right w:type="dxa" w:w="110"/>
            </w:tcMar>
          </w:tcPr>
          <w:p>
            <w:r>
              <w:rPr>
                <w:rFonts w:ascii="Times New Roman" w:cs="Times New Roman" w:eastAsia="Times New Roman" w:hAnsi="Times New Roman"/>
                <w:b w:val="false"/>
                <w:bCs w:val="false"/>
                <w:sz w:val="20"/>
                <w:szCs w:val="20"/>
              </w:rPr>
              <w:t xml:space="preserve">LOW</w:t>
            </w:r>
          </w:p>
        </w:tc>
      </w:tr>
    </w:tbl>
    <w:p>
      <w:pPr>
        <w:spacing w:after="120" w:line="276"/>
        <w:jc w:val="both"/>
      </w:pPr>
      <w:r>
        <w:rPr>
          <w:rFonts w:ascii="Times New Roman" w:cs="Times New Roman" w:eastAsia="Times New Roman" w:hAnsi="Times New Roman"/>
          <w:sz w:val="24"/>
          <w:szCs w:val="24"/>
        </w:rPr>
        <w:t xml:space="preserve">Chaque alerte est accompagnée d'une explication lisible et d'actions recommandées concrètes — par exemple, pour l'alerte R1 : appliquer le correctif de la CVE concernée et activer l'authentification multifacteur ; pour l'alerte R2 : sensibiliser les clients Mobile Money et signaler les numéros émetteurs aux opérateurs.</w:t>
      </w:r>
    </w:p>
    <w:p>
      <w:pPr>
        <w:spacing w:after="120" w:line="276"/>
        <w:jc w:val="both"/>
      </w:pPr>
      <w:r>
        <w:rPr>
          <w:rFonts w:ascii="Times New Roman" w:cs="Times New Roman" w:eastAsia="Times New Roman" w:hAnsi="Times New Roman"/>
          <w:sz w:val="24"/>
          <w:szCs w:val="24"/>
        </w:rPr>
        <w:t xml:space="preserve">Concernant le sous-module de détection, l'entraînement du modèle baseline TF-IDF + Random Forest sur le corpus de démonstration aboutit à un modèle sérialisé et rechargé automatiquement par le pipeline, avec une exactitude indicative de 0,90 sur les données d'apprentissage. Ce chiffre, obtenu sur un corpus volontairement réduit, vaut comme preuve de bout en bout de la chaîne d'entraînement ; l'évaluation rigoureuse exigera l'extension du corpus et un jeu de test distinct, comme prévu au chapitre 7.</w:t>
      </w:r>
    </w:p>
    <w:p>
      <w:pPr>
        <w:pStyle w:val="Heading2"/>
      </w:pPr>
      <w:r>
        <w:t xml:space="preserve">10.8  Limites actuelles et travaux futurs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Corpus : le jeu de données de démonstration est réduit ; la priorité est l'extension du corpus camerounais (génération synthétique contrôlée et collecte terrain) pour une évaluation statistiquement significative.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BERT : le détecteur transformers est intégré sous forme de stub fonctionnel ; son fine-tuning et son activation dans le pipeline constituent l'étape suivante du bloc 3.</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Persistance : le développement utilise SQLite par défaut ; le passage en production sur PostgreSQL ne demande qu'un changement de configuration.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Scan réel : les wrappers Nmap/ZAP sont prêts mais doivent être éprouvés sur un environnement de test autorisé, dans le strict respect du cadre légal.</w:t>
      </w:r>
    </w:p>
    <w:p>
      <w:pPr>
        <w:pStyle w:val="Heading2"/>
      </w:pPr>
      <w:r>
        <w:t xml:space="preserve">10.9  Synthèse</w:t>
      </w:r>
    </w:p>
    <w:p>
      <w:pPr>
        <w:spacing w:after="120" w:line="276"/>
        <w:jc w:val="both"/>
      </w:pPr>
      <w:r>
        <w:rPr>
          <w:rFonts w:ascii="Times New Roman" w:cs="Times New Roman" w:eastAsia="Times New Roman" w:hAnsi="Times New Roman"/>
          <w:sz w:val="24"/>
          <w:szCs w:val="24"/>
        </w:rPr>
        <w:t xml:space="preserve">L'implémentation confirme la viabilité de l'architecture en cinq blocs : le système est structuré, testé (32 tests au vert) et exécutable de bout en bout, produisant des alertes corrélées et explicables sur des scénarios représentatifs du contexte camerounais. Les évolutions par rapport à la conception — adoption de FastAPI, contrats typés, schéma d'alertes enrichi, exécution dégradée — renforcent la robustesse et la cohérence du travail entre les deux équipes. Les travaux futurs porteront prioritairement sur l'enrichissement du corpus et l'activation du modèle BERT, qui conditionnent la montée en performance de la détection.</w:t>
      </w:r>
    </w:p>
    <w:sectPr>
      <w:pgSz w:w="11906" w:h="16838" w:orient="portrait"/>
      <w:pgMar w:top="1440" w:right="126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6B"/>
      <w:sz w:val="22"/>
      <w:szCs w:val="2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2026-06-07T03:25:05.710Z</dcterms:created>
  <dcterms:modified xsi:type="dcterms:W3CDTF">2026-06-07T03:25:05.711Z</dcterms:modified>
</cp:coreProperties>
</file>

<file path=docProps/custom.xml><?xml version="1.0" encoding="utf-8"?>
<Properties xmlns="http://schemas.openxmlformats.org/officeDocument/2006/custom-properties" xmlns:vt="http://schemas.openxmlformats.org/officeDocument/2006/docPropsVTypes"/>
</file>