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80" w:before="240"/>
      </w:pPr>
      <w:r>
        <w:rPr>
          <w:rFonts w:ascii="Arial" w:cs="Arial" w:eastAsia="Arial" w:hAnsi="Arial"/>
          <w:color w:val="707070"/>
          <w:sz w:val="22"/>
          <w:szCs w:val="22"/>
        </w:rPr>
        <w:t xml:space="preserve">CHAPITRE 2</w:t>
      </w:r>
    </w:p>
    <w:p>
      <w:pPr>
        <w:pStyle w:val="Heading1"/>
        <w:pBdr>
          <w:bottom w:val="single" w:color="1B3A6B" w:sz="6" w:space="8"/>
        </w:pBdr>
        <w:spacing w:after="320" w:before="0"/>
      </w:pPr>
      <w:r>
        <w:rPr>
          <w:rFonts w:ascii="Arial" w:cs="Arial" w:eastAsia="Arial" w:hAnsi="Arial"/>
          <w:b/>
          <w:bCs/>
          <w:color w:val="1B3A6B"/>
          <w:sz w:val="36"/>
          <w:szCs w:val="36"/>
        </w:rPr>
        <w:t xml:space="preserve">État de l'art</w:t>
      </w:r>
    </w:p>
    <w:p>
      <w:pPr>
        <w:spacing w:after="0" w:before="160"/>
      </w:pPr>
      <w:r>
        <w:t xml:space="preserve"/>
      </w:r>
    </w:p>
    <w:p>
      <w:pPr>
        <w:spacing w:after="200" w:before="0" w:line="360"/>
        <w:ind w:firstLine="720"/>
        <w:jc w:val="both"/>
      </w:pPr>
      <w:r>
        <w:rPr>
          <w:rFonts w:ascii="Times New Roman" w:cs="Times New Roman" w:eastAsia="Times New Roman" w:hAnsi="Times New Roman"/>
          <w:color w:val="1A1A1A"/>
          <w:sz w:val="24"/>
          <w:szCs w:val="24"/>
        </w:rPr>
        <w:t xml:space="preserve">Avant de concevoir quoi que ce soit, il faut regarder ce qui existe déjà. Cela semble évident — et pourtant, c'est une étape souvent bâclée dans les projets techniques, remplacée par une revue superficielle qui cite des noms d'outils sans vraiment analyser leurs forces et leurs angles morts. Dans notre cas, cet exercice est d'autant plus important que notre positionnement repose sur un constat précis : les solutions existantes ne répondent pas correctement au contexte camerounais. Encore faut-il le démontrer.</w:t>
      </w:r>
    </w:p>
    <w:p>
      <w:pPr>
        <w:spacing w:after="200" w:before="0" w:line="360"/>
        <w:ind w:firstLine="720"/>
        <w:jc w:val="both"/>
      </w:pPr>
      <w:r>
        <w:rPr>
          <w:rFonts w:ascii="Times New Roman" w:cs="Times New Roman" w:eastAsia="Times New Roman" w:hAnsi="Times New Roman"/>
          <w:color w:val="1A1A1A"/>
          <w:sz w:val="24"/>
          <w:szCs w:val="24"/>
        </w:rPr>
        <w:t xml:space="preserve">Ce chapitre parcourt donc trois terrains. D'abord, la réalité des cybermenaces telles qu'elles se manifestent au Cameroun et en Afrique subsaharienne — avec leurs spécificités locales souvent ignorées par la littérature internationale. Ensuite, les approches par intelligence artificielle qui ont été proposées pour automatiser la détection du phishing et la gestion des vulnérabilités. Enfin, les outils techniques sur lesquels s'appuie ce projet, et pourquoi nous les avons choisis plutôt que d'autres.</w:t>
      </w:r>
    </w:p>
    <w:p>
      <w:pPr>
        <w:spacing w:after="0" w:before="80"/>
      </w:pPr>
      <w:r>
        <w:t xml:space="preserve"/>
      </w:r>
    </w:p>
    <w:p>
      <w:pPr>
        <w:pStyle w:val="Heading2"/>
        <w:spacing w:after="180" w:before="480"/>
      </w:pPr>
      <w:r>
        <w:rPr>
          <w:rFonts w:ascii="Arial" w:cs="Arial" w:eastAsia="Arial" w:hAnsi="Arial"/>
          <w:b/>
          <w:bCs/>
          <w:color w:val="1B3A6B"/>
          <w:sz w:val="28"/>
          <w:szCs w:val="28"/>
        </w:rPr>
        <w:t xml:space="preserve">2.1  Le paysage des cybermenaces au Cameroun</w:t>
      </w:r>
    </w:p>
    <w:p>
      <w:pPr>
        <w:pStyle w:val="Heading3"/>
        <w:spacing w:after="120" w:before="320"/>
      </w:pPr>
      <w:r>
        <w:rPr>
          <w:rFonts w:ascii="Arial" w:cs="Arial" w:eastAsia="Arial" w:hAnsi="Arial"/>
          <w:b/>
          <w:bCs/>
          <w:color w:val="4A4A4A"/>
          <w:sz w:val="25"/>
          <w:szCs w:val="25"/>
        </w:rPr>
        <w:t xml:space="preserve">2.1.1  Une croissance numérique qui précède la sécurité</w:t>
      </w:r>
    </w:p>
    <w:p>
      <w:pPr>
        <w:spacing w:after="200" w:before="0" w:line="360"/>
        <w:ind w:firstLine="720"/>
        <w:jc w:val="both"/>
      </w:pPr>
      <w:r>
        <w:rPr>
          <w:rFonts w:ascii="Times New Roman" w:cs="Times New Roman" w:eastAsia="Times New Roman" w:hAnsi="Times New Roman"/>
          <w:color w:val="1A1A1A"/>
          <w:sz w:val="24"/>
          <w:szCs w:val="24"/>
        </w:rPr>
        <w:t xml:space="preserve">Le Cameroun compte aujourd'hui plus de 14 millions d'abonnés à la téléphonie mobile, dont une fraction croissante utilise les services de paiement numérique. MTN Mobile Money a été introduit en 2012, Orange Money peu après. En une décennie, ces plateformes sont devenues l'épine dorsale des transactions quotidiennes pour une large partie de la population — particuliers, petits commerçants, tontines, transferts familiaux entre villes et villages.</w:t>
      </w:r>
    </w:p>
    <w:p>
      <w:pPr>
        <w:spacing w:after="200" w:before="0" w:line="360"/>
        <w:ind w:firstLine="720"/>
        <w:jc w:val="both"/>
      </w:pPr>
      <w:r>
        <w:rPr>
          <w:rFonts w:ascii="Times New Roman" w:cs="Times New Roman" w:eastAsia="Times New Roman" w:hAnsi="Times New Roman"/>
          <w:color w:val="1A1A1A"/>
          <w:sz w:val="24"/>
          <w:szCs w:val="24"/>
        </w:rPr>
        <w:t xml:space="preserve">Cette adoption rapide s'est faite dans un contexte où les mécanismes de protection n'ont pas suivi au même rythme. Le cadre réglementaire camerounais en matière de cybersécurité repose principalement sur la loi n°2010/012 du 21 décembre 2010 relative à la cybersécurité et à la cybercriminalité. Ce texte existe, mais son application reste inégale, et les capacités opérationnelles de répression des cybercrimes demeurent limitées.</w:t>
      </w:r>
    </w:p>
    <w:p>
      <w:pPr>
        <w:spacing w:after="200" w:before="0" w:line="360"/>
        <w:ind w:firstLine="720"/>
        <w:jc w:val="both"/>
      </w:pPr>
      <w:r>
        <w:rPr>
          <w:rFonts w:ascii="Times New Roman" w:cs="Times New Roman" w:eastAsia="Times New Roman" w:hAnsi="Times New Roman"/>
          <w:color w:val="1A1A1A"/>
          <w:sz w:val="24"/>
          <w:szCs w:val="24"/>
        </w:rPr>
        <w:t xml:space="preserve">Ce déséquilibre crée un terrain fertile. Les fraudeurs le savent, et ils l'exploitent avec une sophistication croissante. Ce n'est plus l'arnaque grossière avec des fautes d'orthographe flagrantes — les SMS frauduleux actuels imitent avec précision le format visuel des messages officiels MTN et Orange, reprennent les mêmes codes couleur dans les interfaces web clonées, et jouent sur l'urgence pour court-circuiter le jugement des victimes.</w:t>
      </w:r>
    </w:p>
    <w:p>
      <w:pPr>
        <w:pStyle w:val="Heading3"/>
        <w:spacing w:after="120" w:before="320"/>
      </w:pPr>
      <w:r>
        <w:rPr>
          <w:rFonts w:ascii="Arial" w:cs="Arial" w:eastAsia="Arial" w:hAnsi="Arial"/>
          <w:b/>
          <w:bCs/>
          <w:color w:val="4A4A4A"/>
          <w:sz w:val="25"/>
          <w:szCs w:val="25"/>
        </w:rPr>
        <w:t xml:space="preserve">2.1.2  Les vecteurs d'attaque dominants</w:t>
      </w:r>
    </w:p>
    <w:p>
      <w:pPr>
        <w:spacing w:after="80" w:before="240"/>
      </w:pPr>
      <w:r>
        <w:rPr>
          <w:rFonts w:ascii="Arial" w:cs="Arial" w:eastAsia="Arial" w:hAnsi="Arial"/>
          <w:b/>
          <w:bCs/>
          <w:i/>
          <w:iCs/>
          <w:color w:val="1A1A1A"/>
          <w:sz w:val="23"/>
          <w:szCs w:val="23"/>
        </w:rPr>
        <w:t xml:space="preserve">a) Le smishing ciblé Mobile Money</w:t>
      </w:r>
    </w:p>
    <w:p>
      <w:pPr>
        <w:spacing w:after="200" w:before="0" w:line="360"/>
        <w:ind w:firstLine="720"/>
        <w:jc w:val="both"/>
      </w:pPr>
      <w:r>
        <w:rPr>
          <w:rFonts w:ascii="Times New Roman" w:cs="Times New Roman" w:eastAsia="Times New Roman" w:hAnsi="Times New Roman"/>
          <w:color w:val="1A1A1A"/>
          <w:sz w:val="24"/>
          <w:szCs w:val="24"/>
        </w:rPr>
        <w:t xml:space="preserve">Le terme « smishing » désigne le phishing par SMS. Dans le contexte camerounais, il a pris une forme très spécifique liée aux plateformes de paiement mobile. Les messages frauduleux se présentent typiquement sous deux formes : soit un faux crédit de compte (« Vous venez de recevoir 50 000 FCFA, cliquez ici pour valider »), soit une alerte de sécurité fictive (« Votre compte MoMo sera suspendu dans 24h, confirmez votre identité »). Dans les deux cas, l'objectif est identique : obtenir le code PIN ou rediriger la victime vers un site frauduleux.</w:t>
      </w:r>
    </w:p>
    <w:p>
      <w:pPr>
        <w:spacing w:after="200" w:before="0" w:line="360"/>
        <w:ind w:firstLine="720"/>
        <w:jc w:val="both"/>
      </w:pPr>
      <w:r>
        <w:rPr>
          <w:rFonts w:ascii="Times New Roman" w:cs="Times New Roman" w:eastAsia="Times New Roman" w:hAnsi="Times New Roman"/>
          <w:color w:val="1A1A1A"/>
          <w:sz w:val="24"/>
          <w:szCs w:val="24"/>
        </w:rPr>
        <w:t xml:space="preserve">Ce qui rend ces attaques particulièrement efficaces, c'est leur adaptation au registre local. Les attaquants connaissent les montants crédibles, les formules utilisées par les opérateurs, et même les périodes favorables — les envois de fonds augmentent à certaines périodes (rentrée scolaire, fêtes religieuses) et les fraudeurs concentrent leurs campagnes sur ces fenêtres.</w:t>
      </w:r>
    </w:p>
    <w:p>
      <w:pPr>
        <w:spacing w:after="80" w:before="240"/>
      </w:pPr>
      <w:r>
        <w:rPr>
          <w:rFonts w:ascii="Arial" w:cs="Arial" w:eastAsia="Arial" w:hAnsi="Arial"/>
          <w:b/>
          <w:bCs/>
          <w:i/>
          <w:iCs/>
          <w:color w:val="1A1A1A"/>
          <w:sz w:val="23"/>
          <w:szCs w:val="23"/>
        </w:rPr>
        <w:t xml:space="preserve">b) Le phishing sur les services d'e-administration</w:t>
      </w:r>
    </w:p>
    <w:p>
      <w:pPr>
        <w:spacing w:after="200" w:before="0" w:line="360"/>
        <w:ind w:firstLine="720"/>
        <w:jc w:val="both"/>
      </w:pPr>
      <w:r>
        <w:rPr>
          <w:rFonts w:ascii="Times New Roman" w:cs="Times New Roman" w:eastAsia="Times New Roman" w:hAnsi="Times New Roman"/>
          <w:color w:val="1A1A1A"/>
          <w:sz w:val="24"/>
          <w:szCs w:val="24"/>
        </w:rPr>
        <w:t xml:space="preserve">Avec la dématérialisation progressive des services publics — plateforme des impôts en ligne, CAMTEL, services de la CNPS — de nouveaux vecteurs sont apparus. Des sites miroirs imitant les portails officiels ont été signalés, ciblant des agents publics ou des contribuables cherchant à effectuer des démarches en ligne. Ces attaques sont plus ciblées et supposent une connaissance plus fine de l'écosystème administratif camerounais.</w:t>
      </w:r>
    </w:p>
    <w:p>
      <w:pPr>
        <w:spacing w:after="80" w:before="240"/>
      </w:pPr>
      <w:r>
        <w:rPr>
          <w:rFonts w:ascii="Arial" w:cs="Arial" w:eastAsia="Arial" w:hAnsi="Arial"/>
          <w:b/>
          <w:bCs/>
          <w:i/>
          <w:iCs/>
          <w:color w:val="1A1A1A"/>
          <w:sz w:val="23"/>
          <w:szCs w:val="23"/>
        </w:rPr>
        <w:t xml:space="preserve">c) Les vulnérabilités des applications web locales</w:t>
      </w:r>
    </w:p>
    <w:p>
      <w:pPr>
        <w:spacing w:after="200" w:before="0" w:line="360"/>
        <w:ind w:firstLine="720"/>
        <w:jc w:val="both"/>
      </w:pPr>
      <w:r>
        <w:rPr>
          <w:rFonts w:ascii="Times New Roman" w:cs="Times New Roman" w:eastAsia="Times New Roman" w:hAnsi="Times New Roman"/>
          <w:color w:val="1A1A1A"/>
          <w:sz w:val="24"/>
          <w:szCs w:val="24"/>
        </w:rPr>
        <w:t xml:space="preserve">Du côté des vulnérabilités techniques, les audits informels et les rapports de chercheurs indépendants montrent que les applications web développées localement présentent souvent des failles classiques du Top 10 OWASP. Les injections SQL restent fréquentes, notamment dans des formulaires de connexion ou de recherche insuffisamment filtrés. Les failles XSS persistent dans des portails qui n'ont pas été conçus avec la sécurité comme contrainte de départ. Cela ne reflète pas un manque de compétences des développeurs locaux, mais plutôt des contraintes de temps et de budget qui relèguent la sécurité en bas de la liste des priorités.</w:t>
      </w:r>
    </w:p>
    <w:p>
      <w:pPr>
        <w:pStyle w:val="Heading3"/>
        <w:spacing w:after="120" w:before="320"/>
      </w:pPr>
      <w:r>
        <w:rPr>
          <w:rFonts w:ascii="Arial" w:cs="Arial" w:eastAsia="Arial" w:hAnsi="Arial"/>
          <w:b/>
          <w:bCs/>
          <w:color w:val="4A4A4A"/>
          <w:sz w:val="25"/>
          <w:szCs w:val="25"/>
        </w:rPr>
        <w:t xml:space="preserve">2.1.3  Ce que la littérature dit — et ce qu'elle ne dit pas</w:t>
      </w:r>
    </w:p>
    <w:p>
      <w:pPr>
        <w:spacing w:after="200" w:before="0" w:line="360"/>
        <w:ind w:firstLine="720"/>
        <w:jc w:val="both"/>
      </w:pPr>
      <w:r>
        <w:rPr>
          <w:rFonts w:ascii="Times New Roman" w:cs="Times New Roman" w:eastAsia="Times New Roman" w:hAnsi="Times New Roman"/>
          <w:color w:val="1A1A1A"/>
          <w:sz w:val="24"/>
          <w:szCs w:val="24"/>
        </w:rPr>
        <w:t xml:space="preserve">Les publications académiques sur la cybersécurité en Afrique subsaharienne existent, mais elles restent rares et souvent générales. Quelques travaux se sont penchés sur la fraude mobile en Afrique de l'Ouest, notamment autour des plateformes M-Pesa au Kenya. Les dynamiques observées sont comparables à ce qui se passe au Cameroun, mais les spécificités linguistiques et culturelles sont suffisamment différentes pour qu'une simple transposition ne suffise pas.</w:t>
      </w:r>
    </w:p>
    <w:p>
      <w:pPr>
        <w:spacing w:after="200" w:before="0" w:line="360"/>
        <w:ind w:firstLine="720"/>
        <w:jc w:val="both"/>
      </w:pPr>
      <w:r>
        <w:rPr>
          <w:rFonts w:ascii="Times New Roman" w:cs="Times New Roman" w:eastAsia="Times New Roman" w:hAnsi="Times New Roman"/>
          <w:color w:val="1A1A1A"/>
          <w:sz w:val="24"/>
          <w:szCs w:val="24"/>
        </w:rPr>
        <w:t xml:space="preserve">Sur le fond, on retiendra de cette littérature deux enseignements utiles. Premier enseignement : la détection du phishing par des règles fixes (listes noires d'URLs, filtres par mots-clés) montre ses limites face à des attaquants qui renouvellent constamment leurs domaines et leur vocabulaire. Second enseignement : les approches par apprentissage automatique donnent de bien meilleurs résultats — à condition que les données d'entraînement soient représentatives du contexte cible. C'est précisément là que le bât blesse pour notre cas.</w:t>
      </w:r>
    </w:p>
    <w:p>
      <w:pPr>
        <w:spacing w:after="0" w:before="80"/>
      </w:pPr>
      <w:r>
        <w:t xml:space="preserve"/>
      </w:r>
    </w:p>
    <w:p>
      <w:pPr>
        <w:pStyle w:val="Heading2"/>
        <w:spacing w:after="180" w:before="480"/>
      </w:pPr>
      <w:r>
        <w:rPr>
          <w:rFonts w:ascii="Arial" w:cs="Arial" w:eastAsia="Arial" w:hAnsi="Arial"/>
          <w:b/>
          <w:bCs/>
          <w:color w:val="1B3A6B"/>
          <w:sz w:val="28"/>
          <w:szCs w:val="28"/>
        </w:rPr>
        <w:t xml:space="preserve">2.2  L'intelligence artificielle appliquée à la cybersécurité</w:t>
      </w:r>
    </w:p>
    <w:p>
      <w:pPr>
        <w:pStyle w:val="Heading3"/>
        <w:spacing w:after="120" w:before="320"/>
      </w:pPr>
      <w:r>
        <w:rPr>
          <w:rFonts w:ascii="Arial" w:cs="Arial" w:eastAsia="Arial" w:hAnsi="Arial"/>
          <w:b/>
          <w:bCs/>
          <w:color w:val="4A4A4A"/>
          <w:sz w:val="25"/>
          <w:szCs w:val="25"/>
        </w:rPr>
        <w:t xml:space="preserve">2.2.1  La détection de phishing par NLP</w:t>
      </w:r>
    </w:p>
    <w:p>
      <w:pPr>
        <w:spacing w:after="80" w:before="240"/>
      </w:pPr>
      <w:r>
        <w:rPr>
          <w:rFonts w:ascii="Arial" w:cs="Arial" w:eastAsia="Arial" w:hAnsi="Arial"/>
          <w:b/>
          <w:bCs/>
          <w:i/>
          <w:iCs/>
          <w:color w:val="1A1A1A"/>
          <w:sz w:val="23"/>
          <w:szCs w:val="23"/>
        </w:rPr>
        <w:t xml:space="preserve">a) Des approches classiques aux transformeurs</w:t>
      </w:r>
    </w:p>
    <w:p>
      <w:pPr>
        <w:spacing w:after="200" w:before="0" w:line="360"/>
        <w:ind w:firstLine="720"/>
        <w:jc w:val="both"/>
      </w:pPr>
      <w:r>
        <w:rPr>
          <w:rFonts w:ascii="Times New Roman" w:cs="Times New Roman" w:eastAsia="Times New Roman" w:hAnsi="Times New Roman"/>
          <w:color w:val="1A1A1A"/>
          <w:sz w:val="24"/>
          <w:szCs w:val="24"/>
        </w:rPr>
        <w:t xml:space="preserve">La détection automatique de phishing par traitement du langage naturel a été un terrain de recherche actif depuis le milieu des années 2000. Les premières approches reposaient sur des caractéristiques extraites manuellement : longueur des URLs, présence de certains mots-clés, structure des noms de domaine. Ces méthodes ont bien fonctionné dans un premier temps, mais elles se sont révélées fragiles : les attaquants ont rapidement appris à contourner les règles les plus connues.</w:t>
      </w:r>
    </w:p>
    <w:p>
      <w:pPr>
        <w:spacing w:after="200" w:before="0" w:line="360"/>
        <w:ind w:firstLine="720"/>
        <w:jc w:val="both"/>
      </w:pPr>
      <w:r>
        <w:rPr>
          <w:rFonts w:ascii="Times New Roman" w:cs="Times New Roman" w:eastAsia="Times New Roman" w:hAnsi="Times New Roman"/>
          <w:color w:val="1A1A1A"/>
          <w:sz w:val="24"/>
          <w:szCs w:val="24"/>
        </w:rPr>
        <w:t xml:space="preserve">L'arrivée des modèles de représentation vectorielle des mots — Word2Vec, puis GloVe — a permis des gains significatifs en capturant la sémantique des textes plutôt que de simples occurrences de mots. TF-IDF, combiné à des classifieurs comme Random Forest ou SVM, est devenu pendant plusieurs années la solution de référence pour la classification de textes courts, avec des scores F1 régulièrement au-dessus de 0,85 sur les benchmarks standards.</w:t>
      </w:r>
    </w:p>
    <w:p>
      <w:pPr>
        <w:spacing w:after="200" w:before="0" w:line="360"/>
        <w:ind/>
        <w:jc w:val="both"/>
      </w:pPr>
      <w:r>
        <w:rPr>
          <w:rFonts w:ascii="Times New Roman" w:cs="Times New Roman" w:eastAsia="Times New Roman" w:hAnsi="Times New Roman"/>
          <w:b w:val="false"/>
          <w:bCs w:val="false"/>
          <w:i w:val="false"/>
          <w:iCs w:val="false"/>
          <w:color w:val="1A1A1A"/>
          <w:sz w:val="24"/>
          <w:szCs w:val="24"/>
        </w:rPr>
        <w:t xml:space="preserve">Puis sont arrivés les transformeurs. BERT (</w:t>
      </w:r>
      <w:r>
        <w:rPr>
          <w:rFonts w:ascii="Times New Roman" w:cs="Times New Roman" w:eastAsia="Times New Roman" w:hAnsi="Times New Roman"/>
          <w:b w:val="false"/>
          <w:bCs w:val="false"/>
          <w:i/>
          <w:iCs/>
          <w:color w:val="1A1A1A"/>
          <w:sz w:val="24"/>
          <w:szCs w:val="24"/>
        </w:rPr>
        <w:t xml:space="preserve">Bidirectional Encoder Representations from Transformers</w:t>
      </w:r>
      <w:r>
        <w:rPr>
          <w:rFonts w:ascii="Times New Roman" w:cs="Times New Roman" w:eastAsia="Times New Roman" w:hAnsi="Times New Roman"/>
          <w:b w:val="false"/>
          <w:bCs w:val="false"/>
          <w:i w:val="false"/>
          <w:iCs w:val="false"/>
          <w:color w:val="1A1A1A"/>
          <w:sz w:val="24"/>
          <w:szCs w:val="24"/>
        </w:rPr>
        <w:t xml:space="preserve">), publié par Google en 2018, a représenté un saut qualitatif important. Sa version multilingue — </w:t>
      </w:r>
      <w:r>
        <w:rPr>
          <w:rFonts w:ascii="Times New Roman" w:cs="Times New Roman" w:eastAsia="Times New Roman" w:hAnsi="Times New Roman"/>
          <w:b/>
          <w:bCs/>
          <w:i w:val="false"/>
          <w:iCs w:val="false"/>
          <w:color w:val="1A1A1A"/>
          <w:sz w:val="24"/>
          <w:szCs w:val="24"/>
        </w:rPr>
        <w:t xml:space="preserve">bert-base-multilingual-cased</w:t>
      </w:r>
      <w:r>
        <w:rPr>
          <w:rFonts w:ascii="Times New Roman" w:cs="Times New Roman" w:eastAsia="Times New Roman" w:hAnsi="Times New Roman"/>
          <w:b w:val="false"/>
          <w:bCs w:val="false"/>
          <w:i w:val="false"/>
          <w:iCs w:val="false"/>
          <w:color w:val="1A1A1A"/>
          <w:sz w:val="24"/>
          <w:szCs w:val="24"/>
        </w:rPr>
        <w:t xml:space="preserve"> — couvre 104 langues, dont le français et l'anglais, et a montré des résultats particulièrement solides sur des tâches de classification de textes dans des environnements multilingues. C'est sur ce modèle que s'appuie notre approche.</w:t>
      </w:r>
    </w:p>
    <w:p>
      <w:pPr>
        <w:spacing w:after="80" w:before="240"/>
      </w:pPr>
      <w:r>
        <w:rPr>
          <w:rFonts w:ascii="Arial" w:cs="Arial" w:eastAsia="Arial" w:hAnsi="Arial"/>
          <w:b/>
          <w:bCs/>
          <w:i/>
          <w:iCs/>
          <w:color w:val="1A1A1A"/>
          <w:sz w:val="23"/>
          <w:szCs w:val="23"/>
        </w:rPr>
        <w:t xml:space="preserve">b) La limite des corpus génériques</w:t>
      </w:r>
    </w:p>
    <w:p>
      <w:pPr>
        <w:spacing w:after="200" w:before="0" w:line="360"/>
        <w:ind w:firstLine="720"/>
        <w:jc w:val="both"/>
      </w:pPr>
      <w:r>
        <w:rPr>
          <w:rFonts w:ascii="Times New Roman" w:cs="Times New Roman" w:eastAsia="Times New Roman" w:hAnsi="Times New Roman"/>
          <w:color w:val="1A1A1A"/>
          <w:sz w:val="24"/>
          <w:szCs w:val="24"/>
        </w:rPr>
        <w:t xml:space="preserve">Un point revient systématiquement dans la littérature, et il mérite d'être souligné franchement : les performances des modèles chutent significativement quand on les applique à des données très différentes de celles sur lesquelles ils ont été entraînés. Un modèle entraîné sur des emails de phishing anglophones des années 2010 ne voit pas les mêmes patterns qu'un SMS camerounais de 2024 qui mélange français et anglais et fait référence à des produits financiers locaux.</w:t>
      </w:r>
    </w:p>
    <w:p>
      <w:pPr>
        <w:spacing w:after="200" w:before="0" w:line="360"/>
        <w:ind w:firstLine="720"/>
        <w:jc w:val="both"/>
      </w:pPr>
      <w:r>
        <w:rPr>
          <w:rFonts w:ascii="Times New Roman" w:cs="Times New Roman" w:eastAsia="Times New Roman" w:hAnsi="Times New Roman"/>
          <w:color w:val="1A1A1A"/>
          <w:sz w:val="24"/>
          <w:szCs w:val="24"/>
        </w:rPr>
        <w:t xml:space="preserve">Cela ne disqualifie pas les modèles pré-entraînés — cela signifie qu'ils doivent être fine-tunés sur des données représentatives. C'est l'une des raisons pour lesquelles la constitution d'un corpus camerounais est une composante à part entière de ce projet, et non un détail technique secondaire.</w:t>
      </w:r>
    </w:p>
    <w:p>
      <w:pPr>
        <w:pStyle w:val="Heading3"/>
        <w:spacing w:after="120" w:before="320"/>
      </w:pPr>
      <w:r>
        <w:rPr>
          <w:rFonts w:ascii="Arial" w:cs="Arial" w:eastAsia="Arial" w:hAnsi="Arial"/>
          <w:b/>
          <w:bCs/>
          <w:color w:val="4A4A4A"/>
          <w:sz w:val="25"/>
          <w:szCs w:val="25"/>
        </w:rPr>
        <w:t xml:space="preserve">2.2.2  La priorisation des vulnérabilités par apprentissage automatique</w:t>
      </w:r>
    </w:p>
    <w:p>
      <w:pPr>
        <w:spacing w:after="80" w:before="240"/>
      </w:pPr>
      <w:r>
        <w:rPr>
          <w:rFonts w:ascii="Arial" w:cs="Arial" w:eastAsia="Arial" w:hAnsi="Arial"/>
          <w:b/>
          <w:bCs/>
          <w:i/>
          <w:iCs/>
          <w:color w:val="1A1A1A"/>
          <w:sz w:val="23"/>
          <w:szCs w:val="23"/>
        </w:rPr>
        <w:t xml:space="preserve">a) Les limites du scoring CVSS</w:t>
      </w:r>
    </w:p>
    <w:p>
      <w:pPr>
        <w:spacing w:after="200" w:before="0" w:line="360"/>
        <w:ind w:firstLine="720"/>
        <w:jc w:val="both"/>
      </w:pPr>
      <w:r>
        <w:rPr>
          <w:rFonts w:ascii="Times New Roman" w:cs="Times New Roman" w:eastAsia="Times New Roman" w:hAnsi="Times New Roman"/>
          <w:color w:val="1A1A1A"/>
          <w:sz w:val="24"/>
          <w:szCs w:val="24"/>
        </w:rPr>
        <w:t xml:space="preserve">Le Common Vulnerability Scoring System est l'outil de référence mondial pour évaluer la gravité d'une vulnérabilité. Il produit un score entre 0 et 10 à partir de critères standardisés : vecteur d'attaque, complexité, privilèges requis, impact sur la confidentialité, l'intégrité et la disponibilité.</w:t>
      </w:r>
    </w:p>
    <w:p>
      <w:pPr>
        <w:spacing w:after="200" w:before="0" w:line="360"/>
        <w:ind w:firstLine="720"/>
        <w:jc w:val="both"/>
      </w:pPr>
      <w:r>
        <w:rPr>
          <w:rFonts w:ascii="Times New Roman" w:cs="Times New Roman" w:eastAsia="Times New Roman" w:hAnsi="Times New Roman"/>
          <w:color w:val="1A1A1A"/>
          <w:sz w:val="24"/>
          <w:szCs w:val="24"/>
        </w:rPr>
        <w:t xml:space="preserve">Ce système est utile. Mais il a une limite structurelle : il évalue la vulnérabilité dans l'absolu, sans tenir compte du contexte d'exposition d'un système particulier. Une faille critique selon CVSS peut être inoffensive si le service concerné n'est pas exposé sur le réseau, ou si un autre mécanisme de défense la neutralise. À l'inverse, une vulnérabilité de score modéré peut devenir prioritaire si elle concerne un service exposé publiquement sur une infrastructure sans autre couche de protection.</w:t>
      </w:r>
    </w:p>
    <w:p>
      <w:pPr>
        <w:spacing w:after="80" w:before="240"/>
      </w:pPr>
      <w:r>
        <w:rPr>
          <w:rFonts w:ascii="Arial" w:cs="Arial" w:eastAsia="Arial" w:hAnsi="Arial"/>
          <w:b/>
          <w:bCs/>
          <w:i/>
          <w:iCs/>
          <w:color w:val="1A1A1A"/>
          <w:sz w:val="23"/>
          <w:szCs w:val="23"/>
        </w:rPr>
        <w:t xml:space="preserve">b) L'apport du machine learning</w:t>
      </w:r>
    </w:p>
    <w:p>
      <w:pPr>
        <w:spacing w:after="200" w:before="0" w:line="360"/>
        <w:ind w:firstLine="720"/>
        <w:jc w:val="both"/>
      </w:pPr>
      <w:r>
        <w:rPr>
          <w:rFonts w:ascii="Times New Roman" w:cs="Times New Roman" w:eastAsia="Times New Roman" w:hAnsi="Times New Roman"/>
          <w:color w:val="1A1A1A"/>
          <w:sz w:val="24"/>
          <w:szCs w:val="24"/>
        </w:rPr>
        <w:t xml:space="preserve">Plusieurs travaux ont proposé d'enrichir ou de remplacer le scoring CVSS par des modèles d'apprentissage automatique qui intègrent des variables contextuelles. Les features typiquement utilisées incluent : le type de service exposé, le niveau d'exposition réseau (interne/externe), l'historique de patches, la présence d'exploits publics connus, et les dépendances avec d'autres composants critiques.</w:t>
      </w:r>
    </w:p>
    <w:p>
      <w:pPr>
        <w:spacing w:after="200" w:before="0" w:line="360"/>
        <w:ind w:firstLine="720"/>
        <w:jc w:val="both"/>
      </w:pPr>
      <w:r>
        <w:rPr>
          <w:rFonts w:ascii="Times New Roman" w:cs="Times New Roman" w:eastAsia="Times New Roman" w:hAnsi="Times New Roman"/>
          <w:color w:val="1A1A1A"/>
          <w:sz w:val="24"/>
          <w:szCs w:val="24"/>
        </w:rPr>
        <w:t xml:space="preserve">Random Forest et Gradient Boosting (dont XGBoost est l'implémentation la plus efficace en pratique) se sont imposés comme les architectures de référence pour ce type de tâche. Leur capacité à combiner de nombreuses variables hétérogènes, leur robustesse aux données manquantes, et leur interprétabilité relative — via l'analyse des features importantes — en font des choix adaptés à notre contexte.</w:t>
      </w:r>
    </w:p>
    <w:p>
      <w:pPr>
        <w:pStyle w:val="Heading3"/>
        <w:spacing w:after="120" w:before="320"/>
      </w:pPr>
      <w:r>
        <w:rPr>
          <w:rFonts w:ascii="Arial" w:cs="Arial" w:eastAsia="Arial" w:hAnsi="Arial"/>
          <w:b/>
          <w:bCs/>
          <w:color w:val="4A4A4A"/>
          <w:sz w:val="25"/>
          <w:szCs w:val="25"/>
        </w:rPr>
        <w:t xml:space="preserve">2.2.3  La corrélation de menaces : un domaine encore peu exploré</w:t>
      </w:r>
    </w:p>
    <w:p>
      <w:pPr>
        <w:spacing w:after="200" w:before="0" w:line="360"/>
        <w:ind w:firstLine="720"/>
        <w:jc w:val="both"/>
      </w:pPr>
      <w:r>
        <w:rPr>
          <w:rFonts w:ascii="Times New Roman" w:cs="Times New Roman" w:eastAsia="Times New Roman" w:hAnsi="Times New Roman"/>
          <w:color w:val="1A1A1A"/>
          <w:sz w:val="24"/>
          <w:szCs w:val="24"/>
        </w:rPr>
        <w:t xml:space="preserve">Si la détection de phishing et la gestion des vulnérabilités ont chacune une littérature fournie, leur corrélation automatique est un domaine nettement moins défriché. Les Security Information and Event Management (SIEM) commerciaux comme Splunk ou IBM QRadar intègrent des fonctions de corrélation, mais elles reposent sur des règles définies manuellement par des analystes expérimentés — ce qui suppose des équipes qualifiées et des budgets importants, deux ressources souvent rares dans les organisations camerounaises.</w:t>
      </w:r>
    </w:p>
    <w:p>
      <w:pPr>
        <w:spacing w:after="200" w:before="0" w:line="360"/>
        <w:ind w:firstLine="720"/>
        <w:jc w:val="both"/>
      </w:pPr>
      <w:r>
        <w:rPr>
          <w:rFonts w:ascii="Times New Roman" w:cs="Times New Roman" w:eastAsia="Times New Roman" w:hAnsi="Times New Roman"/>
          <w:color w:val="1A1A1A"/>
          <w:sz w:val="24"/>
          <w:szCs w:val="24"/>
        </w:rPr>
        <w:t xml:space="preserve">Quelques travaux académiques ont proposé des approches de corrélation automatisée basées sur des graphes de dépendances ou des modèles probabilistes. Ces approches sont intéressantes sur le plan conceptuel, mais elles ont rarement été testées dans des contextes à ressources limitées. Notre moteur de corrélation s'inspire de ces travaux tout en adoptant une logique plus pragmatique, basée sur des règles de matching entre indicateurs de compromission et vulnérabilités actives.</w:t>
      </w:r>
    </w:p>
    <w:p>
      <w:pPr>
        <w:spacing w:after="0" w:before="80"/>
      </w:pPr>
      <w:r>
        <w:t xml:space="preserve"/>
      </w:r>
    </w:p>
    <w:p>
      <w:pPr>
        <w:pStyle w:val="Heading2"/>
        <w:spacing w:after="180" w:before="480"/>
      </w:pPr>
      <w:r>
        <w:rPr>
          <w:rFonts w:ascii="Arial" w:cs="Arial" w:eastAsia="Arial" w:hAnsi="Arial"/>
          <w:b/>
          <w:bCs/>
          <w:color w:val="1B3A6B"/>
          <w:sz w:val="28"/>
          <w:szCs w:val="28"/>
        </w:rPr>
        <w:t xml:space="preserve">2.3  Les outils techniques du projet</w:t>
      </w:r>
    </w:p>
    <w:p>
      <w:pPr>
        <w:pStyle w:val="Heading3"/>
        <w:spacing w:after="120" w:before="320"/>
      </w:pPr>
      <w:r>
        <w:rPr>
          <w:rFonts w:ascii="Arial" w:cs="Arial" w:eastAsia="Arial" w:hAnsi="Arial"/>
          <w:b/>
          <w:bCs/>
          <w:color w:val="4A4A4A"/>
          <w:sz w:val="25"/>
          <w:szCs w:val="25"/>
        </w:rPr>
        <w:t xml:space="preserve">2.3.1  OWASP ZAP — scanner de vulnérabilités</w:t>
      </w:r>
    </w:p>
    <w:p>
      <w:pPr>
        <w:spacing w:after="200" w:before="0" w:line="360"/>
        <w:ind w:firstLine="720"/>
        <w:jc w:val="both"/>
      </w:pPr>
      <w:r>
        <w:rPr>
          <w:rFonts w:ascii="Times New Roman" w:cs="Times New Roman" w:eastAsia="Times New Roman" w:hAnsi="Times New Roman"/>
          <w:color w:val="1A1A1A"/>
          <w:sz w:val="24"/>
          <w:szCs w:val="24"/>
        </w:rPr>
        <w:t xml:space="preserve">OWASP ZAP (Zed Attack Proxy) est un outil open source de test de sécurité des applications web, maintenu par la fondation OWASP. C'est l'un des outils de référence dans la communauté de la sécurité offensive, utilisé aussi bien par des professionnels que dans des contextes académiques.</w:t>
      </w:r>
    </w:p>
    <w:p>
      <w:pPr>
        <w:spacing w:after="200" w:before="0" w:line="360"/>
        <w:ind w:firstLine="720"/>
        <w:jc w:val="both"/>
      </w:pPr>
      <w:r>
        <w:rPr>
          <w:rFonts w:ascii="Times New Roman" w:cs="Times New Roman" w:eastAsia="Times New Roman" w:hAnsi="Times New Roman"/>
          <w:color w:val="1A1A1A"/>
          <w:sz w:val="24"/>
          <w:szCs w:val="24"/>
        </w:rPr>
        <w:t xml:space="preserve">Son principal atout pour notre projet est son API REST, qui permet de contrôler l'outil de manière programmatique depuis Python et d'intégrer ses résultats directement dans notre pipeline de traitement. ZAP effectue à la fois une exploration passive du site (spider) et un scan actif qui tente d'exploiter les vulnérabilités détectées. Il couvre l'ensemble du Top 10 OWASP et produit des rapports structurés en JSON ou XML, facilement exploitables.</w:t>
      </w:r>
    </w:p>
    <w:p>
      <w:pPr>
        <w:spacing w:after="200" w:before="0" w:line="360"/>
        <w:ind w:firstLine="720"/>
        <w:jc w:val="both"/>
      </w:pPr>
      <w:r>
        <w:rPr>
          <w:rFonts w:ascii="Times New Roman" w:cs="Times New Roman" w:eastAsia="Times New Roman" w:hAnsi="Times New Roman"/>
          <w:color w:val="1A1A1A"/>
          <w:sz w:val="24"/>
          <w:szCs w:val="24"/>
        </w:rPr>
        <w:t xml:space="preserve">Nous l'avons préféré à Burp Suite — son concurrent principal — pour deux raisons pratiques : il est entièrement gratuit dans sa version communautaire, et son API Python est mieux documentée pour une intégration dans un pipeline automatisé.</w:t>
      </w:r>
    </w:p>
    <w:p>
      <w:pPr>
        <w:pStyle w:val="Heading3"/>
        <w:spacing w:after="120" w:before="320"/>
      </w:pPr>
      <w:r>
        <w:rPr>
          <w:rFonts w:ascii="Arial" w:cs="Arial" w:eastAsia="Arial" w:hAnsi="Arial"/>
          <w:b/>
          <w:bCs/>
          <w:color w:val="4A4A4A"/>
          <w:sz w:val="25"/>
          <w:szCs w:val="25"/>
        </w:rPr>
        <w:t xml:space="preserve">2.3.2  Hugging Face Transformers — BERT multilingue</w:t>
      </w:r>
    </w:p>
    <w:p>
      <w:pPr>
        <w:spacing w:after="200" w:before="0" w:line="360"/>
        <w:ind w:firstLine="720"/>
        <w:jc w:val="both"/>
      </w:pPr>
      <w:r>
        <w:rPr>
          <w:rFonts w:ascii="Times New Roman" w:cs="Times New Roman" w:eastAsia="Times New Roman" w:hAnsi="Times New Roman"/>
          <w:color w:val="1A1A1A"/>
          <w:sz w:val="24"/>
          <w:szCs w:val="24"/>
        </w:rPr>
        <w:t xml:space="preserve">La librairie Transformers de Hugging Face est devenue la référence pour le fine-tuning et le déploiement de modèles de langage pré-entraînés. Elle donne accès à des milliers de modèles, dont bert-base-multilingual-cased, qui nous intéresse particulièrement.</w:t>
      </w:r>
    </w:p>
    <w:p>
      <w:pPr>
        <w:spacing w:after="200" w:before="0" w:line="360"/>
        <w:ind w:firstLine="720"/>
        <w:jc w:val="both"/>
      </w:pPr>
      <w:r>
        <w:rPr>
          <w:rFonts w:ascii="Times New Roman" w:cs="Times New Roman" w:eastAsia="Times New Roman" w:hAnsi="Times New Roman"/>
          <w:color w:val="1A1A1A"/>
          <w:sz w:val="24"/>
          <w:szCs w:val="24"/>
        </w:rPr>
        <w:t xml:space="preserve">Ce modèle a été pré-entraîné sur des données Wikipedia en 104 langues, avec une tokenisation qui préserve la casse — ce qui est important pour la détection de phishing, où des patterns comme « URGENT », « PIN », « FCFA » en majuscules sont des signaux pertinents. Son fine-tuning sur notre corpus nécessite une puissance de calcul raisonnable : quelques heures sur GPU, ou une dizaine d'heures sur CPU — ce qui reste accessible dans notre contexte.</w:t>
      </w:r>
    </w:p>
    <w:p>
      <w:pPr>
        <w:pStyle w:val="Heading3"/>
        <w:spacing w:after="120" w:before="320"/>
      </w:pPr>
      <w:r>
        <w:rPr>
          <w:rFonts w:ascii="Arial" w:cs="Arial" w:eastAsia="Arial" w:hAnsi="Arial"/>
          <w:b/>
          <w:bCs/>
          <w:color w:val="4A4A4A"/>
          <w:sz w:val="25"/>
          <w:szCs w:val="25"/>
        </w:rPr>
        <w:t xml:space="preserve">2.3.3  Scikit-learn et XGBoost</w:t>
      </w:r>
    </w:p>
    <w:p>
      <w:pPr>
        <w:spacing w:after="200" w:before="0" w:line="360"/>
        <w:ind w:firstLine="720"/>
        <w:jc w:val="both"/>
      </w:pPr>
      <w:r>
        <w:rPr>
          <w:rFonts w:ascii="Times New Roman" w:cs="Times New Roman" w:eastAsia="Times New Roman" w:hAnsi="Times New Roman"/>
          <w:color w:val="1A1A1A"/>
          <w:sz w:val="24"/>
          <w:szCs w:val="24"/>
        </w:rPr>
        <w:t xml:space="preserve">Pour la classification et le scoring, scikit-learn offre une implémentation solide et bien documentée de Random Forest, ainsi que tous les outils nécessaires à l'évaluation (matrices de confusion, courbes ROC, validation croisée). XGBoost complète cet arsenal avec un algorithme de gradient boosting optimisé qui surpasse régulièrement Random Forest sur les tâches de classification tabulaire, au prix d'un temps d'entraînement légèrement plus long et d'hyperparamètres plus nombreux à régler.</w:t>
      </w:r>
    </w:p>
    <w:p>
      <w:pPr>
        <w:pStyle w:val="Heading3"/>
        <w:spacing w:after="120" w:before="320"/>
      </w:pPr>
      <w:r>
        <w:rPr>
          <w:rFonts w:ascii="Arial" w:cs="Arial" w:eastAsia="Arial" w:hAnsi="Arial"/>
          <w:b/>
          <w:bCs/>
          <w:color w:val="4A4A4A"/>
          <w:sz w:val="25"/>
          <w:szCs w:val="25"/>
        </w:rPr>
        <w:t xml:space="preserve">2.3.4  Flask, React et PostgreSQL — la couche applicative</w:t>
      </w:r>
    </w:p>
    <w:p>
      <w:pPr>
        <w:spacing w:after="200" w:before="0" w:line="360"/>
        <w:ind w:firstLine="720"/>
        <w:jc w:val="both"/>
      </w:pPr>
      <w:r>
        <w:rPr>
          <w:rFonts w:ascii="Times New Roman" w:cs="Times New Roman" w:eastAsia="Times New Roman" w:hAnsi="Times New Roman"/>
          <w:color w:val="1A1A1A"/>
          <w:sz w:val="24"/>
          <w:szCs w:val="24"/>
        </w:rPr>
        <w:t xml:space="preserve">Flask a été retenu comme framework backend pour sa légèreté et sa facilité d'intégration avec les modèles Python. Une API REST développée avec Flask expose les résultats des analyses sous forme de endpoints JSON, consommés par le frontend React.</w:t>
      </w:r>
    </w:p>
    <w:p>
      <w:pPr>
        <w:spacing w:after="200" w:before="0" w:line="360"/>
        <w:ind w:firstLine="720"/>
        <w:jc w:val="both"/>
      </w:pPr>
      <w:r>
        <w:rPr>
          <w:rFonts w:ascii="Times New Roman" w:cs="Times New Roman" w:eastAsia="Times New Roman" w:hAnsi="Times New Roman"/>
          <w:color w:val="1A1A1A"/>
          <w:sz w:val="24"/>
          <w:szCs w:val="24"/>
        </w:rPr>
        <w:t xml:space="preserve">React.js permet de construire une interface SOC réactive, avec des mises à jour en temps quasi-réel via des appels API périodiques. Chart.js gère les visualisations — histogrammes de vulnérabilités par criticité, timeline des alertes phishing, carte des corrélations. PostgreSQL stocke l'ensemble des données persistantes : résultats de scan, alertes, logs d'analyse, corpus annotés.</w:t>
      </w:r>
    </w:p>
    <w:p>
      <w:pPr>
        <w:spacing w:after="0" w:before="80"/>
      </w:pPr>
      <w:r>
        <w:t xml:space="preserve"/>
      </w:r>
    </w:p>
    <w:p>
      <w:pPr>
        <w:pStyle w:val="Heading2"/>
        <w:spacing w:after="180" w:before="480"/>
      </w:pPr>
      <w:r>
        <w:rPr>
          <w:rFonts w:ascii="Arial" w:cs="Arial" w:eastAsia="Arial" w:hAnsi="Arial"/>
          <w:b/>
          <w:bCs/>
          <w:color w:val="1B3A6B"/>
          <w:sz w:val="28"/>
          <w:szCs w:val="28"/>
        </w:rPr>
        <w:t xml:space="preserve">2.4  Positionnement par rapport aux solutions existantes</w:t>
      </w:r>
    </w:p>
    <w:p>
      <w:pPr>
        <w:spacing w:after="200" w:before="0" w:line="360"/>
        <w:ind w:firstLine="720"/>
        <w:jc w:val="both"/>
      </w:pPr>
      <w:r>
        <w:rPr>
          <w:rFonts w:ascii="Times New Roman" w:cs="Times New Roman" w:eastAsia="Times New Roman" w:hAnsi="Times New Roman"/>
          <w:color w:val="1A1A1A"/>
          <w:sz w:val="24"/>
          <w:szCs w:val="24"/>
        </w:rPr>
        <w:t xml:space="preserve">Le tableau suivant synthétise la comparaison entre notre système et les principales solutions disponibles, selon quatre critères qui nous semblent déterminants dans le contexte camerounais.</w:t>
      </w:r>
    </w:p>
    <w:p>
      <w:pPr>
        <w:spacing w:after="0" w:before="80"/>
      </w:pPr>
      <w:r>
        <w:t xml:space="preserve"/>
      </w:r>
    </w:p>
    <w:tbl>
      <w:tblPr>
        <w:tblW w:type="dxa" w:w="93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26"/>
      </w:tblGrid>
      <w:t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Solution</w:t>
            </w:r>
          </w:p>
        </w:tc>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Adaptation locale</w:t>
            </w:r>
          </w:p>
        </w:tc>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Corrélation menaces</w:t>
            </w:r>
          </w:p>
        </w:tc>
        <w:tc>
          <w:tcPr>
            <w:tcW w:type="dxa" w:w="2726"/>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Accessibilité coût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1A1A"/>
                <w:sz w:val="19"/>
                <w:szCs w:val="19"/>
              </w:rPr>
              <w:t xml:space="preserve">Notre système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Corpus CM + BERT multilingue fine-tuné</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Oui — moteur dédié</w:t>
            </w:r>
          </w:p>
        </w:tc>
        <w:tc>
          <w:tcPr>
            <w:tcW w:type="dxa" w:w="2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Open source complet</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left"/>
            </w:pPr>
            <w:r>
              <w:rPr>
                <w:rFonts w:ascii="Arial" w:cs="Arial" w:eastAsia="Arial" w:hAnsi="Arial"/>
                <w:b/>
                <w:bCs/>
                <w:color w:val="1A1A1A"/>
                <w:sz w:val="19"/>
                <w:szCs w:val="19"/>
              </w:rPr>
              <w:t xml:space="preserve">Splunk SIEM</w:t>
            </w:r>
          </w:p>
        </w:tc>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Non — généraliste</w:t>
            </w:r>
          </w:p>
        </w:tc>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Oui — règles manuelles</w:t>
            </w:r>
          </w:p>
        </w:tc>
        <w:tc>
          <w:tcPr>
            <w:tcW w:type="dxa" w:w="2726"/>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Très coûteux (licence)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1A1A"/>
                <w:sz w:val="19"/>
                <w:szCs w:val="19"/>
              </w:rPr>
              <w:t xml:space="preserve">IBM QRadar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Non — généraliste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Oui — avancée</w:t>
            </w:r>
          </w:p>
        </w:tc>
        <w:tc>
          <w:tcPr>
            <w:tcW w:type="dxa" w:w="2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Très coûteux (licence)</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left"/>
            </w:pPr>
            <w:r>
              <w:rPr>
                <w:rFonts w:ascii="Arial" w:cs="Arial" w:eastAsia="Arial" w:hAnsi="Arial"/>
                <w:b/>
                <w:bCs/>
                <w:color w:val="1A1A1A"/>
                <w:sz w:val="19"/>
                <w:szCs w:val="19"/>
              </w:rPr>
              <w:t xml:space="preserve">OSSIM (AlienVault)</w:t>
            </w:r>
          </w:p>
        </w:tc>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Partielle</w:t>
            </w:r>
          </w:p>
        </w:tc>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Oui — basique</w:t>
            </w:r>
          </w:p>
        </w:tc>
        <w:tc>
          <w:tcPr>
            <w:tcW w:type="dxa" w:w="2726"/>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Open source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1A1A"/>
                <w:sz w:val="19"/>
                <w:szCs w:val="19"/>
              </w:rPr>
              <w:t xml:space="preserve">Solutions Google/MS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Non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Partielle</w:t>
            </w:r>
          </w:p>
        </w:tc>
        <w:tc>
          <w:tcPr>
            <w:tcW w:type="dxa" w:w="2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Abonnement cloud</w:t>
            </w:r>
          </w:p>
        </w:tc>
      </w:tr>
    </w:tbl>
    <w:p>
      <w:pPr>
        <w:spacing w:after="0" w:before="160"/>
      </w:pPr>
      <w:r>
        <w:t xml:space="preserve"/>
      </w:r>
    </w:p>
    <w:p>
      <w:pPr>
        <w:spacing w:after="200" w:before="0" w:line="360"/>
        <w:ind w:firstLine="720"/>
        <w:jc w:val="both"/>
      </w:pPr>
      <w:r>
        <w:rPr>
          <w:rFonts w:ascii="Times New Roman" w:cs="Times New Roman" w:eastAsia="Times New Roman" w:hAnsi="Times New Roman"/>
          <w:color w:val="1A1A1A"/>
          <w:sz w:val="24"/>
          <w:szCs w:val="24"/>
        </w:rPr>
        <w:t xml:space="preserve">Ce tableau illustre un point simple : il existe des solutions de corrélation de menaces, mais elles sont soit inaccessibles financièrement pour la majorité des organisations camerounaises, soit non adaptées au contexte linguistique et aux vecteurs d'attaque locaux. Notre approche n'a pas vocation à rivaliser avec Splunk sur les fonctionnalités avancées — ce serait présomptueux. Elle cherche à occuper un créneau précis : un système open source, entraîné sur des données locales, déployable sur une infrastructure modeste, et qui traite les deux principales familles de menaces numériques auxquelles font face les organisations camerounaises.</w:t>
      </w:r>
    </w:p>
    <w:p>
      <w:pPr>
        <w:spacing w:after="0" w:before="80"/>
      </w:pPr>
      <w:r>
        <w:t xml:space="preserve"/>
      </w:r>
    </w:p>
    <w:p>
      <w:pPr>
        <w:pStyle w:val="Heading2"/>
        <w:spacing w:after="180" w:before="480"/>
      </w:pPr>
      <w:r>
        <w:rPr>
          <w:rFonts w:ascii="Arial" w:cs="Arial" w:eastAsia="Arial" w:hAnsi="Arial"/>
          <w:b/>
          <w:bCs/>
          <w:color w:val="1B3A6B"/>
          <w:sz w:val="28"/>
          <w:szCs w:val="28"/>
        </w:rPr>
        <w:t xml:space="preserve">2.5  Synthèse et enseignements pour notre projet</w:t>
      </w:r>
    </w:p>
    <w:p>
      <w:pPr>
        <w:spacing w:after="200" w:before="0" w:line="360"/>
        <w:ind w:firstLine="720"/>
        <w:jc w:val="both"/>
      </w:pPr>
      <w:r>
        <w:rPr>
          <w:rFonts w:ascii="Times New Roman" w:cs="Times New Roman" w:eastAsia="Times New Roman" w:hAnsi="Times New Roman"/>
          <w:color w:val="1A1A1A"/>
          <w:sz w:val="24"/>
          <w:szCs w:val="24"/>
        </w:rPr>
        <w:t xml:space="preserve">Trois enseignements principaux ressortent de cette revue de littérature et de cet état des outils.</w:t>
      </w:r>
    </w:p>
    <w:p>
      <w:pPr>
        <w:spacing w:after="200" w:before="0" w:line="360"/>
        <w:ind w:firstLine="720"/>
        <w:jc w:val="both"/>
      </w:pPr>
      <w:r>
        <w:rPr>
          <w:rFonts w:ascii="Times New Roman" w:cs="Times New Roman" w:eastAsia="Times New Roman" w:hAnsi="Times New Roman"/>
          <w:color w:val="1A1A1A"/>
          <w:sz w:val="24"/>
          <w:szCs w:val="24"/>
        </w:rPr>
        <w:t xml:space="preserve">Le premier concerne les données. Aucun corpus existant ne couvre les SMS de phishing Mobile Money en français camerounais. Nous devrons le construire — partiellement de façon synthétique, partiellement à partir de sources publiques adaptées. Ce n'est pas un contournement : c'est une contribution en soi.</w:t>
      </w:r>
    </w:p>
    <w:p>
      <w:pPr>
        <w:spacing w:after="200" w:before="0" w:line="360"/>
        <w:ind w:firstLine="720"/>
        <w:jc w:val="both"/>
      </w:pPr>
      <w:r>
        <w:rPr>
          <w:rFonts w:ascii="Times New Roman" w:cs="Times New Roman" w:eastAsia="Times New Roman" w:hAnsi="Times New Roman"/>
          <w:color w:val="1A1A1A"/>
          <w:sz w:val="24"/>
          <w:szCs w:val="24"/>
        </w:rPr>
        <w:t xml:space="preserve">Le deuxième concerne l'architecture. La combinaison d'un moteur de scan réseau et d'un moteur NLP dans un même système unifié n'est pas une approche standard dans la littérature académique. Elle est pourtant logiquement justifiée par la réalité des attaques composites, où phishing et exploitation de vulnérabilités s'alimentent mutuellement.</w:t>
      </w:r>
    </w:p>
    <w:p>
      <w:pPr>
        <w:spacing w:after="200" w:before="0" w:line="360"/>
        <w:ind w:firstLine="720"/>
        <w:jc w:val="both"/>
      </w:pPr>
      <w:r>
        <w:rPr>
          <w:rFonts w:ascii="Times New Roman" w:cs="Times New Roman" w:eastAsia="Times New Roman" w:hAnsi="Times New Roman"/>
          <w:color w:val="1A1A1A"/>
          <w:sz w:val="24"/>
          <w:szCs w:val="24"/>
        </w:rPr>
        <w:t xml:space="preserve">Le troisième est plus général. Les outils existent, ils sont matures, et leur documentation est solide. La difficulté de ce projet n'est pas technologique au sens strict — elle est dans l'adaptation, l'assemblage, et la validation dans un contexte spécifique. C'est précisément ce type de défi qui justifie un projet de recherche appliquée dans un master.</w:t>
      </w:r>
    </w:p>
    <w:p>
      <w:pPr>
        <w:spacing w:after="0" w:before="200"/>
      </w:pPr>
      <w:r>
        <w:t xml:space="preserve"/>
      </w:r>
    </w:p>
    <w:p>
      <w:pPr>
        <w:pBdr>
          <w:top w:val="single" w:color="CCCCCC" w:sz="2" w:space="8"/>
        </w:pBdr>
        <w:spacing w:after="0" w:before="480"/>
        <w:jc w:val="center"/>
      </w:pPr>
      <w:r>
        <w:rPr>
          <w:rFonts w:ascii="Arial" w:cs="Arial" w:eastAsia="Arial" w:hAnsi="Arial"/>
          <w:i/>
          <w:iCs/>
          <w:color w:val="707070"/>
          <w:sz w:val="20"/>
          <w:szCs w:val="20"/>
        </w:rPr>
        <w:t xml:space="preserve">— Fin du Chapitre 2 —</w:t>
      </w:r>
    </w:p>
    <w:sectPr>
      <w:footerReference w:type="default" r:id="rId7"/>
      <w:pgSz w:w="11906" w:h="16838" w:orient="portrait"/>
      <w:pgMar w:top="1440" w:right="1260" w:bottom="144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07070"/>
        <w:sz w:val="18"/>
        <w:szCs w:val="18"/>
      </w:rPr>
      <w:t xml:space="preserve">Projet tutoré — IA &amp; Cybersécurité au Cameroun   |   </w:t>
    </w:r>
    <w:r>
      <w:rPr>
        <w:rFonts w:ascii="Arial" w:cs="Arial" w:eastAsia="Arial" w:hAnsi="Arial"/>
        <w:color w:val="70707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B3A6B"/>
      <w:sz w:val="36"/>
      <w:szCs w:val="36"/>
    </w:rPr>
  </w:style>
  <w:style w:type="paragraph" w:styleId="Heading2">
    <w:name w:val="Heading 2"/>
    <w:basedOn w:val="Normal"/>
    <w:next w:val="Normal"/>
    <w:qFormat/>
    <w:pPr>
      <w:spacing w:after="180" w:before="480"/>
      <w:outlineLvl w:val="1"/>
    </w:pPr>
    <w:rPr>
      <w:rFonts w:ascii="Arial" w:cs="Arial" w:eastAsia="Arial" w:hAnsi="Arial"/>
      <w:b/>
      <w:bCs/>
      <w:color w:val="1B3A6B"/>
      <w:sz w:val="28"/>
      <w:szCs w:val="28"/>
    </w:rPr>
  </w:style>
  <w:style w:type="paragraph" w:styleId="Heading3">
    <w:name w:val="Heading 3"/>
    <w:basedOn w:val="Normal"/>
    <w:next w:val="Normal"/>
    <w:qFormat/>
    <w:pPr>
      <w:spacing w:after="120" w:before="320"/>
      <w:outlineLvl w:val="2"/>
    </w:pPr>
    <w:rPr>
      <w:rFonts w:ascii="Arial" w:cs="Arial" w:eastAsia="Arial" w:hAnsi="Arial"/>
      <w:b/>
      <w:bCs/>
      <w:color w:val="4A4A4A"/>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2026-06-06T13:06:11.103Z</dcterms:created>
  <dcterms:modified xsi:type="dcterms:W3CDTF">2026-06-06T13:06:11.115Z</dcterms:modified>
</cp:coreProperties>
</file>

<file path=docProps/custom.xml><?xml version="1.0" encoding="utf-8"?>
<Properties xmlns="http://schemas.openxmlformats.org/officeDocument/2006/custom-properties" xmlns:vt="http://schemas.openxmlformats.org/officeDocument/2006/docPropsVTypes"/>
</file>