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240"/>
      </w:pPr>
      <w:r>
        <w:rPr>
          <w:rFonts w:ascii="Arial" w:cs="Arial" w:eastAsia="Arial" w:hAnsi="Arial"/>
          <w:color w:val="707070"/>
          <w:sz w:val="22"/>
          <w:szCs w:val="22"/>
        </w:rPr>
        <w:t xml:space="preserve">CHAPITRE 3</w:t>
      </w:r>
    </w:p>
    <w:p>
      <w:pPr>
        <w:pStyle w:val="Heading1"/>
        <w:pBdr>
          <w:bottom w:val="single" w:color="1B3A6B" w:sz="6" w:space="8"/>
        </w:pBdr>
        <w:spacing w:after="320" w:before="0"/>
      </w:pPr>
      <w:r>
        <w:rPr>
          <w:rFonts w:ascii="Arial" w:cs="Arial" w:eastAsia="Arial" w:hAnsi="Arial"/>
          <w:b/>
          <w:bCs/>
          <w:color w:val="1B3A6B"/>
          <w:sz w:val="36"/>
          <w:szCs w:val="36"/>
        </w:rPr>
        <w:t xml:space="preserve">Cahier des charges technique</w:t>
      </w:r>
    </w:p>
    <w:p>
      <w:pPr>
        <w:spacing w:after="0" w:before="16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Un cahier des charges, c'est un contrat avec soi-même. Il fixe ce qu'on s'engage à livrer, dans quelles conditions, et avec quels critères pour juger si c'est réussi. Ce chapitre formalise ces engagements pour notre système, en distinguant les exigences fonctionnelles — ce que le système doit faire — des exigences non fonctionnelles — comment il doit le faire. Il documente également les choix technologiques et les sources de données retenues, avec leur justification.</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3.1  Présentation générale du système</w:t>
      </w:r>
    </w:p>
    <w:p>
      <w:pPr>
        <w:pStyle w:val="Heading3"/>
        <w:spacing w:after="120" w:before="320"/>
      </w:pPr>
      <w:r>
        <w:rPr>
          <w:rFonts w:ascii="Arial" w:cs="Arial" w:eastAsia="Arial" w:hAnsi="Arial"/>
          <w:b/>
          <w:bCs/>
          <w:color w:val="4A4A4A"/>
          <w:sz w:val="25"/>
          <w:szCs w:val="25"/>
        </w:rPr>
        <w:t xml:space="preserve">3.1.1  Vision du produit</w:t>
      </w:r>
    </w:p>
    <w:p>
      <w:pPr>
        <w:spacing w:after="200" w:before="0" w:line="360"/>
        <w:ind w:firstLine="720"/>
        <w:jc w:val="both"/>
      </w:pPr>
      <w:r>
        <w:rPr>
          <w:rFonts w:ascii="Times New Roman" w:cs="Times New Roman" w:eastAsia="Times New Roman" w:hAnsi="Times New Roman"/>
          <w:color w:val="1A1A1A"/>
          <w:sz w:val="24"/>
          <w:szCs w:val="24"/>
        </w:rPr>
        <w:t xml:space="preserve">Le système que nous construisons est un outil d'aide à la décision pour les équipes chargées de la sécurité informatique dans les organisations camerounaises. Il ne remplace pas un analyste — aucun outil ne le peut. Il vise à automatiser les tâches répétitives et chronophages : lancer des scans, trier les alertes par criticité, détecter les SMS suspects entrants, croiser les informations de plusieurs sources. Ce faisant, il libère du temps pour ce qui requiert un jugement humain : valider une alerte, décider d'un patch, escalader un incident.</w:t>
      </w:r>
    </w:p>
    <w:p>
      <w:pPr>
        <w:spacing w:after="200" w:before="0" w:line="360"/>
        <w:ind w:firstLine="720"/>
        <w:jc w:val="both"/>
      </w:pPr>
      <w:r>
        <w:rPr>
          <w:rFonts w:ascii="Times New Roman" w:cs="Times New Roman" w:eastAsia="Times New Roman" w:hAnsi="Times New Roman"/>
          <w:color w:val="1A1A1A"/>
          <w:sz w:val="24"/>
          <w:szCs w:val="24"/>
        </w:rPr>
        <w:t xml:space="preserve">L'utilisateur cible principal est un technicien ou ingénieur sécurité avec une formation de niveau master, disposant d'une infrastructure réseau à surveiller et confronté quotidiennement à des tentatives de phishing ciblant ses utilisateurs. Le système doit fonctionner dans un contexte de ressources modestes : pas de datacenter dédié, pas d'équipe SOC de vingt personnes. Un serveur, un navigateur, et une connexion réseau suffisent.</w:t>
      </w:r>
    </w:p>
    <w:p>
      <w:pPr>
        <w:pStyle w:val="Heading3"/>
        <w:spacing w:after="120" w:before="320"/>
      </w:pPr>
      <w:r>
        <w:rPr>
          <w:rFonts w:ascii="Arial" w:cs="Arial" w:eastAsia="Arial" w:hAnsi="Arial"/>
          <w:b/>
          <w:bCs/>
          <w:color w:val="4A4A4A"/>
          <w:sz w:val="25"/>
          <w:szCs w:val="25"/>
        </w:rPr>
        <w:t xml:space="preserve">3.1.2  Architecture en cinq blocs fonctionnels</w:t>
      </w:r>
    </w:p>
    <w:p>
      <w:pPr>
        <w:spacing w:after="200" w:before="0" w:line="360"/>
        <w:ind w:firstLine="720"/>
        <w:jc w:val="both"/>
      </w:pPr>
      <w:r>
        <w:rPr>
          <w:rFonts w:ascii="Times New Roman" w:cs="Times New Roman" w:eastAsia="Times New Roman" w:hAnsi="Times New Roman"/>
          <w:color w:val="1A1A1A"/>
          <w:sz w:val="24"/>
          <w:szCs w:val="24"/>
        </w:rPr>
        <w:t xml:space="preserve">Le système est structuré en cinq blocs fonctionnels distincts, chacun ayant une responsabilité précise et des interfaces définies avec les autres :</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Bloc 1 — Scan de vulnérabilités</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Bloc 2 — Collecte et prétraitement des données phishing</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Bloc 3 — Moteur d'intelligence artificielle (NLP + ML)</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Bloc 4 — Moteur de corrélation des menaces</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Bloc 5 — Dashboard SOC et API REST</w:t>
      </w:r>
    </w:p>
    <w:p>
      <w:pPr>
        <w:spacing w:after="0" w:before="6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Cette architecture modulaire n'est pas une contrainte arbitraire — elle permet à chaque équipe de travailler en parallèle sur son bloc sans bloquer les autres, à condition que les interfaces entre blocs soient clairement définies dès le départ. C'est l'objet de la section sur les exigences d'intégration.</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3.2  Exigences fonctionnelles</w:t>
      </w:r>
    </w:p>
    <w:p>
      <w:pPr>
        <w:spacing w:after="200" w:before="0" w:line="360"/>
        <w:ind w:firstLine="720"/>
        <w:jc w:val="both"/>
      </w:pPr>
      <w:r>
        <w:rPr>
          <w:rFonts w:ascii="Times New Roman" w:cs="Times New Roman" w:eastAsia="Times New Roman" w:hAnsi="Times New Roman"/>
          <w:color w:val="1A1A1A"/>
          <w:sz w:val="24"/>
          <w:szCs w:val="24"/>
        </w:rPr>
        <w:t xml:space="preserve">Les exigences fonctionnelles sont classées selon la méthode MoSCoW : Must Have (indispensable), Should Have (fortement souhaitable), Nice to Have (optionnel si le temps le permet). Cette classification traduit une réalité de projet : tout ne peut pas être livré au même niveau de priorité, et clarifier ces choix en amont évite des discussions improductives en fin de sprint.</w:t>
      </w:r>
    </w:p>
    <w:p>
      <w:pPr>
        <w:spacing w:after="0" w:before="80"/>
      </w:pPr>
      <w:r>
        <w:t xml:space="preserve"/>
      </w:r>
    </w:p>
    <w:p>
      <w:pPr>
        <w:pStyle w:val="Heading3"/>
        <w:spacing w:after="120" w:before="320"/>
      </w:pPr>
      <w:r>
        <w:rPr>
          <w:rFonts w:ascii="Arial" w:cs="Arial" w:eastAsia="Arial" w:hAnsi="Arial"/>
          <w:b/>
          <w:bCs/>
          <w:color w:val="4A4A4A"/>
          <w:sz w:val="25"/>
          <w:szCs w:val="25"/>
        </w:rPr>
        <w:t xml:space="preserve">3.2.1  Must Have — ce qui doit absolument fonctionner</w:t>
      </w:r>
    </w:p>
    <w:p>
      <w:pPr>
        <w:spacing w:after="0" w:before="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600"/>
        <w:gridCol w:w="14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c>
          <w:tcPr>
            <w:tcW w:type="dxa" w:w="1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Équipe</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Lancer un scan automatique OWASP ZAP sur une URL cible et récupérer la liste des vulnérabilités détectées en format JSON structuré.</w:t>
            </w:r>
          </w:p>
        </w:tc>
        <w:tc>
          <w:tcPr>
            <w:tcW w:type="dxa" w:w="1600"/>
            <w:tcBorders>
              <w:top w:val="single" w:color="CCCCCC" w:sz="1"/>
              <w:left w:val="single" w:color="CCCCCC" w:sz="1"/>
              <w:bottom w:val="single" w:color="CCCCCC" w:sz="1"/>
              <w:right w:val="single" w:color="CCCCCC" w:sz="1"/>
            </w:tcBorders>
            <w:shd w:fill="E6F4EE" w:val="clear"/>
            <w:tcMar>
              <w:top w:type="dxa" w:w="80"/>
              <w:left w:type="dxa" w:w="120"/>
              <w:bottom w:type="dxa" w:w="80"/>
              <w:right w:type="dxa" w:w="120"/>
            </w:tcMar>
          </w:tcPr>
          <w:p>
            <w:pPr>
              <w:jc w:val="center"/>
            </w:pPr>
            <w:r>
              <w:rPr>
                <w:rFonts w:ascii="Arial" w:cs="Arial" w:eastAsia="Arial" w:hAnsi="Arial"/>
                <w:b/>
                <w:bCs/>
                <w:color w:val="0F5132"/>
                <w:sz w:val="19"/>
                <w:szCs w:val="19"/>
              </w:rPr>
              <w:t xml:space="preserve">Must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Cybersécurité</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F-02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Classifier chaque vulnérabilité selon le Top 10 OWASP et l'enrichir avec le score CVSS correspondant depuis la base NVD.</w:t>
            </w:r>
          </w:p>
        </w:tc>
        <w:tc>
          <w:tcPr>
            <w:tcW w:type="dxa" w:w="1600"/>
            <w:tcBorders>
              <w:top w:val="single" w:color="CCCCCC" w:sz="1"/>
              <w:left w:val="single" w:color="CCCCCC" w:sz="1"/>
              <w:bottom w:val="single" w:color="CCCCCC" w:sz="1"/>
              <w:right w:val="single" w:color="CCCCCC" w:sz="1"/>
            </w:tcBorders>
            <w:shd w:fill="E6F4EE" w:val="clear"/>
            <w:tcMar>
              <w:top w:type="dxa" w:w="80"/>
              <w:left w:type="dxa" w:w="120"/>
              <w:bottom w:type="dxa" w:w="80"/>
              <w:right w:type="dxa" w:w="120"/>
            </w:tcMar>
          </w:tcPr>
          <w:p>
            <w:pPr>
              <w:jc w:val="center"/>
            </w:pPr>
            <w:r>
              <w:rPr>
                <w:rFonts w:ascii="Arial" w:cs="Arial" w:eastAsia="Arial" w:hAnsi="Arial"/>
                <w:b/>
                <w:bCs/>
                <w:color w:val="0F5132"/>
                <w:sz w:val="19"/>
                <w:szCs w:val="19"/>
              </w:rPr>
              <w:t xml:space="preserve">Must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Cybersécurité</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Analyser un texte (SMS ou email) et retourner une probabilité de phishing accompagnée de la classe prédite (phishing / légitime).</w:t>
            </w:r>
          </w:p>
        </w:tc>
        <w:tc>
          <w:tcPr>
            <w:tcW w:type="dxa" w:w="1600"/>
            <w:tcBorders>
              <w:top w:val="single" w:color="CCCCCC" w:sz="1"/>
              <w:left w:val="single" w:color="CCCCCC" w:sz="1"/>
              <w:bottom w:val="single" w:color="CCCCCC" w:sz="1"/>
              <w:right w:val="single" w:color="CCCCCC" w:sz="1"/>
            </w:tcBorders>
            <w:shd w:fill="E6F4EE" w:val="clear"/>
            <w:tcMar>
              <w:top w:type="dxa" w:w="80"/>
              <w:left w:type="dxa" w:w="120"/>
              <w:bottom w:type="dxa" w:w="80"/>
              <w:right w:type="dxa" w:w="120"/>
            </w:tcMar>
          </w:tcPr>
          <w:p>
            <w:pPr>
              <w:jc w:val="center"/>
            </w:pPr>
            <w:r>
              <w:rPr>
                <w:rFonts w:ascii="Arial" w:cs="Arial" w:eastAsia="Arial" w:hAnsi="Arial"/>
                <w:b/>
                <w:bCs/>
                <w:color w:val="0F5132"/>
                <w:sz w:val="19"/>
                <w:szCs w:val="19"/>
              </w:rPr>
              <w:t xml:space="preserve">Must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IA</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F-04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Calculer un score de risque contextuel pour chaque vulnérabilité détectée, tenant compte de l'exposition réseau en plus du CVSS.</w:t>
            </w:r>
          </w:p>
        </w:tc>
        <w:tc>
          <w:tcPr>
            <w:tcW w:type="dxa" w:w="1600"/>
            <w:tcBorders>
              <w:top w:val="single" w:color="CCCCCC" w:sz="1"/>
              <w:left w:val="single" w:color="CCCCCC" w:sz="1"/>
              <w:bottom w:val="single" w:color="CCCCCC" w:sz="1"/>
              <w:right w:val="single" w:color="CCCCCC" w:sz="1"/>
            </w:tcBorders>
            <w:shd w:fill="E6F4EE" w:val="clear"/>
            <w:tcMar>
              <w:top w:type="dxa" w:w="80"/>
              <w:left w:type="dxa" w:w="120"/>
              <w:bottom w:type="dxa" w:w="80"/>
              <w:right w:type="dxa" w:w="120"/>
            </w:tcMar>
          </w:tcPr>
          <w:p>
            <w:pPr>
              <w:jc w:val="center"/>
            </w:pPr>
            <w:r>
              <w:rPr>
                <w:rFonts w:ascii="Arial" w:cs="Arial" w:eastAsia="Arial" w:hAnsi="Arial"/>
                <w:b/>
                <w:bCs/>
                <w:color w:val="0F5132"/>
                <w:sz w:val="19"/>
                <w:szCs w:val="19"/>
              </w:rPr>
              <w:t xml:space="preserve">Must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IA</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F-05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Corréler automatiquement les vulnérabilités actives avec les indicateurs de phishing détectés et générer une alerte composite lorsqu'un lien est établi.</w:t>
            </w:r>
          </w:p>
        </w:tc>
        <w:tc>
          <w:tcPr>
            <w:tcW w:type="dxa" w:w="1600"/>
            <w:tcBorders>
              <w:top w:val="single" w:color="CCCCCC" w:sz="1"/>
              <w:left w:val="single" w:color="CCCCCC" w:sz="1"/>
              <w:bottom w:val="single" w:color="CCCCCC" w:sz="1"/>
              <w:right w:val="single" w:color="CCCCCC" w:sz="1"/>
            </w:tcBorders>
            <w:shd w:fill="E6F4EE" w:val="clear"/>
            <w:tcMar>
              <w:top w:type="dxa" w:w="80"/>
              <w:left w:type="dxa" w:w="120"/>
              <w:bottom w:type="dxa" w:w="80"/>
              <w:right w:type="dxa" w:w="120"/>
            </w:tcMar>
          </w:tcPr>
          <w:p>
            <w:pPr>
              <w:jc w:val="center"/>
            </w:pPr>
            <w:r>
              <w:rPr>
                <w:rFonts w:ascii="Arial" w:cs="Arial" w:eastAsia="Arial" w:hAnsi="Arial"/>
                <w:b/>
                <w:bCs/>
                <w:color w:val="0F5132"/>
                <w:sz w:val="19"/>
                <w:szCs w:val="19"/>
              </w:rPr>
              <w:t xml:space="preserve">Must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Commun</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F-06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Afficher sur le dashboard SOC la liste des alertes en cours, triées par niveau de criticité, avec leur description et les actions recommandées.</w:t>
            </w:r>
          </w:p>
        </w:tc>
        <w:tc>
          <w:tcPr>
            <w:tcW w:type="dxa" w:w="1600"/>
            <w:tcBorders>
              <w:top w:val="single" w:color="CCCCCC" w:sz="1"/>
              <w:left w:val="single" w:color="CCCCCC" w:sz="1"/>
              <w:bottom w:val="single" w:color="CCCCCC" w:sz="1"/>
              <w:right w:val="single" w:color="CCCCCC" w:sz="1"/>
            </w:tcBorders>
            <w:shd w:fill="E6F4EE" w:val="clear"/>
            <w:tcMar>
              <w:top w:type="dxa" w:w="80"/>
              <w:left w:type="dxa" w:w="120"/>
              <w:bottom w:type="dxa" w:w="80"/>
              <w:right w:type="dxa" w:w="120"/>
            </w:tcMar>
          </w:tcPr>
          <w:p>
            <w:pPr>
              <w:jc w:val="center"/>
            </w:pPr>
            <w:r>
              <w:rPr>
                <w:rFonts w:ascii="Arial" w:cs="Arial" w:eastAsia="Arial" w:hAnsi="Arial"/>
                <w:b/>
                <w:bCs/>
                <w:color w:val="0F5132"/>
                <w:sz w:val="19"/>
                <w:szCs w:val="19"/>
              </w:rPr>
              <w:t xml:space="preserve">Must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Cybersécurité</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F-07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Exposer une API REST permettant à un système tiers d'interroger les résultats d'analyse et de déclencher un scan.</w:t>
            </w:r>
          </w:p>
        </w:tc>
        <w:tc>
          <w:tcPr>
            <w:tcW w:type="dxa" w:w="1600"/>
            <w:tcBorders>
              <w:top w:val="single" w:color="CCCCCC" w:sz="1"/>
              <w:left w:val="single" w:color="CCCCCC" w:sz="1"/>
              <w:bottom w:val="single" w:color="CCCCCC" w:sz="1"/>
              <w:right w:val="single" w:color="CCCCCC" w:sz="1"/>
            </w:tcBorders>
            <w:shd w:fill="E6F4EE" w:val="clear"/>
            <w:tcMar>
              <w:top w:type="dxa" w:w="80"/>
              <w:left w:type="dxa" w:w="120"/>
              <w:bottom w:type="dxa" w:w="80"/>
              <w:right w:type="dxa" w:w="120"/>
            </w:tcMar>
          </w:tcPr>
          <w:p>
            <w:pPr>
              <w:jc w:val="center"/>
            </w:pPr>
            <w:r>
              <w:rPr>
                <w:rFonts w:ascii="Arial" w:cs="Arial" w:eastAsia="Arial" w:hAnsi="Arial"/>
                <w:b/>
                <w:bCs/>
                <w:color w:val="0F5132"/>
                <w:sz w:val="19"/>
                <w:szCs w:val="19"/>
              </w:rPr>
              <w:t xml:space="preserve">Must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Cybersécurité</w:t>
            </w:r>
          </w:p>
        </w:tc>
      </w:tr>
    </w:tbl>
    <w:p>
      <w:pPr>
        <w:spacing w:after="0" w:before="160"/>
      </w:pPr>
      <w:r>
        <w:t xml:space="preserve"/>
      </w:r>
    </w:p>
    <w:p>
      <w:pPr>
        <w:pStyle w:val="Heading3"/>
        <w:spacing w:after="120" w:before="320"/>
      </w:pPr>
      <w:r>
        <w:rPr>
          <w:rFonts w:ascii="Arial" w:cs="Arial" w:eastAsia="Arial" w:hAnsi="Arial"/>
          <w:b/>
          <w:bCs/>
          <w:color w:val="4A4A4A"/>
          <w:sz w:val="25"/>
          <w:szCs w:val="25"/>
        </w:rPr>
        <w:t xml:space="preserve">3.2.2  Should Have — fortement souhaitables</w:t>
      </w:r>
    </w:p>
    <w:p>
      <w:pPr>
        <w:spacing w:after="0" w:before="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600"/>
        <w:gridCol w:w="14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c>
          <w:tcPr>
            <w:tcW w:type="dxa" w:w="1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Équipe</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F-08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Permettre à l'utilisateur de soumettre une URL suspecte depuis l'interface et obtenir une analyse phishing en temps réel.</w:t>
            </w:r>
          </w:p>
        </w:tc>
        <w:tc>
          <w:tcPr>
            <w:tcW w:type="dxa" w:w="1600"/>
            <w:tcBorders>
              <w:top w:val="single" w:color="CCCCCC" w:sz="1"/>
              <w:left w:val="single" w:color="CCCCCC" w:sz="1"/>
              <w:bottom w:val="single" w:color="CCCCCC" w:sz="1"/>
              <w:right w:val="single" w:color="CCCCCC" w:sz="1"/>
            </w:tcBorders>
            <w:shd w:fill="F5EDDE" w:val="clear"/>
            <w:tcMar>
              <w:top w:type="dxa" w:w="80"/>
              <w:left w:type="dxa" w:w="120"/>
              <w:bottom w:type="dxa" w:w="80"/>
              <w:right w:type="dxa" w:w="120"/>
            </w:tcMar>
          </w:tcPr>
          <w:p>
            <w:pPr>
              <w:jc w:val="center"/>
            </w:pPr>
            <w:r>
              <w:rPr>
                <w:rFonts w:ascii="Arial" w:cs="Arial" w:eastAsia="Arial" w:hAnsi="Arial"/>
                <w:b/>
                <w:bCs/>
                <w:color w:val="7A4A00"/>
                <w:sz w:val="19"/>
                <w:szCs w:val="19"/>
              </w:rPr>
              <w:t xml:space="preserve">Should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Commun</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F-09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Générer un rapport PDF synthétique des alertes de la semaine, exportable depuis le dashboard.</w:t>
            </w:r>
          </w:p>
        </w:tc>
        <w:tc>
          <w:tcPr>
            <w:tcW w:type="dxa" w:w="1600"/>
            <w:tcBorders>
              <w:top w:val="single" w:color="CCCCCC" w:sz="1"/>
              <w:left w:val="single" w:color="CCCCCC" w:sz="1"/>
              <w:bottom w:val="single" w:color="CCCCCC" w:sz="1"/>
              <w:right w:val="single" w:color="CCCCCC" w:sz="1"/>
            </w:tcBorders>
            <w:shd w:fill="F5EDDE" w:val="clear"/>
            <w:tcMar>
              <w:top w:type="dxa" w:w="80"/>
              <w:left w:type="dxa" w:w="120"/>
              <w:bottom w:type="dxa" w:w="80"/>
              <w:right w:type="dxa" w:w="120"/>
            </w:tcMar>
          </w:tcPr>
          <w:p>
            <w:pPr>
              <w:jc w:val="center"/>
            </w:pPr>
            <w:r>
              <w:rPr>
                <w:rFonts w:ascii="Arial" w:cs="Arial" w:eastAsia="Arial" w:hAnsi="Arial"/>
                <w:b/>
                <w:bCs/>
                <w:color w:val="7A4A00"/>
                <w:sz w:val="19"/>
                <w:szCs w:val="19"/>
              </w:rPr>
              <w:t xml:space="preserve">Should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Cybersécurité</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Afficher une timeline graphique des événements de sécurité sur les 30 derniers jours.</w:t>
            </w:r>
          </w:p>
        </w:tc>
        <w:tc>
          <w:tcPr>
            <w:tcW w:type="dxa" w:w="1600"/>
            <w:tcBorders>
              <w:top w:val="single" w:color="CCCCCC" w:sz="1"/>
              <w:left w:val="single" w:color="CCCCCC" w:sz="1"/>
              <w:bottom w:val="single" w:color="CCCCCC" w:sz="1"/>
              <w:right w:val="single" w:color="CCCCCC" w:sz="1"/>
            </w:tcBorders>
            <w:shd w:fill="F5EDDE" w:val="clear"/>
            <w:tcMar>
              <w:top w:type="dxa" w:w="80"/>
              <w:left w:type="dxa" w:w="120"/>
              <w:bottom w:type="dxa" w:w="80"/>
              <w:right w:type="dxa" w:w="120"/>
            </w:tcMar>
          </w:tcPr>
          <w:p>
            <w:pPr>
              <w:jc w:val="center"/>
            </w:pPr>
            <w:r>
              <w:rPr>
                <w:rFonts w:ascii="Arial" w:cs="Arial" w:eastAsia="Arial" w:hAnsi="Arial"/>
                <w:b/>
                <w:bCs/>
                <w:color w:val="7A4A00"/>
                <w:sz w:val="19"/>
                <w:szCs w:val="19"/>
              </w:rPr>
              <w:t xml:space="preserve">Should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Cybersécurité</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Permettre l'annotation manuelle de nouvelles données phishing depuis l'interface pour enrichir le corpus d'entraînement.</w:t>
            </w:r>
          </w:p>
        </w:tc>
        <w:tc>
          <w:tcPr>
            <w:tcW w:type="dxa" w:w="1600"/>
            <w:tcBorders>
              <w:top w:val="single" w:color="CCCCCC" w:sz="1"/>
              <w:left w:val="single" w:color="CCCCCC" w:sz="1"/>
              <w:bottom w:val="single" w:color="CCCCCC" w:sz="1"/>
              <w:right w:val="single" w:color="CCCCCC" w:sz="1"/>
            </w:tcBorders>
            <w:shd w:fill="F5EDDE" w:val="clear"/>
            <w:tcMar>
              <w:top w:type="dxa" w:w="80"/>
              <w:left w:type="dxa" w:w="120"/>
              <w:bottom w:type="dxa" w:w="80"/>
              <w:right w:type="dxa" w:w="120"/>
            </w:tcMar>
          </w:tcPr>
          <w:p>
            <w:pPr>
              <w:jc w:val="center"/>
            </w:pPr>
            <w:r>
              <w:rPr>
                <w:rFonts w:ascii="Arial" w:cs="Arial" w:eastAsia="Arial" w:hAnsi="Arial"/>
                <w:b/>
                <w:bCs/>
                <w:color w:val="7A4A00"/>
                <w:sz w:val="19"/>
                <w:szCs w:val="19"/>
              </w:rPr>
              <w:t xml:space="preserve">Should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IA</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Afficher les features importantes ayant contribué à une décision de classification (interprétabilité du modèle).</w:t>
            </w:r>
          </w:p>
        </w:tc>
        <w:tc>
          <w:tcPr>
            <w:tcW w:type="dxa" w:w="1600"/>
            <w:tcBorders>
              <w:top w:val="single" w:color="CCCCCC" w:sz="1"/>
              <w:left w:val="single" w:color="CCCCCC" w:sz="1"/>
              <w:bottom w:val="single" w:color="CCCCCC" w:sz="1"/>
              <w:right w:val="single" w:color="CCCCCC" w:sz="1"/>
            </w:tcBorders>
            <w:shd w:fill="F5EDDE" w:val="clear"/>
            <w:tcMar>
              <w:top w:type="dxa" w:w="80"/>
              <w:left w:type="dxa" w:w="120"/>
              <w:bottom w:type="dxa" w:w="80"/>
              <w:right w:type="dxa" w:w="120"/>
            </w:tcMar>
          </w:tcPr>
          <w:p>
            <w:pPr>
              <w:jc w:val="center"/>
            </w:pPr>
            <w:r>
              <w:rPr>
                <w:rFonts w:ascii="Arial" w:cs="Arial" w:eastAsia="Arial" w:hAnsi="Arial"/>
                <w:b/>
                <w:bCs/>
                <w:color w:val="7A4A00"/>
                <w:sz w:val="19"/>
                <w:szCs w:val="19"/>
              </w:rPr>
              <w:t xml:space="preserve">Should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IA</w:t>
            </w:r>
          </w:p>
        </w:tc>
      </w:tr>
    </w:tbl>
    <w:p>
      <w:pPr>
        <w:spacing w:after="0" w:before="160"/>
      </w:pPr>
      <w:r>
        <w:t xml:space="preserve"/>
      </w:r>
    </w:p>
    <w:p>
      <w:pPr>
        <w:pStyle w:val="Heading3"/>
        <w:spacing w:after="120" w:before="320"/>
      </w:pPr>
      <w:r>
        <w:rPr>
          <w:rFonts w:ascii="Arial" w:cs="Arial" w:eastAsia="Arial" w:hAnsi="Arial"/>
          <w:b/>
          <w:bCs/>
          <w:color w:val="4A4A4A"/>
          <w:sz w:val="25"/>
          <w:szCs w:val="25"/>
        </w:rPr>
        <w:t xml:space="preserve">3.2.3  Nice to Have — si le temps le permet</w:t>
      </w:r>
    </w:p>
    <w:p>
      <w:pPr>
        <w:spacing w:after="0" w:before="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600"/>
        <w:gridCol w:w="14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c>
          <w:tcPr>
            <w:tcW w:type="dxa" w:w="1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Équipe</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F-13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Envoyer des notifications par email ou SMS lorsqu'une alerte critique est générée.</w:t>
            </w:r>
          </w:p>
        </w:tc>
        <w:tc>
          <w:tcPr>
            <w:tcW w:type="dxa" w:w="1600"/>
            <w:tcBorders>
              <w:top w:val="single" w:color="CCCCCC" w:sz="1"/>
              <w:left w:val="single" w:color="CCCCCC" w:sz="1"/>
              <w:bottom w:val="single" w:color="CCCCCC" w:sz="1"/>
              <w:right w:val="single" w:color="CCCCCC" w:sz="1"/>
            </w:tcBorders>
            <w:shd w:fill="F5E6E6" w:val="clear"/>
            <w:tcMar>
              <w:top w:type="dxa" w:w="80"/>
              <w:left w:type="dxa" w:w="120"/>
              <w:bottom w:type="dxa" w:w="80"/>
              <w:right w:type="dxa" w:w="120"/>
            </w:tcMar>
          </w:tcPr>
          <w:p>
            <w:pPr>
              <w:jc w:val="center"/>
            </w:pPr>
            <w:r>
              <w:rPr>
                <w:rFonts w:ascii="Arial" w:cs="Arial" w:eastAsia="Arial" w:hAnsi="Arial"/>
                <w:b/>
                <w:bCs/>
                <w:color w:val="7A1E1E"/>
                <w:sz w:val="19"/>
                <w:szCs w:val="19"/>
              </w:rPr>
              <w:t xml:space="preserve">Nice to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Commun</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F-14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Intégrer un module de veille automatique qui surveille PhishTank et NVD pour de nouveaux indicateurs.</w:t>
            </w:r>
          </w:p>
        </w:tc>
        <w:tc>
          <w:tcPr>
            <w:tcW w:type="dxa" w:w="1600"/>
            <w:tcBorders>
              <w:top w:val="single" w:color="CCCCCC" w:sz="1"/>
              <w:left w:val="single" w:color="CCCCCC" w:sz="1"/>
              <w:bottom w:val="single" w:color="CCCCCC" w:sz="1"/>
              <w:right w:val="single" w:color="CCCCCC" w:sz="1"/>
            </w:tcBorders>
            <w:shd w:fill="F5E6E6" w:val="clear"/>
            <w:tcMar>
              <w:top w:type="dxa" w:w="80"/>
              <w:left w:type="dxa" w:w="120"/>
              <w:bottom w:type="dxa" w:w="80"/>
              <w:right w:type="dxa" w:w="120"/>
            </w:tcMar>
          </w:tcPr>
          <w:p>
            <w:pPr>
              <w:jc w:val="center"/>
            </w:pPr>
            <w:r>
              <w:rPr>
                <w:rFonts w:ascii="Arial" w:cs="Arial" w:eastAsia="Arial" w:hAnsi="Arial"/>
                <w:b/>
                <w:bCs/>
                <w:color w:val="7A1E1E"/>
                <w:sz w:val="19"/>
                <w:szCs w:val="19"/>
              </w:rPr>
              <w:t xml:space="preserve">Nice to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IA</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F-15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Proposer une cartographie géographique des sources d'attaque détectées.</w:t>
            </w:r>
          </w:p>
        </w:tc>
        <w:tc>
          <w:tcPr>
            <w:tcW w:type="dxa" w:w="1600"/>
            <w:tcBorders>
              <w:top w:val="single" w:color="CCCCCC" w:sz="1"/>
              <w:left w:val="single" w:color="CCCCCC" w:sz="1"/>
              <w:bottom w:val="single" w:color="CCCCCC" w:sz="1"/>
              <w:right w:val="single" w:color="CCCCCC" w:sz="1"/>
            </w:tcBorders>
            <w:shd w:fill="F5E6E6" w:val="clear"/>
            <w:tcMar>
              <w:top w:type="dxa" w:w="80"/>
              <w:left w:type="dxa" w:w="120"/>
              <w:bottom w:type="dxa" w:w="80"/>
              <w:right w:type="dxa" w:w="120"/>
            </w:tcMar>
          </w:tcPr>
          <w:p>
            <w:pPr>
              <w:jc w:val="center"/>
            </w:pPr>
            <w:r>
              <w:rPr>
                <w:rFonts w:ascii="Arial" w:cs="Arial" w:eastAsia="Arial" w:hAnsi="Arial"/>
                <w:b/>
                <w:bCs/>
                <w:color w:val="7A1E1E"/>
                <w:sz w:val="19"/>
                <w:szCs w:val="19"/>
              </w:rPr>
              <w:t xml:space="preserve">Nice to Have</w:t>
            </w:r>
          </w:p>
        </w:tc>
        <w:tc>
          <w:tcPr>
            <w:tcW w:type="dxa" w:w="1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center"/>
            </w:pPr>
            <w:r>
              <w:rPr>
                <w:rFonts w:ascii="Arial" w:cs="Arial" w:eastAsia="Arial" w:hAnsi="Arial"/>
                <w:color w:val="4A4A4A"/>
                <w:sz w:val="19"/>
                <w:szCs w:val="19"/>
              </w:rPr>
              <w:t xml:space="preserve">Cybersécurité</w:t>
            </w:r>
          </w:p>
        </w:tc>
      </w:tr>
    </w:tbl>
    <w:p>
      <w:pPr>
        <w:spacing w:after="0" w:before="160"/>
      </w:pPr>
      <w:r>
        <w:t xml:space="preserve"/>
      </w:r>
    </w:p>
    <w:p>
      <w:pPr>
        <w:pStyle w:val="Heading2"/>
        <w:spacing w:after="180" w:before="480"/>
      </w:pPr>
      <w:r>
        <w:rPr>
          <w:rFonts w:ascii="Arial" w:cs="Arial" w:eastAsia="Arial" w:hAnsi="Arial"/>
          <w:b/>
          <w:bCs/>
          <w:color w:val="1B3A6B"/>
          <w:sz w:val="28"/>
          <w:szCs w:val="28"/>
        </w:rPr>
        <w:t xml:space="preserve">3.3  Exigences non fonctionnelles</w:t>
      </w:r>
    </w:p>
    <w:p>
      <w:pPr>
        <w:spacing w:after="200" w:before="0" w:line="360"/>
        <w:ind w:firstLine="720"/>
        <w:jc w:val="both"/>
      </w:pPr>
      <w:r>
        <w:rPr>
          <w:rFonts w:ascii="Times New Roman" w:cs="Times New Roman" w:eastAsia="Times New Roman" w:hAnsi="Times New Roman"/>
          <w:color w:val="1A1A1A"/>
          <w:sz w:val="24"/>
          <w:szCs w:val="24"/>
        </w:rPr>
        <w:t xml:space="preserve">Les exigences non fonctionnelles définissent les contraintes de qualité du système — pas ce qu'il fait, mais comment il le fait. Elles sont souvent négligées dans les projets académiques, puis deviennent des problèmes en phase de tests. Nous préférons les poser clairement maintenant.</w:t>
      </w:r>
    </w:p>
    <w:p>
      <w:pPr>
        <w:pStyle w:val="Heading3"/>
        <w:spacing w:after="120" w:before="320"/>
      </w:pPr>
      <w:r>
        <w:rPr>
          <w:rFonts w:ascii="Arial" w:cs="Arial" w:eastAsia="Arial" w:hAnsi="Arial"/>
          <w:b/>
          <w:bCs/>
          <w:color w:val="4A4A4A"/>
          <w:sz w:val="25"/>
          <w:szCs w:val="25"/>
        </w:rPr>
        <w:t xml:space="preserve">3.3.1  Performance</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Temps de réponse de l'API pour une classification de texte : inférieur à 2 secondes pour le modèle TF-IDF, inférieur à 8 secondes pour BERT.</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Durée maximale d'un scan ZAP complet sur une application cible de taille standard : 15 minutes.</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Le dashboard doit rester fluide avec jusqu'à 1 000 alertes stockées en base.</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Le rechargement des données sur l'interface SOC ne doit pas dépasser 3 secondes.</w:t>
      </w:r>
    </w:p>
    <w:p>
      <w:pPr>
        <w:pStyle w:val="Heading3"/>
        <w:spacing w:after="120" w:before="320"/>
      </w:pPr>
      <w:r>
        <w:rPr>
          <w:rFonts w:ascii="Arial" w:cs="Arial" w:eastAsia="Arial" w:hAnsi="Arial"/>
          <w:b/>
          <w:bCs/>
          <w:color w:val="4A4A4A"/>
          <w:sz w:val="25"/>
          <w:szCs w:val="25"/>
        </w:rPr>
        <w:t xml:space="preserve">3.3.2  Fiabilité et disponibilité</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Le système doit fonctionner en continu sans interruption planifiée sur la durée d'une démonstration (8 heures minimum).</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Les modèles IA doivent produire des résultats déterministes pour un même texte d'entrée — pas de variabilité aléatoire en production.</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Toute erreur de scan ou d'analyse doit être capturée, loguée, et ne doit pas faire planter l'ensemble du système.</w:t>
      </w:r>
    </w:p>
    <w:p>
      <w:pPr>
        <w:pStyle w:val="Heading3"/>
        <w:spacing w:after="120" w:before="320"/>
      </w:pPr>
      <w:r>
        <w:rPr>
          <w:rFonts w:ascii="Arial" w:cs="Arial" w:eastAsia="Arial" w:hAnsi="Arial"/>
          <w:b/>
          <w:bCs/>
          <w:color w:val="4A4A4A"/>
          <w:sz w:val="25"/>
          <w:szCs w:val="25"/>
        </w:rPr>
        <w:t xml:space="preserve">3.3.3  Sécurité du système lui-même</w:t>
      </w:r>
    </w:p>
    <w:p>
      <w:pPr>
        <w:spacing w:after="200" w:before="0" w:line="360"/>
        <w:ind w:firstLine="720"/>
        <w:jc w:val="both"/>
      </w:pPr>
      <w:r>
        <w:rPr>
          <w:rFonts w:ascii="Times New Roman" w:cs="Times New Roman" w:eastAsia="Times New Roman" w:hAnsi="Times New Roman"/>
          <w:color w:val="1A1A1A"/>
          <w:sz w:val="24"/>
          <w:szCs w:val="24"/>
        </w:rPr>
        <w:t xml:space="preserve">C'est un point qui mérite qu'on s'y arrête. Un système de cybersécurité vulnérable serait une contradiction embarrassante. Nous appliquons donc les mesures élémentaires : authentification par token JWT pour l'API REST, aucune donnée sensible en clair dans les logs, validation stricte des entrées utilisateur pour éviter les injections dans nos propres formulaires. Les scans ne sont autorisés que sur des cibles explicitement déclarées dans la configuration — pas de scan sauvage sur des systèmes tiers.</w:t>
      </w:r>
    </w:p>
    <w:p>
      <w:pPr>
        <w:pStyle w:val="Heading3"/>
        <w:spacing w:after="120" w:before="320"/>
      </w:pPr>
      <w:r>
        <w:rPr>
          <w:rFonts w:ascii="Arial" w:cs="Arial" w:eastAsia="Arial" w:hAnsi="Arial"/>
          <w:b/>
          <w:bCs/>
          <w:color w:val="4A4A4A"/>
          <w:sz w:val="25"/>
          <w:szCs w:val="25"/>
        </w:rPr>
        <w:t xml:space="preserve">3.3.4  Maintenabilité</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Chaque module est documenté avec des docstrings Python et un README décrivant son fonctionnement, ses dépendances et ses paramètres.</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Les notebooks Jupyter de formation des modèles doivent être reproductibles : exécutables de bout en bout sur une machine vierge après installation des dépendances.</w:t>
      </w:r>
    </w:p>
    <w:p>
      <w:pPr>
        <w:pStyle w:val="ListParagraph"/>
        <w:numPr>
          <w:ilvl w:val="0"/>
          <w:numId w:val="2"/>
        </w:numPr>
        <w:spacing w:after="60" w:before="60" w:line="320"/>
        <w:jc w:val="both"/>
      </w:pPr>
      <w:r>
        <w:rPr>
          <w:rFonts w:ascii="Times New Roman" w:cs="Times New Roman" w:eastAsia="Times New Roman" w:hAnsi="Times New Roman"/>
          <w:color w:val="1A1A1A"/>
          <w:sz w:val="24"/>
          <w:szCs w:val="24"/>
        </w:rPr>
        <w:t xml:space="preserve">Le code source est versionné sur GitHub avec des commits atomiques et descriptifs.</w:t>
      </w:r>
    </w:p>
    <w:p>
      <w:pPr>
        <w:pStyle w:val="Heading3"/>
        <w:spacing w:after="120" w:before="320"/>
      </w:pPr>
      <w:r>
        <w:rPr>
          <w:rFonts w:ascii="Arial" w:cs="Arial" w:eastAsia="Arial" w:hAnsi="Arial"/>
          <w:b/>
          <w:bCs/>
          <w:color w:val="4A4A4A"/>
          <w:sz w:val="25"/>
          <w:szCs w:val="25"/>
        </w:rPr>
        <w:t xml:space="preserve">3.3.5  Éthique et cadre légal</w:t>
      </w:r>
    </w:p>
    <w:p>
      <w:pPr>
        <w:spacing w:after="200" w:before="0" w:line="360"/>
        <w:ind w:firstLine="720"/>
        <w:jc w:val="both"/>
      </w:pPr>
      <w:r>
        <w:rPr>
          <w:rFonts w:ascii="Times New Roman" w:cs="Times New Roman" w:eastAsia="Times New Roman" w:hAnsi="Times New Roman"/>
          <w:color w:val="1A1A1A"/>
          <w:sz w:val="24"/>
          <w:szCs w:val="24"/>
        </w:rPr>
        <w:t xml:space="preserve">Ce projet travaille avec des données relatives à des cyberattaques. Deux précautions s'imposent. D'abord, les tests de scan sont réalisés exclusivement sur des environnements volontairement vulnérables (DVWA, WebGoat) déployés localement — jamais sur des systèmes de production réels ou des cibles tierces sans autorisation explicite. Ensuite, le corpus de SMS phishing est constitué soit de données publiques anonymisées, soit de données synthétiques — aucune donnée personnelle réelle n'est collectée ni stockée.</w:t>
      </w:r>
    </w:p>
    <w:p>
      <w:pPr>
        <w:spacing w:after="200" w:before="0" w:line="360"/>
        <w:ind w:firstLine="720"/>
        <w:jc w:val="both"/>
      </w:pPr>
      <w:r>
        <w:rPr>
          <w:rFonts w:ascii="Times New Roman" w:cs="Times New Roman" w:eastAsia="Times New Roman" w:hAnsi="Times New Roman"/>
          <w:color w:val="1A1A1A"/>
          <w:sz w:val="24"/>
          <w:szCs w:val="24"/>
        </w:rPr>
        <w:t xml:space="preserve">Ce cadre est cohérent avec la loi camerounaise n°2010/012 sur la cybersécurité et la cybercriminalité, dont l'article 74 punit l'accès frauduleux à un système informatique. Il est aussi conforme aux principes éthiques encadrant la recherche en sécurité informatique tels que définis par l'ACM.</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3.4  Stack technologique retenue</w:t>
      </w:r>
    </w:p>
    <w:p>
      <w:pPr>
        <w:spacing w:after="200" w:before="0" w:line="360"/>
        <w:ind w:firstLine="720"/>
        <w:jc w:val="both"/>
      </w:pPr>
      <w:r>
        <w:rPr>
          <w:rFonts w:ascii="Times New Roman" w:cs="Times New Roman" w:eastAsia="Times New Roman" w:hAnsi="Times New Roman"/>
          <w:color w:val="1A1A1A"/>
          <w:sz w:val="24"/>
          <w:szCs w:val="24"/>
        </w:rPr>
        <w:t xml:space="preserve">Chaque choix technique a une raison. Le tableau suivant synthétise la stack retenue et justifie chaque élément, pour qu'un lecteur externe comprenne pourquoi ces outils et pas d'autres.</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4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 dans le système</w:t>
            </w:r>
          </w:p>
        </w:tc>
        <w:tc>
          <w:tcPr>
            <w:tcW w:type="dxa" w:w="4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 du choix</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OWASP ZAP 2.14</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Scan de vulnérabilités web automatisé</w:t>
            </w:r>
          </w:p>
        </w:tc>
        <w:tc>
          <w:tcPr>
            <w:tcW w:type="dxa" w:w="4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Open source, API Python complète, couverture Top 10 OWASP, communauté active. Alternative Burp Suite écartée car payante pour l'automatisation.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Python 3.11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Langage principal de tout le backend et des modules IA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Ecosystème IA/ML inégalé (scikit-learn, transformers, torch). Standard de facto pour ce type de projet.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scikit-learn 1.4</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Pipeline TF-IDF, Random Forest, métriques d'évaluation</w:t>
            </w:r>
          </w:p>
        </w:tc>
        <w:tc>
          <w:tcPr>
            <w:tcW w:type="dxa" w:w="4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Documentation excellente, reproductibilité garantie, intégration fluide avec pandas et numpy.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XGBoost 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Scoring contextuel des vulnérabilités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Performances supérieures à Random Forest sur les données tabulaires hétérogènes, gestion native des valeurs manquantes.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Hugging Face Transformers</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Fine-tuning BERT multilingue pour la détection phishing</w:t>
            </w:r>
          </w:p>
        </w:tc>
        <w:tc>
          <w:tcPr>
            <w:tcW w:type="dxa" w:w="4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Accès standardisé aux modèles pré-entraînés, abstractions de haut niveau pour le fine-tuning, versioning des modèles.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Flask 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API REST backend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Légèreté, flexibilité, intégration naturelle avec les modèles Python. FastAPI envisagé comme alternative si les performances l'exigent.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React.js 18</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Frontend du dashboard SOC</w:t>
            </w:r>
          </w:p>
        </w:tc>
        <w:tc>
          <w:tcPr>
            <w:tcW w:type="dxa" w:w="4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Composants réutilisables, écosystème riche (Chart.js, React Router), standard industriel pour les interfaces web dynamiques.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PostgreSQL 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Stockage persistant des alertes et données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Fiabilité, support JSON natif pour stocker les résultats de scan, requêtes complexes pour la corrélation.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20"/>
                <w:szCs w:val="20"/>
              </w:rPr>
              <w:t xml:space="preserve">Docker Compose</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Times New Roman" w:cs="Times New Roman" w:eastAsia="Times New Roman" w:hAnsi="Times New Roman"/>
                <w:color w:val="1A1A1A"/>
                <w:sz w:val="20"/>
                <w:szCs w:val="20"/>
              </w:rPr>
              <w:t xml:space="preserve">Orchestration de l'environnement de développement et de test</w:t>
            </w:r>
          </w:p>
        </w:tc>
        <w:tc>
          <w:tcPr>
            <w:tcW w:type="dxa" w:w="4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color w:val="1A1A1A"/>
                <w:sz w:val="20"/>
                <w:szCs w:val="20"/>
              </w:rPr>
              <w:t xml:space="preserve">Reproductibilité garantie : même comportement sur toutes les machines de l'équipe. Simplification du déploiement.</w:t>
            </w:r>
          </w:p>
        </w:tc>
      </w:tr>
    </w:tbl>
    <w:p>
      <w:pPr>
        <w:spacing w:after="0" w:before="160"/>
      </w:pPr>
      <w:r>
        <w:t xml:space="preserve"/>
      </w:r>
    </w:p>
    <w:p>
      <w:pPr>
        <w:pStyle w:val="Heading2"/>
        <w:spacing w:after="180" w:before="480"/>
      </w:pPr>
      <w:r>
        <w:rPr>
          <w:rFonts w:ascii="Arial" w:cs="Arial" w:eastAsia="Arial" w:hAnsi="Arial"/>
          <w:b/>
          <w:bCs/>
          <w:color w:val="1B3A6B"/>
          <w:sz w:val="28"/>
          <w:szCs w:val="28"/>
        </w:rPr>
        <w:t xml:space="preserve">3.5  Sources de données</w:t>
      </w:r>
    </w:p>
    <w:p>
      <w:pPr>
        <w:spacing w:after="200" w:before="0" w:line="360"/>
        <w:ind w:firstLine="720"/>
        <w:jc w:val="both"/>
      </w:pPr>
      <w:r>
        <w:rPr>
          <w:rFonts w:ascii="Times New Roman" w:cs="Times New Roman" w:eastAsia="Times New Roman" w:hAnsi="Times New Roman"/>
          <w:color w:val="1A1A1A"/>
          <w:sz w:val="24"/>
          <w:szCs w:val="24"/>
        </w:rPr>
        <w:t xml:space="preserve">La qualité d'un système d'apprentissage automatique dépend directement de la qualité de ses données d'entraînement. C'est une vérité que l'on répète souvent et qu'on néglige parfois. Dans notre cas, ce point est structurant : l'une de nos hypothèses principales repose sur l'idée qu'un modèle entraîné sur des données camerounaises donne de meilleurs résultats qu'un modèle généraliste. Il faut donc ces données — et les obtenir demande un effort spécifique.</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 dans le projet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Kaggle — Phishing Email Dataset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Times New Roman" w:cs="Times New Roman" w:eastAsia="Times New Roman" w:hAnsi="Times New Roman"/>
                <w:i/>
                <w:iCs/>
                <w:color w:val="4A4A4A"/>
                <w:sz w:val="19"/>
                <w:szCs w:val="19"/>
              </w:rPr>
              <w:t xml:space="preserve">Public, annoté</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~18 000 emails classifiés phishing / légitime en anglais</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Entraînement baseline TF-IDF + Random Forest (I1)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PhishTank / OpenPhish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i/>
                <w:iCs/>
                <w:color w:val="4A4A4A"/>
                <w:sz w:val="19"/>
                <w:szCs w:val="19"/>
              </w:rPr>
              <w:t xml:space="preserve">Public, URLs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URLs de phishing actives, mises à jour quotidiennement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Feature engineering URLs, enrichissement corpus (I3)</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NVD (NIST)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Times New Roman" w:cs="Times New Roman" w:eastAsia="Times New Roman" w:hAnsi="Times New Roman"/>
                <w:i/>
                <w:iCs/>
                <w:color w:val="4A4A4A"/>
                <w:sz w:val="19"/>
                <w:szCs w:val="19"/>
              </w:rPr>
              <w:t xml:space="preserve">Public, API</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Base de données CVE avec scores CVSS et descriptions</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Enrichissement des résultats ZAP, features scoring (C1, I2)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Corpus SMS Cameroun (synthétique)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i/>
                <w:iCs/>
                <w:color w:val="4A4A4A"/>
                <w:sz w:val="19"/>
                <w:szCs w:val="19"/>
              </w:rPr>
              <w:t xml:space="preserve">Généré, annoté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500+ SMS Mobile Money frauduleux et légitimes en français/anglais camerounais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Fine-tuning BERT multilingue, test local (I3)</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6B"/>
                <w:sz w:val="19"/>
                <w:szCs w:val="19"/>
              </w:rPr>
              <w:t xml:space="preserve">DVWA / WebGoat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Times New Roman" w:cs="Times New Roman" w:eastAsia="Times New Roman" w:hAnsi="Times New Roman"/>
                <w:i/>
                <w:iCs/>
                <w:color w:val="4A4A4A"/>
                <w:sz w:val="19"/>
                <w:szCs w:val="19"/>
              </w:rPr>
              <w:t xml:space="preserve">Environnements de test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Applications web volontairement vulnérables (XSS, SQLi, CSRF...)</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Cibles de scan ZAP pour générer les données de vulnérabilités (C1)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Kaggle — URL Phishing Dataset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i/>
                <w:iCs/>
                <w:color w:val="4A4A4A"/>
                <w:sz w:val="19"/>
                <w:szCs w:val="19"/>
              </w:rPr>
              <w:t xml:space="preserve">Public, annoté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~88 000 URLs avec features extraites (longueur, TLD, sous-domaines...)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Times New Roman" w:cs="Times New Roman" w:eastAsia="Times New Roman" w:hAnsi="Times New Roman"/>
                <w:color w:val="1A1A1A"/>
                <w:sz w:val="19"/>
                <w:szCs w:val="19"/>
              </w:rPr>
              <w:t xml:space="preserve">Entraînement modèle classification URLs (I1, I3)</w:t>
            </w:r>
          </w:p>
        </w:tc>
      </w:tr>
    </w:tbl>
    <w:p>
      <w:pPr>
        <w:spacing w:after="0" w:before="160"/>
      </w:pPr>
      <w:r>
        <w:t xml:space="preserve"/>
      </w:r>
    </w:p>
    <w:p>
      <w:pPr>
        <w:pStyle w:val="Heading3"/>
        <w:spacing w:after="120" w:before="320"/>
      </w:pPr>
      <w:r>
        <w:rPr>
          <w:rFonts w:ascii="Arial" w:cs="Arial" w:eastAsia="Arial" w:hAnsi="Arial"/>
          <w:b/>
          <w:bCs/>
          <w:color w:val="4A4A4A"/>
          <w:sz w:val="25"/>
          <w:szCs w:val="25"/>
        </w:rPr>
        <w:t xml:space="preserve">3.5.1  Note sur la génération du corpus SMS camerounais</w:t>
      </w:r>
    </w:p>
    <w:p>
      <w:pPr>
        <w:spacing w:after="200" w:before="0" w:line="360"/>
        <w:ind w:firstLine="720"/>
        <w:jc w:val="both"/>
      </w:pPr>
      <w:r>
        <w:rPr>
          <w:rFonts w:ascii="Times New Roman" w:cs="Times New Roman" w:eastAsia="Times New Roman" w:hAnsi="Times New Roman"/>
          <w:color w:val="1A1A1A"/>
          <w:sz w:val="24"/>
          <w:szCs w:val="24"/>
        </w:rPr>
        <w:t xml:space="preserve">Ce point mérite une explication détaillée, car c'est l'une des originalités techniques du projet. Il n'existe pas à notre connaissance de base de données publique de SMS de phishing en français camerounais. Nous avons donc opté pour une stratégie de génération synthétique contrôlée.</w:t>
      </w:r>
    </w:p>
    <w:p>
      <w:pPr>
        <w:spacing w:after="200" w:before="0" w:line="360"/>
        <w:ind w:firstLine="720"/>
        <w:jc w:val="both"/>
      </w:pPr>
      <w:r>
        <w:rPr>
          <w:rFonts w:ascii="Times New Roman" w:cs="Times New Roman" w:eastAsia="Times New Roman" w:hAnsi="Times New Roman"/>
          <w:color w:val="1A1A1A"/>
          <w:sz w:val="24"/>
          <w:szCs w:val="24"/>
        </w:rPr>
        <w:t xml:space="preserve">Le principe est le suivant : à partir d'une analyse des patterns récurrents dans les SMS frauduleux signalés (collectés via des forums de signalement et des témoignages documentés), nous construisons des templates paramétrables. Ces templates intègrent les variables clés — nom de l'opérateur, montant en FCFA, type de demande, niveau d'urgence — et génèrent des variations réalistes qui couvrent la diversité des formulations observées.</w:t>
      </w:r>
    </w:p>
    <w:p>
      <w:pPr>
        <w:spacing w:after="200" w:before="0" w:line="360"/>
        <w:ind w:firstLine="720"/>
        <w:jc w:val="both"/>
      </w:pPr>
      <w:r>
        <w:rPr>
          <w:rFonts w:ascii="Times New Roman" w:cs="Times New Roman" w:eastAsia="Times New Roman" w:hAnsi="Times New Roman"/>
          <w:color w:val="1A1A1A"/>
          <w:sz w:val="24"/>
          <w:szCs w:val="24"/>
        </w:rPr>
        <w:t xml:space="preserve">Pour les SMS légitimes, nous nous appuyons sur les exemples de notifications réelles publiés par les opérateurs eux-mêmes (confirmations de transaction, codes OTP, informations de solde) et sur des variations synthétiques de ces formats.</w:t>
      </w:r>
    </w:p>
    <w:p>
      <w:pPr>
        <w:spacing w:after="200" w:before="0" w:line="360"/>
        <w:ind w:firstLine="720"/>
        <w:jc w:val="both"/>
      </w:pPr>
      <w:r>
        <w:rPr>
          <w:rFonts w:ascii="Times New Roman" w:cs="Times New Roman" w:eastAsia="Times New Roman" w:hAnsi="Times New Roman"/>
          <w:b w:val="false"/>
          <w:bCs w:val="false"/>
          <w:i w:val="false"/>
          <w:iCs w:val="false"/>
          <w:color w:val="1A1A1A"/>
          <w:sz w:val="24"/>
          <w:szCs w:val="24"/>
        </w:rPr>
        <w:t xml:space="preserve">La validité de cette approche repose sur une hypothèse forte : </w:t>
      </w:r>
      <w:r>
        <w:rPr>
          <w:rFonts w:ascii="Times New Roman" w:cs="Times New Roman" w:eastAsia="Times New Roman" w:hAnsi="Times New Roman"/>
          <w:b/>
          <w:bCs/>
          <w:i w:val="false"/>
          <w:iCs w:val="false"/>
          <w:color w:val="1A1A1A"/>
          <w:sz w:val="24"/>
          <w:szCs w:val="24"/>
        </w:rPr>
        <w:t xml:space="preserve">les patterns discriminants entre SMS frauduleux et légitimes sont suffisamment stables pour que des données synthétiques bien construites soient représentatives.</w:t>
      </w:r>
      <w:r>
        <w:rPr>
          <w:rFonts w:ascii="Times New Roman" w:cs="Times New Roman" w:eastAsia="Times New Roman" w:hAnsi="Times New Roman"/>
          <w:b w:val="false"/>
          <w:bCs w:val="false"/>
          <w:i w:val="false"/>
          <w:iCs w:val="false"/>
          <w:color w:val="1A1A1A"/>
          <w:sz w:val="24"/>
          <w:szCs w:val="24"/>
        </w:rPr>
        <w:t xml:space="preserve"> Nous évaluerons cette hypothèse en comparant les performances du modèle entraîné sur données synthétiques avec ses performances sur des exemples réels collectés séparément pour le jeu de test.</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3.6  Interfaces entre les blocs</w:t>
      </w:r>
    </w:p>
    <w:p>
      <w:pPr>
        <w:spacing w:after="200" w:before="0" w:line="360"/>
        <w:ind w:firstLine="720"/>
        <w:jc w:val="both"/>
      </w:pPr>
      <w:r>
        <w:rPr>
          <w:rFonts w:ascii="Times New Roman" w:cs="Times New Roman" w:eastAsia="Times New Roman" w:hAnsi="Times New Roman"/>
          <w:color w:val="1A1A1A"/>
          <w:sz w:val="24"/>
          <w:szCs w:val="24"/>
        </w:rPr>
        <w:t xml:space="preserve">L'architecture modulaire n'a de valeur que si les interfaces entre blocs sont précisément définies. Voici les trois interfaces critiques qui conditionnent le bon fonctionnement de l'ensemble du système.</w:t>
      </w:r>
    </w:p>
    <w:p>
      <w:pPr>
        <w:pStyle w:val="Heading3"/>
        <w:spacing w:after="120" w:before="320"/>
      </w:pPr>
      <w:r>
        <w:rPr>
          <w:rFonts w:ascii="Arial" w:cs="Arial" w:eastAsia="Arial" w:hAnsi="Arial"/>
          <w:b/>
          <w:bCs/>
          <w:color w:val="4A4A4A"/>
          <w:sz w:val="25"/>
          <w:szCs w:val="25"/>
        </w:rPr>
        <w:t xml:space="preserve">3.6.1  Interface Bloc 1 → Bloc 3b (ZAP vers scoring ML)</w:t>
      </w:r>
    </w:p>
    <w:p>
      <w:pPr>
        <w:spacing w:after="200" w:before="0" w:line="360"/>
        <w:ind w:firstLine="720"/>
        <w:jc w:val="both"/>
      </w:pPr>
      <w:r>
        <w:rPr>
          <w:rFonts w:ascii="Times New Roman" w:cs="Times New Roman" w:eastAsia="Times New Roman" w:hAnsi="Times New Roman"/>
          <w:color w:val="1A1A1A"/>
          <w:sz w:val="24"/>
          <w:szCs w:val="24"/>
        </w:rPr>
        <w:t xml:space="preserve">Le Bloc 1 exporte ses résultats en JSON avec la structure suivante :</w:t>
      </w:r>
    </w:p>
    <w:p>
      <w:pPr>
        <w:spacing w:after="120" w:before="120"/>
        <w:ind w:left="720"/>
      </w:pPr>
      <w:r>
        <w:rPr>
          <w:rFonts w:ascii="Courier New" w:cs="Courier New" w:eastAsia="Courier New" w:hAnsi="Courier New"/>
          <w:color w:val="1A1A1A"/>
          <w:sz w:val="19"/>
          <w:szCs w:val="19"/>
        </w:rPr>
        <w:t xml:space="preserve">{
  "scan_id": "uuid",
  "target_url": "http://...",
  "timestamp": "ISO8601",
  "vulnerabilities": [
    {
      "id": "CVE-XXXX-XXXX",
      "type": "XSS | SQLi | CSRF | ...",
      "cvss_score": 7.5,
      "exposed_service": "http | https | api",
      "endpoint": "/login",
      "description": "..."
    }
  ]
}</w:t>
      </w:r>
    </w:p>
    <w:p>
      <w:pPr>
        <w:pStyle w:val="Heading3"/>
        <w:spacing w:after="120" w:before="320"/>
      </w:pPr>
      <w:r>
        <w:rPr>
          <w:rFonts w:ascii="Arial" w:cs="Arial" w:eastAsia="Arial" w:hAnsi="Arial"/>
          <w:b/>
          <w:bCs/>
          <w:color w:val="4A4A4A"/>
          <w:sz w:val="25"/>
          <w:szCs w:val="25"/>
        </w:rPr>
        <w:t xml:space="preserve">3.6.2  Interface Bloc 3a → Bloc 4 (scores phishing vers corrélation)</w:t>
      </w:r>
    </w:p>
    <w:p>
      <w:pPr>
        <w:spacing w:after="200" w:before="0" w:line="360"/>
        <w:ind w:firstLine="720"/>
        <w:jc w:val="both"/>
      </w:pPr>
      <w:r>
        <w:rPr>
          <w:rFonts w:ascii="Times New Roman" w:cs="Times New Roman" w:eastAsia="Times New Roman" w:hAnsi="Times New Roman"/>
          <w:color w:val="1A1A1A"/>
          <w:sz w:val="24"/>
          <w:szCs w:val="24"/>
        </w:rPr>
        <w:t xml:space="preserve">Le module NLP expose un endpoint REST :</w:t>
      </w:r>
    </w:p>
    <w:p>
      <w:pPr>
        <w:spacing w:after="120" w:before="120"/>
        <w:ind w:left="720"/>
      </w:pPr>
      <w:r>
        <w:rPr>
          <w:rFonts w:ascii="Courier New" w:cs="Courier New" w:eastAsia="Courier New" w:hAnsi="Courier New"/>
          <w:color w:val="1A1A1A"/>
          <w:sz w:val="19"/>
          <w:szCs w:val="19"/>
        </w:rPr>
        <w:t xml:space="preserve">POST /api/analyze/text
Body: { "text": "...", "type": "sms|email|url" }
Response: {
  "label": "phishing" | "legitime",
  "confidence": 0.97,
  "domain_extracted": "momo-cm.info",
  "risk_indicators": ["urgent", "pin", "FCFA"]
}</w:t>
      </w:r>
    </w:p>
    <w:p>
      <w:pPr>
        <w:pStyle w:val="Heading3"/>
        <w:spacing w:after="120" w:before="320"/>
      </w:pPr>
      <w:r>
        <w:rPr>
          <w:rFonts w:ascii="Arial" w:cs="Arial" w:eastAsia="Arial" w:hAnsi="Arial"/>
          <w:b/>
          <w:bCs/>
          <w:color w:val="4A4A4A"/>
          <w:sz w:val="25"/>
          <w:szCs w:val="25"/>
        </w:rPr>
        <w:t xml:space="preserve">3.6.3  Interface Bloc 4 → Bloc 5 (alertes vers dashboard)</w:t>
      </w:r>
    </w:p>
    <w:p>
      <w:pPr>
        <w:spacing w:after="200" w:before="0" w:line="360"/>
        <w:ind w:firstLine="720"/>
        <w:jc w:val="both"/>
      </w:pPr>
      <w:r>
        <w:rPr>
          <w:rFonts w:ascii="Times New Roman" w:cs="Times New Roman" w:eastAsia="Times New Roman" w:hAnsi="Times New Roman"/>
          <w:color w:val="1A1A1A"/>
          <w:sz w:val="24"/>
          <w:szCs w:val="24"/>
        </w:rPr>
        <w:t xml:space="preserve">Le moteur de corrélation pousse les alertes vers la base PostgreSQL selon ce schéma :</w:t>
      </w:r>
    </w:p>
    <w:p>
      <w:pPr>
        <w:spacing w:after="120" w:before="120"/>
        <w:ind w:left="720"/>
      </w:pPr>
      <w:r>
        <w:rPr>
          <w:rFonts w:ascii="Courier New" w:cs="Courier New" w:eastAsia="Courier New" w:hAnsi="Courier New"/>
          <w:color w:val="1A1A1A"/>
          <w:sz w:val="19"/>
          <w:szCs w:val="19"/>
        </w:rPr>
        <w:t xml:space="preserve">TABLE alertes (
  id UUID PRIMARY KEY,
  timestamp TIMESTAMPTZ,
  type VARCHAR(20),        -- "vuln" | "phishing" | "composite"
  severity VARCHAR(10),    -- "critique" | "eleve" | "moyen" | "faible"
  title TEXT,
  description TEXT,
  source_vuln_id TEXT,
  source_phishing_id TEXT,
  recommended_action TEXT,
  status VARCHAR(10)       -- "ouvert" | "resolu" | "ignore"
)</w:t>
      </w:r>
    </w:p>
    <w:p>
      <w:pPr>
        <w:spacing w:after="0" w:before="120"/>
      </w:pPr>
      <w:r>
        <w:t xml:space="preserve"/>
      </w:r>
    </w:p>
    <w:p>
      <w:pPr>
        <w:spacing w:after="200" w:before="0" w:line="360"/>
        <w:ind w:firstLine="720"/>
        <w:jc w:val="both"/>
      </w:pPr>
      <w:r>
        <w:rPr>
          <w:rFonts w:ascii="Times New Roman" w:cs="Times New Roman" w:eastAsia="Times New Roman" w:hAnsi="Times New Roman"/>
          <w:color w:val="1A1A1A"/>
          <w:sz w:val="24"/>
          <w:szCs w:val="24"/>
        </w:rPr>
        <w:t xml:space="preserve">Ces trois interfaces constituent le contrat technique entre les deux équipes. Toute modification de ces structures doit faire l'objet d'une validation commune avant implémentation — c'est la règle de travail que nous nous fixons pour éviter les incompatibilités de dernière minute.</w:t>
      </w:r>
    </w:p>
    <w:p>
      <w:pPr>
        <w:spacing w:after="0" w:before="80"/>
      </w:pPr>
      <w:r>
        <w:t xml:space="preserve"/>
      </w:r>
    </w:p>
    <w:p>
      <w:pPr>
        <w:pStyle w:val="Heading2"/>
        <w:spacing w:after="180" w:before="480"/>
      </w:pPr>
      <w:r>
        <w:rPr>
          <w:rFonts w:ascii="Arial" w:cs="Arial" w:eastAsia="Arial" w:hAnsi="Arial"/>
          <w:b/>
          <w:bCs/>
          <w:color w:val="1B3A6B"/>
          <w:sz w:val="28"/>
          <w:szCs w:val="28"/>
        </w:rPr>
        <w:t xml:space="preserve">3.7  Critères de validation du projet</w:t>
      </w:r>
    </w:p>
    <w:p>
      <w:pPr>
        <w:spacing w:after="200" w:before="0" w:line="360"/>
        <w:ind w:firstLine="720"/>
        <w:jc w:val="both"/>
      </w:pPr>
      <w:r>
        <w:rPr>
          <w:rFonts w:ascii="Times New Roman" w:cs="Times New Roman" w:eastAsia="Times New Roman" w:hAnsi="Times New Roman"/>
          <w:color w:val="1A1A1A"/>
          <w:sz w:val="24"/>
          <w:szCs w:val="24"/>
        </w:rPr>
        <w:t xml:space="preserve">Comment saura-t-on que le projet est réussi ? Cette question doit avoir une réponse avant de commencer à coder, pas après. Voici les critères que nous nous fixons, suffisamment précis pour être objectivement vérifiables.</w:t>
      </w:r>
    </w:p>
    <w:p>
      <w:pPr>
        <w:pStyle w:val="ListParagraph"/>
        <w:numPr>
          <w:ilvl w:val="0"/>
          <w:numId w:val="2"/>
        </w:numPr>
        <w:spacing w:after="60" w:before="60" w:line="320"/>
        <w:jc w:val="both"/>
      </w:pPr>
      <w:r>
        <w:rPr>
          <w:rFonts w:ascii="Times New Roman" w:cs="Times New Roman" w:eastAsia="Times New Roman" w:hAnsi="Times New Roman"/>
          <w:b/>
          <w:bCs/>
          <w:color w:val="1A1A1A"/>
          <w:sz w:val="24"/>
          <w:szCs w:val="24"/>
        </w:rPr>
        <w:t xml:space="preserve">Critère 1 — Phishing NLP : </w:t>
      </w:r>
      <w:r>
        <w:rPr>
          <w:rFonts w:ascii="Times New Roman" w:cs="Times New Roman" w:eastAsia="Times New Roman" w:hAnsi="Times New Roman"/>
          <w:color w:val="1A1A1A"/>
          <w:sz w:val="24"/>
          <w:szCs w:val="24"/>
        </w:rPr>
        <w:t xml:space="preserve">F1-score du modèle phishing sur le jeu de test : supérieur à 0,90.</w:t>
      </w:r>
    </w:p>
    <w:p>
      <w:pPr>
        <w:pStyle w:val="ListParagraph"/>
        <w:numPr>
          <w:ilvl w:val="0"/>
          <w:numId w:val="2"/>
        </w:numPr>
        <w:spacing w:after="60" w:before="60" w:line="320"/>
        <w:jc w:val="both"/>
      </w:pPr>
      <w:r>
        <w:rPr>
          <w:rFonts w:ascii="Times New Roman" w:cs="Times New Roman" w:eastAsia="Times New Roman" w:hAnsi="Times New Roman"/>
          <w:b/>
          <w:bCs/>
          <w:color w:val="1A1A1A"/>
          <w:sz w:val="24"/>
          <w:szCs w:val="24"/>
        </w:rPr>
        <w:t xml:space="preserve">Critère 2 — Scoring ML : </w:t>
      </w:r>
      <w:r>
        <w:rPr>
          <w:rFonts w:ascii="Times New Roman" w:cs="Times New Roman" w:eastAsia="Times New Roman" w:hAnsi="Times New Roman"/>
          <w:color w:val="1A1A1A"/>
          <w:sz w:val="24"/>
          <w:szCs w:val="24"/>
        </w:rPr>
        <w:t xml:space="preserve">Précision du scoring de vulnérabilités : supérieure à 85 % sur les données de test.</w:t>
      </w:r>
    </w:p>
    <w:p>
      <w:pPr>
        <w:pStyle w:val="ListParagraph"/>
        <w:numPr>
          <w:ilvl w:val="0"/>
          <w:numId w:val="2"/>
        </w:numPr>
        <w:spacing w:after="60" w:before="60" w:line="320"/>
        <w:jc w:val="both"/>
      </w:pPr>
      <w:r>
        <w:rPr>
          <w:rFonts w:ascii="Times New Roman" w:cs="Times New Roman" w:eastAsia="Times New Roman" w:hAnsi="Times New Roman"/>
          <w:b/>
          <w:bCs/>
          <w:color w:val="1A1A1A"/>
          <w:sz w:val="24"/>
          <w:szCs w:val="24"/>
        </w:rPr>
        <w:t xml:space="preserve">Critère 3 — Corrélation : </w:t>
      </w:r>
      <w:r>
        <w:rPr>
          <w:rFonts w:ascii="Times New Roman" w:cs="Times New Roman" w:eastAsia="Times New Roman" w:hAnsi="Times New Roman"/>
          <w:color w:val="1A1A1A"/>
          <w:sz w:val="24"/>
          <w:szCs w:val="24"/>
        </w:rPr>
        <w:t xml:space="preserve">Au moins 3 scénarios d'attaque composite testés et générés correctement par le moteur de corrélation.</w:t>
      </w:r>
    </w:p>
    <w:p>
      <w:pPr>
        <w:pStyle w:val="ListParagraph"/>
        <w:numPr>
          <w:ilvl w:val="0"/>
          <w:numId w:val="2"/>
        </w:numPr>
        <w:spacing w:after="60" w:before="60" w:line="320"/>
        <w:jc w:val="both"/>
      </w:pPr>
      <w:r>
        <w:rPr>
          <w:rFonts w:ascii="Times New Roman" w:cs="Times New Roman" w:eastAsia="Times New Roman" w:hAnsi="Times New Roman"/>
          <w:b/>
          <w:bCs/>
          <w:color w:val="1A1A1A"/>
          <w:sz w:val="24"/>
          <w:szCs w:val="24"/>
        </w:rPr>
        <w:t xml:space="preserve">Critère 4 — Dashboard : </w:t>
      </w:r>
      <w:r>
        <w:rPr>
          <w:rFonts w:ascii="Times New Roman" w:cs="Times New Roman" w:eastAsia="Times New Roman" w:hAnsi="Times New Roman"/>
          <w:color w:val="1A1A1A"/>
          <w:sz w:val="24"/>
          <w:szCs w:val="24"/>
        </w:rPr>
        <w:t xml:space="preserve">Le dashboard affiche en moins de 3 secondes la liste des alertes après un scan complet.</w:t>
      </w:r>
    </w:p>
    <w:p>
      <w:pPr>
        <w:pStyle w:val="ListParagraph"/>
        <w:numPr>
          <w:ilvl w:val="0"/>
          <w:numId w:val="2"/>
        </w:numPr>
        <w:spacing w:after="60" w:before="60" w:line="320"/>
        <w:jc w:val="both"/>
      </w:pPr>
      <w:r>
        <w:rPr>
          <w:rFonts w:ascii="Times New Roman" w:cs="Times New Roman" w:eastAsia="Times New Roman" w:hAnsi="Times New Roman"/>
          <w:b/>
          <w:bCs/>
          <w:color w:val="1A1A1A"/>
          <w:sz w:val="24"/>
          <w:szCs w:val="24"/>
        </w:rPr>
        <w:t xml:space="preserve">Critère 5 — Déploiement : </w:t>
      </w:r>
      <w:r>
        <w:rPr>
          <w:rFonts w:ascii="Times New Roman" w:cs="Times New Roman" w:eastAsia="Times New Roman" w:hAnsi="Times New Roman"/>
          <w:color w:val="1A1A1A"/>
          <w:sz w:val="24"/>
          <w:szCs w:val="24"/>
        </w:rPr>
        <w:t xml:space="preserve">L'ensemble du système est déployable depuis zéro avec une seule commande Docker Compose.</w:t>
      </w:r>
    </w:p>
    <w:p>
      <w:pPr>
        <w:pStyle w:val="ListParagraph"/>
        <w:numPr>
          <w:ilvl w:val="0"/>
          <w:numId w:val="2"/>
        </w:numPr>
        <w:spacing w:after="60" w:before="60" w:line="320"/>
        <w:jc w:val="both"/>
      </w:pPr>
      <w:r>
        <w:rPr>
          <w:rFonts w:ascii="Times New Roman" w:cs="Times New Roman" w:eastAsia="Times New Roman" w:hAnsi="Times New Roman"/>
          <w:b/>
          <w:bCs/>
          <w:color w:val="1A1A1A"/>
          <w:sz w:val="24"/>
          <w:szCs w:val="24"/>
        </w:rPr>
        <w:t xml:space="preserve">Critère 6 — Corpus : </w:t>
      </w:r>
      <w:r>
        <w:rPr>
          <w:rFonts w:ascii="Times New Roman" w:cs="Times New Roman" w:eastAsia="Times New Roman" w:hAnsi="Times New Roman"/>
          <w:color w:val="1A1A1A"/>
          <w:sz w:val="24"/>
          <w:szCs w:val="24"/>
        </w:rPr>
        <w:t xml:space="preserve">Le corpus camerounais contient au minimum 500 SMS annotés, répartis équitablement entre phishing et légitimes.</w:t>
      </w:r>
    </w:p>
    <w:p>
      <w:pPr>
        <w:spacing w:after="0" w:before="200"/>
      </w:pPr>
      <w:r>
        <w:t xml:space="preserve"/>
      </w:r>
    </w:p>
    <w:p>
      <w:pPr>
        <w:pBdr>
          <w:top w:val="single" w:color="CCCCCC" w:sz="2" w:space="8"/>
        </w:pBdr>
        <w:spacing w:after="0" w:before="480"/>
        <w:jc w:val="center"/>
      </w:pPr>
      <w:r>
        <w:rPr>
          <w:rFonts w:ascii="Arial" w:cs="Arial" w:eastAsia="Arial" w:hAnsi="Arial"/>
          <w:i/>
          <w:iCs/>
          <w:color w:val="707070"/>
          <w:sz w:val="20"/>
          <w:szCs w:val="20"/>
        </w:rPr>
        <w:t xml:space="preserve">— Fin du Chapitre 3 — Fin de la Partie 1 : Cahier des charges —</w:t>
      </w:r>
    </w:p>
    <w:sectPr>
      <w:footerReference w:type="default" r:id="rId7"/>
      <w:pgSz w:w="11906" w:h="16838" w:orient="portrait"/>
      <w:pgMar w:top="1440" w:right="126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07070"/>
        <w:sz w:val="18"/>
        <w:szCs w:val="18"/>
      </w:rPr>
      <w:t xml:space="preserve">Projet tutoré — IA &amp; Cybersécurité au Cameroun   |   </w:t>
    </w:r>
    <w:r>
      <w:rPr>
        <w:rFonts w:ascii="Arial" w:cs="Arial" w:eastAsia="Arial" w:hAnsi="Arial"/>
        <w:color w:val="7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80" w:before="48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320"/>
      <w:outlineLvl w:val="2"/>
    </w:pPr>
    <w:rPr>
      <w:rFonts w:ascii="Arial" w:cs="Arial" w:eastAsia="Arial" w:hAnsi="Arial"/>
      <w:b/>
      <w:bCs/>
      <w:color w:val="4A4A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2026-06-06T17:41:25.477Z</dcterms:created>
  <dcterms:modified xsi:type="dcterms:W3CDTF">2026-06-06T17:41:25.492Z</dcterms:modified>
</cp:coreProperties>
</file>

<file path=docProps/custom.xml><?xml version="1.0" encoding="utf-8"?>
<Properties xmlns="http://schemas.openxmlformats.org/officeDocument/2006/custom-properties" xmlns:vt="http://schemas.openxmlformats.org/officeDocument/2006/docPropsVTypes"/>
</file>