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240"/>
      </w:pPr>
      <w:r>
        <w:rPr>
          <w:rFonts w:ascii="Arial" w:cs="Arial" w:eastAsia="Arial" w:hAnsi="Arial"/>
          <w:color w:val="707070"/>
          <w:sz w:val="22"/>
          <w:szCs w:val="22"/>
        </w:rPr>
        <w:t xml:space="preserve">CHAPITRE 4</w:t>
      </w:r>
    </w:p>
    <w:p>
      <w:pPr>
        <w:pStyle w:val="Heading1"/>
        <w:pBdr>
          <w:bottom w:val="single" w:color="1B3A6B" w:sz="6" w:space="8"/>
        </w:pBdr>
        <w:spacing w:after="320" w:before="0"/>
      </w:pPr>
      <w:r>
        <w:rPr>
          <w:rFonts w:ascii="Arial" w:cs="Arial" w:eastAsia="Arial" w:hAnsi="Arial"/>
          <w:b/>
          <w:bCs/>
          <w:color w:val="1B3A6B"/>
          <w:sz w:val="36"/>
          <w:szCs w:val="36"/>
        </w:rPr>
        <w:t xml:space="preserve">Architecture générale du système</w:t>
      </w:r>
    </w:p>
    <w:p>
      <w:pPr>
        <w:spacing w:after="0" w:before="16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Modéliser avant de coder — c'est une discipline que les projets pressés sacrifient souvent en premier. On préfère avoir quelque chose qui tourne vite, quitte à tout reécrire plus tard. Ce projet prend le parti inverse. Nous prenons le temps ici de poser l'architecture complète du système, de préciser les responsabilités de chaque bloc, de formaliser les flux de données entre eux et de définir le schéma de la base qui les relie. Ce travail de modélisation est la fondation sur laquelle les deux équipes vont construire en parallèle sans se marcher dessus.</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4.1  Vision d'ensemble — architecture en cinq blocs</w:t>
      </w:r>
    </w:p>
    <w:p>
      <w:pPr>
        <w:spacing w:after="200" w:before="0" w:line="360"/>
        <w:ind w:firstLine="720"/>
        <w:jc w:val="both"/>
      </w:pPr>
      <w:r>
        <w:rPr>
          <w:rFonts w:ascii="Times New Roman" w:cs="Times New Roman" w:eastAsia="Times New Roman" w:hAnsi="Times New Roman"/>
          <w:color w:val="1A1A1A"/>
          <w:sz w:val="24"/>
          <w:szCs w:val="24"/>
        </w:rPr>
        <w:t xml:space="preserve">Le système est découpé en cinq blocs fonctionnels, chacun indépendant dans son implémentation mais connecté aux autres par des interfaces définies. Ce découpage n'est pas arbitraire : il reflète la séparation naturelle entre les deux domaines de compétence engagés dans ce projet — la cybersécurité réseau d'un côté, l'intelligence artificielle de l'autre — tout en ménageant des zones d'interface communes où les deux équipes collaborent directement.</w:t>
      </w:r>
    </w:p>
    <w:p>
      <w:pPr>
        <w:spacing w:after="200" w:before="0" w:line="360"/>
        <w:ind w:firstLine="720"/>
        <w:jc w:val="both"/>
      </w:pPr>
      <w:r>
        <w:rPr>
          <w:rFonts w:ascii="Times New Roman" w:cs="Times New Roman" w:eastAsia="Times New Roman" w:hAnsi="Times New Roman"/>
          <w:color w:val="1A1A1A"/>
          <w:sz w:val="24"/>
          <w:szCs w:val="24"/>
        </w:rPr>
        <w:t xml:space="preserve">Les données entrent dans le système par deux points d'ingestion distincts : le Bloc 1 pour les vulnérabilités réseau, le Bloc 2 pour les données textuelles de phishing. Elles convergent vers le Bloc 3 — le moteur d'intelligence artificielle — qui les analyse et produit des scores. Ces scores alimentent le Bloc 4 — le moteur de corrélation — qui génère des alertes composites. Enfin, le Bloc 5 centralise l'ensemble dans un dashboard SOC consultable par l'analyste.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B3A6B" w:sz="2"/>
              <w:left w:val="single" w:color="1B3A6B" w:sz="2"/>
              <w:bottom w:val="single" w:color="1B3A6B" w:sz="2"/>
              <w:right w:val="single" w:color="1B3A6B" w:sz="2"/>
            </w:tcBorders>
            <w:shd w:fill="1B3A6B"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Figure 4.1 — Architecture générale : les 5 blocs fonctionnels et leurs connexions</w:t>
            </w:r>
          </w:p>
        </w:tc>
      </w:tr>
      <w:tr>
        <w:trPr>
          <w:trHeight w:val="4800" w:hRule="exact"/>
        </w:trPr>
        <w:tc>
          <w:tcPr>
            <w:tcW w:type="dxa" w:w="9000"/>
            <w:tcBorders>
              <w:top w:val="dashed" w:color="AAAAAA" w:sz="4"/>
              <w:left w:val="dashed" w:color="AAAAAA" w:sz="4"/>
              <w:bottom w:val="dashed" w:color="AAAAAA" w:sz="4"/>
              <w:right w:val="dashed" w:color="AAAAAA" w:sz="4"/>
            </w:tcBorders>
            <w:shd w:fill="F8F8F8" w:val="clear"/>
            <w:tcMar>
              <w:top w:type="dxa" w:w="200"/>
              <w:left w:type="dxa" w:w="200"/>
              <w:bottom w:type="dxa" w:w="200"/>
              <w:right w:type="dxa" w:w="200"/>
            </w:tcMar>
          </w:tcPr>
          <w:p>
            <w:pPr>
              <w:spacing w:after="80" w:before="200"/>
              <w:jc w:val="center"/>
            </w:pPr>
            <w:r>
              <w:rPr>
                <w:rFonts w:ascii="Arial" w:cs="Arial" w:eastAsia="Arial" w:hAnsi="Arial"/>
                <w:b/>
                <w:bCs/>
                <w:color w:val="AAAAAA"/>
                <w:sz w:val="26"/>
                <w:szCs w:val="26"/>
              </w:rPr>
              <w:t xml:space="preserve">[ DIAGRAMME À INSÉRER ICI ]</w:t>
            </w:r>
          </w:p>
          <w:p>
            <w:pPr>
              <w:spacing w:after="80" w:before="0"/>
              <w:jc w:val="center"/>
            </w:pPr>
            <w:r>
              <w:rPr>
                <w:rFonts w:ascii="Courier New" w:cs="Courier New" w:eastAsia="Courier New" w:hAnsi="Courier New"/>
                <w:b/>
                <w:bCs/>
                <w:color w:val="1B3A6B"/>
                <w:sz w:val="20"/>
                <w:szCs w:val="20"/>
              </w:rPr>
              <w:t xml:space="preserve">Ouvrir le fichier :  arch_generale_5blocs.drawio</w:t>
            </w:r>
          </w:p>
          <w:p>
            <w:pPr>
              <w:spacing w:after="80" w:before="0"/>
              <w:jc w:val="center"/>
            </w:pPr>
            <w:r>
              <w:rPr>
                <w:rFonts w:ascii="Arial" w:cs="Arial" w:eastAsia="Arial" w:hAnsi="Arial"/>
                <w:i/>
                <w:iCs/>
                <w:color w:val="888888"/>
                <w:sz w:val="19"/>
                <w:szCs w:val="19"/>
              </w:rPr>
              <w:t xml:space="preserve">avec draw.io (app.diagrams.net) → Exporter en PNG 300dpi</w:t>
            </w:r>
          </w:p>
          <w:p>
            <w:pPr>
              <w:spacing w:after="0" w:before="60"/>
              <w:jc w:val="center"/>
            </w:pPr>
            <w:r>
              <w:rPr>
                <w:rFonts w:ascii="Arial" w:cs="Arial" w:eastAsia="Arial" w:hAnsi="Arial"/>
                <w:i/>
                <w:iCs/>
                <w:color w:val="888888"/>
                <w:sz w:val="19"/>
                <w:szCs w:val="19"/>
              </w:rPr>
              <w:t xml:space="preserve">Puis : Insertion → Image → sélectionner le PNG exporté</w:t>
            </w:r>
          </w:p>
        </w:tc>
      </w:tr>
    </w:tbl>
    <w:p>
      <w:pPr>
        <w:spacing w:after="280" w:before="80"/>
        <w:jc w:val="center"/>
      </w:pPr>
      <w:r>
        <w:rPr>
          <w:rFonts w:ascii="Arial" w:cs="Arial" w:eastAsia="Arial" w:hAnsi="Arial"/>
          <w:b/>
          <w:bCs/>
          <w:color w:val="4A4A4A"/>
          <w:sz w:val="20"/>
          <w:szCs w:val="20"/>
        </w:rPr>
        <w:t xml:space="preserve">Figure 4.1 — </w:t>
      </w:r>
      <w:r>
        <w:rPr>
          <w:rFonts w:ascii="Arial" w:cs="Arial" w:eastAsia="Arial" w:hAnsi="Arial"/>
          <w:i/>
          <w:iCs/>
          <w:color w:val="4A4A4A"/>
          <w:sz w:val="20"/>
          <w:szCs w:val="20"/>
        </w:rPr>
        <w:t xml:space="preserve">Architecture générale du système — flux de données entre les 5 blocs fonctionnels</w:t>
      </w:r>
    </w:p>
    <w:p>
      <w:pPr>
        <w:spacing w:after="0" w:before="8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Le diagramme ci-dessus met en évidence deux caractéristiques importantes. D'abord, la parallélisation des flux : les Blocs 1 et 2 opèrent simultanément et de façon indépendante — un scan peut être en cours pendant qu'une analyse de SMS phishing est réalisée. Ensuite, la convergence vers le Bloc 3 qui joue le rôle de nœud central de traitement : c'est lui qui unifie les deux flux sous forme de scores normalisés, créant ainsi un langage commun que le moteur de corrélation peut exploiter.</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4.2  Description détaillée de chaque bloc</w:t>
      </w:r>
    </w:p>
    <w:p>
      <w:pPr>
        <w:pStyle w:val="Heading3"/>
        <w:spacing w:after="120" w:before="320"/>
      </w:pPr>
      <w:r>
        <w:rPr>
          <w:rFonts w:ascii="Arial" w:cs="Arial" w:eastAsia="Arial" w:hAnsi="Arial"/>
          <w:b/>
          <w:bCs/>
          <w:color w:val="4A4A4A"/>
          <w:sz w:val="25"/>
          <w:szCs w:val="25"/>
        </w:rPr>
        <w:t xml:space="preserve">4.2.1  Bloc 1 — Scan de vulnérabilités (Équipe Cybersécurité — C1)</w:t>
      </w:r>
    </w:p>
    <w:p>
      <w:pPr>
        <w:spacing w:after="200" w:before="0" w:line="360"/>
        <w:ind w:firstLine="720"/>
        <w:jc w:val="both"/>
      </w:pPr>
      <w:r>
        <w:rPr>
          <w:rFonts w:ascii="Times New Roman" w:cs="Times New Roman" w:eastAsia="Times New Roman" w:hAnsi="Times New Roman"/>
          <w:color w:val="1A1A1A"/>
          <w:sz w:val="24"/>
          <w:szCs w:val="24"/>
        </w:rPr>
        <w:t xml:space="preserve">Le Bloc 1 est le point d'entrée des données de sécurité réseau. Son rôle est de scanner une application web cible, d'identifier les vulnérabilités présentes, et d'exporter les résultats sous une forme structurée exploitable par le reste du système.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Entrée : une URL cible fournie par l'analyste via le dashboard ou l'API.</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Traitement : exploration automatique du site (spider), puis scan actif OWASP ZAP, puis enrichissement des CVE détectés via l'API NVD du NIST.</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Sortie : un fichier JSON normalisé contenant la liste des vulnérabilités avec type, score CVSS, endpoint affecté et description.</w:t>
      </w:r>
    </w:p>
    <w:p>
      <w:pPr>
        <w:spacing w:after="0" w:before="6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Ce bloc est entièrement sous la responsabilité de l'équipe Cybersécurité. Il constitue la source principale des données d'entraînement et de test pour le modèle de scoring du Bloc 3b, raison pour laquelle le format de sortie JSON a été défini conjointement avec l'équipe IA dès la phase de cahier des charges.</w:t>
      </w:r>
    </w:p>
    <w:p>
      <w:pPr>
        <w:pStyle w:val="Heading3"/>
        <w:spacing w:after="120" w:before="320"/>
      </w:pPr>
      <w:r>
        <w:rPr>
          <w:rFonts w:ascii="Arial" w:cs="Arial" w:eastAsia="Arial" w:hAnsi="Arial"/>
          <w:b/>
          <w:bCs/>
          <w:color w:val="4A4A4A"/>
          <w:sz w:val="25"/>
          <w:szCs w:val="25"/>
        </w:rPr>
        <w:t xml:space="preserve">4.2.2  Bloc 2 — Collecte et prétraitement des données phishing (Équipe IA — I3)</w:t>
      </w:r>
    </w:p>
    <w:p>
      <w:pPr>
        <w:spacing w:after="200" w:before="0" w:line="360"/>
        <w:ind w:firstLine="720"/>
        <w:jc w:val="both"/>
      </w:pPr>
      <w:r>
        <w:rPr>
          <w:rFonts w:ascii="Times New Roman" w:cs="Times New Roman" w:eastAsia="Times New Roman" w:hAnsi="Times New Roman"/>
          <w:color w:val="1A1A1A"/>
          <w:sz w:val="24"/>
          <w:szCs w:val="24"/>
        </w:rPr>
        <w:t xml:space="preserve">Le Bloc 2 gère tout ce qui touche aux données textuelles : SMS Mobile Money, emails, URLs suspectes. Sa mission est double — constituer et maintenir le corpus d'entraînement des modèles NLP, et prétraiter en temps réel les textes soumis à l'analyse.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Sources : datasets publics Kaggle, PhishTank pour les URLs, corpus synthétique camerounais généré par l'équipe.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Prétraitement : nettoyage du texte (suppression HTML, normalisation Unicode), tokenisation, extraction des features URL (longueur, TLD, sous-domaines), détection de langue.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Sortie : textes nettoyés et vectorisés prêts à être ingérés par les modèles du Bloc 3a.</w:t>
      </w:r>
    </w:p>
    <w:p>
      <w:pPr>
        <w:pStyle w:val="Heading3"/>
        <w:spacing w:after="120" w:before="320"/>
      </w:pPr>
      <w:r>
        <w:rPr>
          <w:rFonts w:ascii="Arial" w:cs="Arial" w:eastAsia="Arial" w:hAnsi="Arial"/>
          <w:b/>
          <w:bCs/>
          <w:color w:val="4A4A4A"/>
          <w:sz w:val="25"/>
          <w:szCs w:val="25"/>
        </w:rPr>
        <w:t xml:space="preserve">4.2.3  Bloc 3 — Moteur d'intelligence artificielle (Équipe IA — I1 + I2)</w:t>
      </w:r>
    </w:p>
    <w:p>
      <w:pPr>
        <w:spacing w:after="200" w:before="0" w:line="360"/>
        <w:ind w:firstLine="720"/>
        <w:jc w:val="both"/>
      </w:pPr>
      <w:r>
        <w:rPr>
          <w:rFonts w:ascii="Times New Roman" w:cs="Times New Roman" w:eastAsia="Times New Roman" w:hAnsi="Times New Roman"/>
          <w:color w:val="1A1A1A"/>
          <w:sz w:val="24"/>
          <w:szCs w:val="24"/>
        </w:rPr>
        <w:t xml:space="preserve">Le Bloc 3 est le cœur analytique du système. Il comprend deux sous-modules qui fonctionnent en parallèle et de façon indépendante.</w:t>
      </w:r>
    </w:p>
    <w:p>
      <w:pPr>
        <w:spacing w:after="80" w:before="240"/>
      </w:pPr>
      <w:r>
        <w:rPr>
          <w:rFonts w:ascii="Arial" w:cs="Arial" w:eastAsia="Arial" w:hAnsi="Arial"/>
          <w:b/>
          <w:bCs/>
          <w:i/>
          <w:iCs/>
          <w:color w:val="1A1A1A"/>
          <w:sz w:val="23"/>
          <w:szCs w:val="23"/>
        </w:rPr>
        <w:t xml:space="preserve">Sous-module 3a — Détection de phishing par NLP (I1)</w:t>
      </w:r>
    </w:p>
    <w:p>
      <w:pPr>
        <w:spacing w:after="200" w:before="0" w:line="360"/>
        <w:ind/>
        <w:jc w:val="both"/>
      </w:pPr>
      <w:r>
        <w:rPr>
          <w:rFonts w:ascii="Times New Roman" w:cs="Times New Roman" w:eastAsia="Times New Roman" w:hAnsi="Times New Roman"/>
          <w:color w:val="1A1A1A"/>
          <w:sz w:val="24"/>
          <w:szCs w:val="24"/>
        </w:rPr>
        <w:t xml:space="preserve">Ce sous-module prend en entrée un texte brut — SMS, email ou URL — et retourne une probabilité de phishing. Il s'appuie sur une architecture en deux niveaux : un modèle baseline TF-IDF + Random Forest pour les cas simples et les besoins de rapidité, et un modèle BERT multilingue fine-tuné pour les cas ambigus nécessitant une compréhension sémantique plus fine. Le choix du modèle à utiliser pour chaque requête peut être paramétré depuis l'API.</w:t>
      </w:r>
    </w:p>
    <w:p>
      <w:pPr>
        <w:spacing w:after="80" w:before="240"/>
      </w:pPr>
      <w:r>
        <w:rPr>
          <w:rFonts w:ascii="Arial" w:cs="Arial" w:eastAsia="Arial" w:hAnsi="Arial"/>
          <w:b/>
          <w:bCs/>
          <w:i/>
          <w:iCs/>
          <w:color w:val="1A1A1A"/>
          <w:sz w:val="23"/>
          <w:szCs w:val="23"/>
        </w:rPr>
        <w:t xml:space="preserve">Sous-module 3b — Scoring contextuel des vulnérabilités (I2)</w:t>
      </w:r>
    </w:p>
    <w:p>
      <w:pPr>
        <w:spacing w:after="200" w:before="0" w:line="360"/>
        <w:ind/>
        <w:jc w:val="both"/>
      </w:pPr>
      <w:r>
        <w:rPr>
          <w:rFonts w:ascii="Times New Roman" w:cs="Times New Roman" w:eastAsia="Times New Roman" w:hAnsi="Times New Roman"/>
          <w:color w:val="1A1A1A"/>
          <w:sz w:val="24"/>
          <w:szCs w:val="24"/>
        </w:rPr>
        <w:t xml:space="preserve">Ce sous-module reçoit les données JSON du Bloc 1 et produit un score de priorité contextualisé pour chaque vulnérabilité. Contrairement au score CVSS brut qui évalue la vulnérabilité dans l'absolu, ce scoring intègre les caractéristiques d'exposition du service concerné : est-il accessible depuis l'extérieur ? Est-il protégé par une autre couche de sécurité ? Existe-t-il un exploit public connu ? XGBoost est l'algorithme principal, avec Random Forest comme modèle de comparaison dans l'évaluation.</w:t>
      </w:r>
    </w:p>
    <w:p>
      <w:pPr>
        <w:pStyle w:val="Heading3"/>
        <w:spacing w:after="120" w:before="320"/>
      </w:pPr>
      <w:r>
        <w:rPr>
          <w:rFonts w:ascii="Arial" w:cs="Arial" w:eastAsia="Arial" w:hAnsi="Arial"/>
          <w:b/>
          <w:bCs/>
          <w:color w:val="4A4A4A"/>
          <w:sz w:val="25"/>
          <w:szCs w:val="25"/>
        </w:rPr>
        <w:t xml:space="preserve">4.2.4  Bloc 4 — Moteur de corrélation (Commun — C2 + I1)</w:t>
      </w:r>
    </w:p>
    <w:p>
      <w:pPr>
        <w:spacing w:after="200" w:before="0" w:line="360"/>
        <w:ind w:firstLine="720"/>
        <w:jc w:val="both"/>
      </w:pPr>
      <w:r>
        <w:rPr>
          <w:rFonts w:ascii="Times New Roman" w:cs="Times New Roman" w:eastAsia="Times New Roman" w:hAnsi="Times New Roman"/>
          <w:color w:val="1A1A1A"/>
          <w:sz w:val="24"/>
          <w:szCs w:val="24"/>
        </w:rPr>
        <w:t xml:space="preserve">Le Bloc 4 est la pièce architecturale la plus originale de ce projet. Il reçoit simultanément les sorties du Bloc 3a (scores phishing avec domaines extraits) et du Bloc 3b (vulnérabilités scorées avec endpoints), et cherche des liens entre ces deux flux.</w:t>
      </w:r>
    </w:p>
    <w:p>
      <w:pPr>
        <w:spacing w:after="200" w:before="0" w:line="360"/>
        <w:ind/>
        <w:jc w:val="both"/>
      </w:pPr>
      <w:r>
        <w:rPr>
          <w:rFonts w:ascii="Times New Roman" w:cs="Times New Roman" w:eastAsia="Times New Roman" w:hAnsi="Times New Roman"/>
          <w:color w:val="1A1A1A"/>
          <w:sz w:val="24"/>
          <w:szCs w:val="24"/>
        </w:rPr>
        <w:t xml:space="preserve">La logique de corrélation repose sur plusieurs règles de matching, appliquées par ordre de priorité : correspondance exacte de domaine entre une URL phishing détectée et un site vulnérable scanné, similarité de TLD ou de mots-clés dans les noms de domaine, et co-occurrence temporelle d'événements suspects sur les mêmes plages IP. Lorsqu'une corrélation est établie, une alerte composite est générée avec un score de risque agrégé et une recommandation d'action prioritaire.</w:t>
      </w:r>
    </w:p>
    <w:p>
      <w:pPr>
        <w:pStyle w:val="Heading3"/>
        <w:spacing w:after="120" w:before="320"/>
      </w:pPr>
      <w:r>
        <w:rPr>
          <w:rFonts w:ascii="Arial" w:cs="Arial" w:eastAsia="Arial" w:hAnsi="Arial"/>
          <w:b/>
          <w:bCs/>
          <w:color w:val="4A4A4A"/>
          <w:sz w:val="25"/>
          <w:szCs w:val="25"/>
        </w:rPr>
        <w:t xml:space="preserve">4.2.5  Bloc 5 — Dashboard SOC et API REST (Équipe Cybersécurité — C3)</w:t>
      </w:r>
    </w:p>
    <w:p>
      <w:pPr>
        <w:spacing w:after="200" w:before="0" w:line="360"/>
        <w:ind w:firstLine="720"/>
        <w:jc w:val="both"/>
      </w:pPr>
      <w:r>
        <w:rPr>
          <w:rFonts w:ascii="Times New Roman" w:cs="Times New Roman" w:eastAsia="Times New Roman" w:hAnsi="Times New Roman"/>
          <w:color w:val="1A1A1A"/>
          <w:sz w:val="24"/>
          <w:szCs w:val="24"/>
        </w:rPr>
        <w:t xml:space="preserve">Le Bloc 5 est l'interface entre le système et ses utilisateurs. Il comprend deux composants : une API REST développée en Flask qui expose l'ensemble des fonctionnalités du système aux clients externes, et un dashboard React.js qui offre une interface graphique aux analystes SOC.</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API REST : endpoints pour déclencher un scan, soumettre un texte à l'analyse phishing, consulter les alertes, exporter un rapport.</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Dashboard : liste des alertes triées par criticité, graphiques de tendance sur 30 jours, détail de chaque alerte avec contexte et recommandation, export PDF.</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Base de données PostgreSQL : stockage persistant de toutes les données produites par les blocs amont.</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4.3  Flux de données — diagramme de séquence</w:t>
      </w:r>
    </w:p>
    <w:p>
      <w:pPr>
        <w:spacing w:after="200" w:before="0" w:line="360"/>
        <w:ind w:firstLine="720"/>
        <w:jc w:val="both"/>
      </w:pPr>
      <w:r>
        <w:rPr>
          <w:rFonts w:ascii="Times New Roman" w:cs="Times New Roman" w:eastAsia="Times New Roman" w:hAnsi="Times New Roman"/>
          <w:color w:val="1A1A1A"/>
          <w:sz w:val="24"/>
          <w:szCs w:val="24"/>
        </w:rPr>
        <w:t xml:space="preserve">Le diagramme de séquence ci-dessous retrace le parcours complet d'une analyse de bout en bout, depuis le déclenchement du scan par l'analyste jusqu'à l'affichage de l'alerte sur le dashboard. Il met en évidence les échanges entre blocs et l'ordre de traitement des opérations.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B3A6B" w:sz="2"/>
              <w:left w:val="single" w:color="1B3A6B" w:sz="2"/>
              <w:bottom w:val="single" w:color="1B3A6B" w:sz="2"/>
              <w:right w:val="single" w:color="1B3A6B" w:sz="2"/>
            </w:tcBorders>
            <w:shd w:fill="1B3A6B"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Figure 4.2 — Diagramme de séquence : flux de données de l'analyste au dashboard SOC</w:t>
            </w:r>
          </w:p>
        </w:tc>
      </w:tr>
      <w:tr>
        <w:trPr>
          <w:trHeight w:val="5400" w:hRule="exact"/>
        </w:trPr>
        <w:tc>
          <w:tcPr>
            <w:tcW w:type="dxa" w:w="9000"/>
            <w:tcBorders>
              <w:top w:val="dashed" w:color="AAAAAA" w:sz="4"/>
              <w:left w:val="dashed" w:color="AAAAAA" w:sz="4"/>
              <w:bottom w:val="dashed" w:color="AAAAAA" w:sz="4"/>
              <w:right w:val="dashed" w:color="AAAAAA" w:sz="4"/>
            </w:tcBorders>
            <w:shd w:fill="F8F8F8" w:val="clear"/>
            <w:tcMar>
              <w:top w:type="dxa" w:w="200"/>
              <w:left w:type="dxa" w:w="200"/>
              <w:bottom w:type="dxa" w:w="200"/>
              <w:right w:type="dxa" w:w="200"/>
            </w:tcMar>
          </w:tcPr>
          <w:p>
            <w:pPr>
              <w:spacing w:after="80" w:before="200"/>
              <w:jc w:val="center"/>
            </w:pPr>
            <w:r>
              <w:rPr>
                <w:rFonts w:ascii="Arial" w:cs="Arial" w:eastAsia="Arial" w:hAnsi="Arial"/>
                <w:b/>
                <w:bCs/>
                <w:color w:val="AAAAAA"/>
                <w:sz w:val="26"/>
                <w:szCs w:val="26"/>
              </w:rPr>
              <w:t xml:space="preserve">[ DIAGRAMME À INSÉRER ICI ]</w:t>
            </w:r>
          </w:p>
          <w:p>
            <w:pPr>
              <w:spacing w:after="80" w:before="0"/>
              <w:jc w:val="center"/>
            </w:pPr>
            <w:r>
              <w:rPr>
                <w:rFonts w:ascii="Courier New" w:cs="Courier New" w:eastAsia="Courier New" w:hAnsi="Courier New"/>
                <w:b/>
                <w:bCs/>
                <w:color w:val="1B3A6B"/>
                <w:sz w:val="20"/>
                <w:szCs w:val="20"/>
              </w:rPr>
              <w:t xml:space="preserve">Ouvrir le fichier :  sequence_flux_donnees.drawio</w:t>
            </w:r>
          </w:p>
          <w:p>
            <w:pPr>
              <w:spacing w:after="80" w:before="0"/>
              <w:jc w:val="center"/>
            </w:pPr>
            <w:r>
              <w:rPr>
                <w:rFonts w:ascii="Arial" w:cs="Arial" w:eastAsia="Arial" w:hAnsi="Arial"/>
                <w:i/>
                <w:iCs/>
                <w:color w:val="888888"/>
                <w:sz w:val="19"/>
                <w:szCs w:val="19"/>
              </w:rPr>
              <w:t xml:space="preserve">avec draw.io (app.diagrams.net) → Exporter en PNG 300dpi</w:t>
            </w:r>
          </w:p>
          <w:p>
            <w:pPr>
              <w:spacing w:after="0" w:before="60"/>
              <w:jc w:val="center"/>
            </w:pPr>
            <w:r>
              <w:rPr>
                <w:rFonts w:ascii="Arial" w:cs="Arial" w:eastAsia="Arial" w:hAnsi="Arial"/>
                <w:i/>
                <w:iCs/>
                <w:color w:val="888888"/>
                <w:sz w:val="19"/>
                <w:szCs w:val="19"/>
              </w:rPr>
              <w:t xml:space="preserve">Puis : Insertion → Image → sélectionner le PNG exporté</w:t>
            </w:r>
          </w:p>
        </w:tc>
      </w:tr>
    </w:tbl>
    <w:p>
      <w:pPr>
        <w:spacing w:after="280" w:before="80"/>
        <w:jc w:val="center"/>
      </w:pPr>
      <w:r>
        <w:rPr>
          <w:rFonts w:ascii="Arial" w:cs="Arial" w:eastAsia="Arial" w:hAnsi="Arial"/>
          <w:b/>
          <w:bCs/>
          <w:color w:val="4A4A4A"/>
          <w:sz w:val="20"/>
          <w:szCs w:val="20"/>
        </w:rPr>
        <w:t xml:space="preserve">Figure 4.2 — </w:t>
      </w:r>
      <w:r>
        <w:rPr>
          <w:rFonts w:ascii="Arial" w:cs="Arial" w:eastAsia="Arial" w:hAnsi="Arial"/>
          <w:i/>
          <w:iCs/>
          <w:color w:val="4A4A4A"/>
          <w:sz w:val="20"/>
          <w:szCs w:val="20"/>
        </w:rPr>
        <w:t xml:space="preserve">Diagramme de séquence — flux complet de traitement d'une analyse de sécurité</w:t>
      </w:r>
    </w:p>
    <w:p>
      <w:pPr>
        <w:spacing w:after="0" w:before="8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Plusieurs points méritent d'être soulignés à la lecture de ce diagramme. D'abord, les étapes 2 et 3 (traitement ZAP et alimentation du Bloc 3) sont séquentielles : on ne peut scorer les vulnérabilités avant de les avoir détectées. En revanche, la soumission d'un texte phishing (étape 3 côté Bloc 2 → Bloc 3a) peut se faire en parallèle du scan réseau — les deux pipelines sont indépendants jusqu'au Bloc 4. Cette indépendance est intentionnelle : elle permet de détecter du phishing même en l'absence de scan réseau préalable, et vice versa.</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4.4  Schéma de la base de données</w:t>
      </w:r>
    </w:p>
    <w:p>
      <w:pPr>
        <w:spacing w:after="200" w:before="0" w:line="360"/>
        <w:ind w:firstLine="720"/>
        <w:jc w:val="both"/>
      </w:pPr>
      <w:r>
        <w:rPr>
          <w:rFonts w:ascii="Times New Roman" w:cs="Times New Roman" w:eastAsia="Times New Roman" w:hAnsi="Times New Roman"/>
          <w:color w:val="1A1A1A"/>
          <w:sz w:val="24"/>
          <w:szCs w:val="24"/>
        </w:rPr>
        <w:t xml:space="preserve">Toutes les données persistantes du système sont stockées dans une base PostgreSQL. Le schéma a été conçu pour refléter fidèlement l'architecture en cinq blocs : chaque entité principale correspond à un type de données produit par l'un des blocs.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B3A6B" w:sz="2"/>
              <w:left w:val="single" w:color="1B3A6B" w:sz="2"/>
              <w:bottom w:val="single" w:color="1B3A6B" w:sz="2"/>
              <w:right w:val="single" w:color="1B3A6B" w:sz="2"/>
            </w:tcBorders>
            <w:shd w:fill="1B3A6B"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Figure 4.3 — Schéma Entité-Relation de la base de données PostgreSQL</w:t>
            </w:r>
          </w:p>
        </w:tc>
      </w:tr>
      <w:tr>
        <w:trPr>
          <w:trHeight w:val="4500" w:hRule="exact"/>
        </w:trPr>
        <w:tc>
          <w:tcPr>
            <w:tcW w:type="dxa" w:w="9000"/>
            <w:tcBorders>
              <w:top w:val="dashed" w:color="AAAAAA" w:sz="4"/>
              <w:left w:val="dashed" w:color="AAAAAA" w:sz="4"/>
              <w:bottom w:val="dashed" w:color="AAAAAA" w:sz="4"/>
              <w:right w:val="dashed" w:color="AAAAAA" w:sz="4"/>
            </w:tcBorders>
            <w:shd w:fill="F8F8F8" w:val="clear"/>
            <w:tcMar>
              <w:top w:type="dxa" w:w="200"/>
              <w:left w:type="dxa" w:w="200"/>
              <w:bottom w:type="dxa" w:w="200"/>
              <w:right w:type="dxa" w:w="200"/>
            </w:tcMar>
          </w:tcPr>
          <w:p>
            <w:pPr>
              <w:spacing w:after="80" w:before="200"/>
              <w:jc w:val="center"/>
            </w:pPr>
            <w:r>
              <w:rPr>
                <w:rFonts w:ascii="Arial" w:cs="Arial" w:eastAsia="Arial" w:hAnsi="Arial"/>
                <w:b/>
                <w:bCs/>
                <w:color w:val="AAAAAA"/>
                <w:sz w:val="26"/>
                <w:szCs w:val="26"/>
              </w:rPr>
              <w:t xml:space="preserve">[ DIAGRAMME À INSÉRER ICI ]</w:t>
            </w:r>
          </w:p>
          <w:p>
            <w:pPr>
              <w:spacing w:after="80" w:before="0"/>
              <w:jc w:val="center"/>
            </w:pPr>
            <w:r>
              <w:rPr>
                <w:rFonts w:ascii="Courier New" w:cs="Courier New" w:eastAsia="Courier New" w:hAnsi="Courier New"/>
                <w:b/>
                <w:bCs/>
                <w:color w:val="1B3A6B"/>
                <w:sz w:val="20"/>
                <w:szCs w:val="20"/>
              </w:rPr>
              <w:t xml:space="preserve">Ouvrir le fichier :  schema_bdd.drawio</w:t>
            </w:r>
          </w:p>
          <w:p>
            <w:pPr>
              <w:spacing w:after="80" w:before="0"/>
              <w:jc w:val="center"/>
            </w:pPr>
            <w:r>
              <w:rPr>
                <w:rFonts w:ascii="Arial" w:cs="Arial" w:eastAsia="Arial" w:hAnsi="Arial"/>
                <w:i/>
                <w:iCs/>
                <w:color w:val="888888"/>
                <w:sz w:val="19"/>
                <w:szCs w:val="19"/>
              </w:rPr>
              <w:t xml:space="preserve">avec draw.io (app.diagrams.net) → Exporter en PNG 300dpi</w:t>
            </w:r>
          </w:p>
          <w:p>
            <w:pPr>
              <w:spacing w:after="0" w:before="60"/>
              <w:jc w:val="center"/>
            </w:pPr>
            <w:r>
              <w:rPr>
                <w:rFonts w:ascii="Arial" w:cs="Arial" w:eastAsia="Arial" w:hAnsi="Arial"/>
                <w:i/>
                <w:iCs/>
                <w:color w:val="888888"/>
                <w:sz w:val="19"/>
                <w:szCs w:val="19"/>
              </w:rPr>
              <w:t xml:space="preserve">Puis : Insertion → Image → sélectionner le PNG exporté</w:t>
            </w:r>
          </w:p>
        </w:tc>
      </w:tr>
    </w:tbl>
    <w:p>
      <w:pPr>
        <w:spacing w:after="280" w:before="80"/>
        <w:jc w:val="center"/>
      </w:pPr>
      <w:r>
        <w:rPr>
          <w:rFonts w:ascii="Arial" w:cs="Arial" w:eastAsia="Arial" w:hAnsi="Arial"/>
          <w:b/>
          <w:bCs/>
          <w:color w:val="4A4A4A"/>
          <w:sz w:val="20"/>
          <w:szCs w:val="20"/>
        </w:rPr>
        <w:t xml:space="preserve">Figure 4.3 — </w:t>
      </w:r>
      <w:r>
        <w:rPr>
          <w:rFonts w:ascii="Arial" w:cs="Arial" w:eastAsia="Arial" w:hAnsi="Arial"/>
          <w:i/>
          <w:iCs/>
          <w:color w:val="4A4A4A"/>
          <w:sz w:val="20"/>
          <w:szCs w:val="20"/>
        </w:rPr>
        <w:t xml:space="preserve">Schéma Entité-Relation de la base de données — relations entre les 5 tables principales</w:t>
      </w:r>
    </w:p>
    <w:p>
      <w:pPr>
        <w:spacing w:after="0" w:before="8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Le schéma comprend cinq tables principales. La table </w:t>
      </w:r>
    </w:p>
    <w:p>
      <w:pPr>
        <w:spacing w:after="200" w:before="0" w:line="360"/>
        <w:ind/>
        <w:jc w:val="both"/>
      </w:pPr>
      <w:r>
        <w:rPr>
          <w:rFonts w:ascii="Times New Roman" w:cs="Times New Roman" w:eastAsia="Times New Roman" w:hAnsi="Times New Roman"/>
          <w:b/>
          <w:bCs/>
          <w:i w:val="false"/>
          <w:iCs w:val="false"/>
          <w:color w:val="1A1A1A"/>
          <w:sz w:val="24"/>
          <w:szCs w:val="24"/>
        </w:rPr>
        <w:t xml:space="preserve">scans</w:t>
      </w:r>
      <w:r>
        <w:rPr>
          <w:rFonts w:ascii="Times New Roman" w:cs="Times New Roman" w:eastAsia="Times New Roman" w:hAnsi="Times New Roman"/>
          <w:b w:val="false"/>
          <w:bCs w:val="false"/>
          <w:i w:val="false"/>
          <w:iCs w:val="false"/>
          <w:color w:val="1A1A1A"/>
          <w:sz w:val="24"/>
          <w:szCs w:val="24"/>
        </w:rPr>
        <w:t xml:space="preserve"> enregistre chaque session de scan avec sa cible et ses métadonnées. La table </w:t>
      </w:r>
      <w:r>
        <w:rPr>
          <w:rFonts w:ascii="Times New Roman" w:cs="Times New Roman" w:eastAsia="Times New Roman" w:hAnsi="Times New Roman"/>
          <w:b/>
          <w:bCs/>
          <w:i w:val="false"/>
          <w:iCs w:val="false"/>
          <w:color w:val="1A1A1A"/>
          <w:sz w:val="24"/>
          <w:szCs w:val="24"/>
        </w:rPr>
        <w:t xml:space="preserve">vulnerabilites</w:t>
      </w:r>
      <w:r>
        <w:rPr>
          <w:rFonts w:ascii="Times New Roman" w:cs="Times New Roman" w:eastAsia="Times New Roman" w:hAnsi="Times New Roman"/>
          <w:b w:val="false"/>
          <w:bCs w:val="false"/>
          <w:i w:val="false"/>
          <w:iCs w:val="false"/>
          <w:color w:val="1A1A1A"/>
          <w:sz w:val="24"/>
          <w:szCs w:val="24"/>
        </w:rPr>
        <w:t xml:space="preserve"> stocke chaque vulnérabilité détectée, référencée à son scan parent et enrichie du score ML calculé par le Bloc 3b. La table </w:t>
      </w:r>
      <w:r>
        <w:rPr>
          <w:rFonts w:ascii="Times New Roman" w:cs="Times New Roman" w:eastAsia="Times New Roman" w:hAnsi="Times New Roman"/>
          <w:b/>
          <w:bCs/>
          <w:i w:val="false"/>
          <w:iCs w:val="false"/>
          <w:color w:val="1A1A1A"/>
          <w:sz w:val="24"/>
          <w:szCs w:val="24"/>
        </w:rPr>
        <w:t xml:space="preserve">corpus_phishing</w:t>
      </w:r>
      <w:r>
        <w:rPr>
          <w:rFonts w:ascii="Times New Roman" w:cs="Times New Roman" w:eastAsia="Times New Roman" w:hAnsi="Times New Roman"/>
          <w:b w:val="false"/>
          <w:bCs w:val="false"/>
          <w:i w:val="false"/>
          <w:iCs w:val="false"/>
          <w:color w:val="1A1A1A"/>
          <w:sz w:val="24"/>
          <w:szCs w:val="24"/>
        </w:rPr>
        <w:t xml:space="preserve"> conserve les données d'entraînement et les nouvelles entrées annotées manuellement depuis le dashboard. La table </w:t>
      </w:r>
      <w:r>
        <w:rPr>
          <w:rFonts w:ascii="Times New Roman" w:cs="Times New Roman" w:eastAsia="Times New Roman" w:hAnsi="Times New Roman"/>
          <w:b/>
          <w:bCs/>
          <w:i w:val="false"/>
          <w:iCs w:val="false"/>
          <w:color w:val="1A1A1A"/>
          <w:sz w:val="24"/>
          <w:szCs w:val="24"/>
        </w:rPr>
        <w:t xml:space="preserve">analyses_phishing</w:t>
      </w:r>
      <w:r>
        <w:rPr>
          <w:rFonts w:ascii="Times New Roman" w:cs="Times New Roman" w:eastAsia="Times New Roman" w:hAnsi="Times New Roman"/>
          <w:b w:val="false"/>
          <w:bCs w:val="false"/>
          <w:i w:val="false"/>
          <w:iCs w:val="false"/>
          <w:color w:val="1A1A1A"/>
          <w:sz w:val="24"/>
          <w:szCs w:val="24"/>
        </w:rPr>
        <w:t xml:space="preserve"> enregistre chaque analyse NLP réalisée en production, avec le modèle utilisé et le résultat. Enfin, la table centrale </w:t>
      </w:r>
      <w:r>
        <w:rPr>
          <w:rFonts w:ascii="Times New Roman" w:cs="Times New Roman" w:eastAsia="Times New Roman" w:hAnsi="Times New Roman"/>
          <w:b/>
          <w:bCs/>
          <w:i w:val="false"/>
          <w:iCs w:val="false"/>
          <w:color w:val="1A1A1A"/>
          <w:sz w:val="24"/>
          <w:szCs w:val="24"/>
        </w:rPr>
        <w:t xml:space="preserve">alertes</w:t>
      </w:r>
      <w:r>
        <w:rPr>
          <w:rFonts w:ascii="Times New Roman" w:cs="Times New Roman" w:eastAsia="Times New Roman" w:hAnsi="Times New Roman"/>
          <w:b w:val="false"/>
          <w:bCs w:val="false"/>
          <w:i w:val="false"/>
          <w:iCs w:val="false"/>
          <w:color w:val="1A1A1A"/>
          <w:sz w:val="24"/>
          <w:szCs w:val="24"/>
        </w:rPr>
        <w:t xml:space="preserve"> agrège les deux flux via des clés étrangères vers vulnerabilites et analyses_phishing, permettant de retracer l'origine précise de chaque alerte composite générée par le Bloc 4.</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4.5  Tableau de synthèse des interfaces entre blocs</w:t>
      </w:r>
    </w:p>
    <w:p>
      <w:pPr>
        <w:spacing w:after="200" w:before="0" w:line="360"/>
        <w:ind w:firstLine="720"/>
        <w:jc w:val="both"/>
      </w:pPr>
      <w:r>
        <w:rPr>
          <w:rFonts w:ascii="Times New Roman" w:cs="Times New Roman" w:eastAsia="Times New Roman" w:hAnsi="Times New Roman"/>
          <w:color w:val="1A1A1A"/>
          <w:sz w:val="24"/>
          <w:szCs w:val="24"/>
        </w:rPr>
        <w:t xml:space="preserve">Le tableau suivant constitue le contrat formel entre les deux équipes. Toute modification d'une de ces interfaces en cours d'implémentation devra être validée en réunion commune avant d'être appliquée.</w:t>
      </w:r>
    </w:p>
    <w:p>
      <w:pPr>
        <w:spacing w:after="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Interface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 → Vers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Données échangées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I-01</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Bloc 1 → Bloc 3b</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JSON</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Vulnérabilités normalisées : type, CVE, CVSS, endpoint, service exposé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Bloc 2 → Bloc 3a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CSV / DataFrame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Corpus annoté : texte nettoyé, label (0/1), langue, source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I-03</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Bloc 3a → Bloc 4</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REST JSON</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Score phishing, domaine extrait, indicateurs de risque, confiance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Bloc 3b → Bloc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REST JSON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Score ML vulnérabilité, sévérité contextuelle, vuln_id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I-05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Bloc 4 → Bloc 5</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PostgreSQL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Alertes composites : severity, description, risk_score,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I-06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Bloc 5 → Analyste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HTTP REST + UI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1A1A1A"/>
                <w:sz w:val="19"/>
                <w:szCs w:val="19"/>
              </w:rPr>
              <w:t xml:space="preserve">API JSON + interface React : alertes, rapports, déclenchement scan</w:t>
            </w:r>
          </w:p>
        </w:tc>
      </w:tr>
    </w:tbl>
    <w:p>
      <w:pPr>
        <w:spacing w:after="0" w:before="12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Ce tableau sera mis à jour à chaque sprint si une interface évolue. La version de référence est celle taguée dans le repo GitHub — pas celle dans un document local non synchronisé.</w:t>
      </w:r>
    </w:p>
    <w:p>
      <w:pPr>
        <w:spacing w:after="0" w:before="200"/>
      </w:pPr>
      <w:r>
        <w:t xml:space="preserve"/>
      </w:r>
    </w:p>
    <w:p>
      <w:pPr>
        <w:pBdr>
          <w:top w:val="single" w:color="CCCCCC" w:sz="2" w:space="8"/>
        </w:pBdr>
        <w:spacing w:after="0" w:before="480"/>
        <w:jc w:val="center"/>
      </w:pPr>
      <w:r>
        <w:rPr>
          <w:rFonts w:ascii="Arial" w:cs="Arial" w:eastAsia="Arial" w:hAnsi="Arial"/>
          <w:i/>
          <w:iCs/>
          <w:color w:val="707070"/>
          <w:sz w:val="20"/>
          <w:szCs w:val="20"/>
        </w:rPr>
        <w:t xml:space="preserve">— Fin du Chapitre 4 —</w:t>
      </w:r>
    </w:p>
    <w:sectPr>
      <w:footerReference w:type="default" r:id="rId7"/>
      <w:pgSz w:w="11906" w:h="16838" w:orient="portrait"/>
      <w:pgMar w:top="1440" w:right="126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07070"/>
        <w:sz w:val="18"/>
        <w:szCs w:val="18"/>
      </w:rPr>
      <w:t xml:space="preserve">Projet tutoré — IA &amp; Cybersécurité au Cameroun   |   </w:t>
    </w:r>
    <w:r>
      <w:rPr>
        <w:rFonts w:ascii="Arial" w:cs="Arial" w:eastAsia="Arial" w:hAnsi="Arial"/>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48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320"/>
      <w:outlineLvl w:val="2"/>
    </w:pPr>
    <w:rPr>
      <w:rFonts w:ascii="Arial" w:cs="Arial" w:eastAsia="Arial" w:hAnsi="Arial"/>
      <w:b/>
      <w:bCs/>
      <w:color w:val="4A4A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2026-06-06T17:56:52.810Z</dcterms:created>
  <dcterms:modified xsi:type="dcterms:W3CDTF">2026-06-06T17:56:52.825Z</dcterms:modified>
</cp:coreProperties>
</file>

<file path=docProps/custom.xml><?xml version="1.0" encoding="utf-8"?>
<Properties xmlns="http://schemas.openxmlformats.org/officeDocument/2006/custom-properties" xmlns:vt="http://schemas.openxmlformats.org/officeDocument/2006/docPropsVTypes"/>
</file>