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29" w:type="dxa"/>
        <w:tblInd w:w="56" w:type="dxa"/>
        <w:tblCellMar>
          <w:left w:w="70" w:type="dxa"/>
          <w:right w:w="70" w:type="dxa"/>
        </w:tblCellMar>
        <w:tblLook w:val="00A0"/>
      </w:tblPr>
      <w:tblGrid>
        <w:gridCol w:w="4034"/>
        <w:gridCol w:w="2550"/>
        <w:gridCol w:w="4345"/>
      </w:tblGrid>
      <w:tr w:rsidR="00235616" w:rsidRPr="006271CA" w:rsidTr="00235616">
        <w:trPr>
          <w:trHeight w:val="300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084EE1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lang w:val="es-PE" w:eastAsia="es-PE"/>
              </w:rPr>
            </w:pPr>
            <w:r w:rsidRPr="00084EE1">
              <w:rPr>
                <w:rFonts w:ascii="Arial Narrow" w:hAnsi="Arial Narrow"/>
                <w:b/>
              </w:rPr>
              <w:t>Controlar y Monitorear Proyectos Institucionales de Desarrollo de Software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Dueño del proceso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 Proyecto</w:t>
            </w: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Propósito del proceso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both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Definir</w:t>
            </w:r>
            <w:r w:rsidRPr="00D64421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el procedimiento, artefactos,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entregables</w:t>
            </w:r>
            <w:r w:rsidRPr="00D64421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, criterios y lineamientos a aplicar para 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monitorear y controlar los</w:t>
            </w:r>
            <w:r w:rsidRPr="00D64421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proy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ectos de desarrollo de software dentro de la organización con el objetivo de asegurar la información necesaria para administrar cada proyecto.</w:t>
            </w:r>
          </w:p>
        </w:tc>
      </w:tr>
      <w:tr w:rsidR="00235616" w:rsidRPr="006271CA" w:rsidTr="00235616">
        <w:trPr>
          <w:trHeight w:val="875"/>
        </w:trPr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Roles involucrados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35616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 (GP)</w:t>
            </w:r>
          </w:p>
          <w:p w:rsidR="00235616" w:rsidRPr="006271CA" w:rsidRDefault="00235616" w:rsidP="00235616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Equipo Técnico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(ET)</w:t>
            </w:r>
          </w:p>
        </w:tc>
      </w:tr>
      <w:tr w:rsidR="00235616" w:rsidRPr="006271CA" w:rsidTr="00235616">
        <w:trPr>
          <w:trHeight w:val="300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Descripción del Proceso</w:t>
            </w:r>
          </w:p>
        </w:tc>
      </w:tr>
      <w:tr w:rsidR="00235616" w:rsidRPr="006271CA" w:rsidTr="00235616">
        <w:trPr>
          <w:trHeight w:val="1083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235616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Por cada fase de proyecto realiza lo siguiente:</w:t>
            </w:r>
          </w:p>
          <w:p w:rsidR="00235616" w:rsidRDefault="00235616" w:rsidP="00235616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GP revisa semanalmente el cronograma</w:t>
            </w:r>
          </w:p>
          <w:p w:rsidR="00235616" w:rsidRDefault="00235616" w:rsidP="00235616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GP evalúa las desviaciones del cronograma, si hay desviaciones en el cronograma registra el problema y el motivo en la plantilla para el registro de desviaciones.</w:t>
            </w:r>
          </w:p>
          <w:p w:rsidR="00235616" w:rsidRDefault="00235616" w:rsidP="00235616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El GP verifica el cumplimiento de compromisos en el cronograma </w:t>
            </w:r>
            <w:r w:rsidR="00FF7275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de acuerdo al plan del proyecto, si hay incumplimiento se registran los problemas con las acciones correctivas en la plantilla de registro de problemas.</w:t>
            </w:r>
          </w:p>
          <w:p w:rsidR="00FF7275" w:rsidRDefault="00FF7275" w:rsidP="00235616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El ET realiza las acciones correctivas identificadas.</w:t>
            </w:r>
          </w:p>
          <w:p w:rsidR="00235616" w:rsidRDefault="00FF7275" w:rsidP="00235616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El GP</w:t>
            </w:r>
            <w:r w:rsidR="00235616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actualiza el Diagrama de Gantt indicando el porcentaje de avance para cada actividad 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en el cronograma</w:t>
            </w:r>
            <w:r w:rsidR="00235616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.</w:t>
            </w:r>
          </w:p>
          <w:p w:rsidR="00235616" w:rsidRDefault="00FF7275" w:rsidP="00235616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El GP</w:t>
            </w:r>
            <w:r w:rsidR="00044940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revisa el Plan del Proyecto</w:t>
            </w:r>
          </w:p>
          <w:p w:rsidR="00235616" w:rsidRDefault="00235616" w:rsidP="00235616">
            <w:pPr>
              <w:numPr>
                <w:ilvl w:val="1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Evalúa los recursos, avances, las actividades de involucramiento y demás  atributos o parámetros de planificación definidos para el Proyecto.</w:t>
            </w:r>
          </w:p>
          <w:p w:rsidR="00235616" w:rsidRDefault="00235616" w:rsidP="00235616">
            <w:pPr>
              <w:numPr>
                <w:ilvl w:val="1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De encontrar desvíos o cambios e</w:t>
            </w:r>
            <w:r w:rsidR="00710884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l 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GP </w:t>
            </w:r>
            <w:r w:rsidR="00710884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actualiza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el Plan del Proyecto y actualice Diagrama de Gantt teniendo en cuenta:</w:t>
            </w:r>
          </w:p>
          <w:p w:rsidR="00235616" w:rsidRDefault="00235616" w:rsidP="00235616">
            <w:pPr>
              <w:numPr>
                <w:ilvl w:val="2"/>
                <w:numId w:val="1"/>
              </w:numPr>
              <w:spacing w:after="0" w:line="240" w:lineRule="auto"/>
              <w:ind w:left="1220" w:firstLine="0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Nuevas fechas de finalización acordadas previamente con el cliente (solicitante)</w:t>
            </w:r>
          </w:p>
          <w:p w:rsidR="00235616" w:rsidRDefault="00235616" w:rsidP="00235616">
            <w:pPr>
              <w:numPr>
                <w:ilvl w:val="2"/>
                <w:numId w:val="1"/>
              </w:numPr>
              <w:spacing w:after="0" w:line="240" w:lineRule="auto"/>
              <w:ind w:left="1220" w:firstLine="0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Nuevos valores para los parámetros de planificación.</w:t>
            </w:r>
          </w:p>
          <w:p w:rsidR="00235616" w:rsidRDefault="00235616" w:rsidP="00235616">
            <w:pPr>
              <w:numPr>
                <w:ilvl w:val="2"/>
                <w:numId w:val="1"/>
              </w:numPr>
              <w:spacing w:after="0" w:line="240" w:lineRule="auto"/>
              <w:ind w:left="1220" w:firstLine="0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Posibles reasignaciones de recursos</w:t>
            </w:r>
          </w:p>
          <w:p w:rsidR="00235616" w:rsidRDefault="00235616" w:rsidP="00235616">
            <w:pPr>
              <w:numPr>
                <w:ilvl w:val="2"/>
                <w:numId w:val="1"/>
              </w:numPr>
              <w:spacing w:after="0" w:line="240" w:lineRule="auto"/>
              <w:ind w:left="1220" w:firstLine="0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Nuevas tareas que hayan podido surgir para ajustar los desvíos.</w:t>
            </w:r>
          </w:p>
          <w:p w:rsidR="00235616" w:rsidRDefault="00235616" w:rsidP="00235616">
            <w:pPr>
              <w:numPr>
                <w:ilvl w:val="2"/>
                <w:numId w:val="1"/>
              </w:numPr>
              <w:spacing w:after="0" w:line="240" w:lineRule="auto"/>
              <w:ind w:left="1220" w:firstLine="0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Nuevos riesgos generados por los desvíos registrados (actualizar Lista de Riesgos)</w:t>
            </w:r>
          </w:p>
          <w:p w:rsidR="00235616" w:rsidRDefault="00235616" w:rsidP="00235616">
            <w:pPr>
              <w:numPr>
                <w:ilvl w:val="2"/>
                <w:numId w:val="1"/>
              </w:numPr>
              <w:spacing w:after="0" w:line="240" w:lineRule="auto"/>
              <w:ind w:left="1220" w:firstLine="0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Coordinación de acciones de involucramiento si es que éstas son necesarias.</w:t>
            </w:r>
          </w:p>
          <w:p w:rsidR="00044940" w:rsidRDefault="00235616" w:rsidP="00044940">
            <w:pPr>
              <w:numPr>
                <w:ilvl w:val="1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Esta actividad se realizará semanalmente</w:t>
            </w:r>
            <w:r w:rsidR="00044940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.</w:t>
            </w:r>
          </w:p>
          <w:p w:rsidR="00044940" w:rsidRDefault="00044940" w:rsidP="00044940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GP registra los entregables verifica los entregables generad</w:t>
            </w:r>
            <w:r w:rsidR="00A67CC0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os en cada fase en un checkList en la plantilla de control de entregables.</w:t>
            </w:r>
          </w:p>
          <w:p w:rsidR="00044940" w:rsidRDefault="00A67CC0" w:rsidP="00A67CC0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GP v</w:t>
            </w:r>
            <w:r w:rsidR="00044940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erifica que </w:t>
            </w:r>
            <w:r w:rsidR="00B05544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los entregables</w:t>
            </w:r>
            <w:r w:rsidR="00044940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esté</w:t>
            </w:r>
            <w:r w:rsidR="00B05544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n</w:t>
            </w:r>
            <w:r w:rsidR="00044940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disponible</w:t>
            </w:r>
            <w:r w:rsidR="00B05544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s</w:t>
            </w:r>
            <w:r w:rsidR="00044940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con los accesos correspondientes</w:t>
            </w:r>
            <w:r w:rsidR="00B11FC0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y se generen las copias de respaldo. Esta verificación será registrada en un checkList.</w:t>
            </w:r>
          </w:p>
          <w:p w:rsidR="00235616" w:rsidRDefault="00827A8E" w:rsidP="00235616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El GP</w:t>
            </w:r>
            <w:r w:rsidR="00235616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revisa la Lista de Riesgos 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identificados en el plan del proyecto</w:t>
            </w:r>
          </w:p>
          <w:p w:rsidR="00235616" w:rsidRDefault="00235616" w:rsidP="00235616">
            <w:pPr>
              <w:numPr>
                <w:ilvl w:val="1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Analiza cada uno de los riesgos de manera de identificar la ocurrencia de los mismos.</w:t>
            </w:r>
          </w:p>
          <w:p w:rsidR="00235616" w:rsidRDefault="00235616" w:rsidP="00235616">
            <w:pPr>
              <w:numPr>
                <w:ilvl w:val="1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De encontrar un riesgo en proceso, iniciar el plan de contingencia asociado al riesgo.</w:t>
            </w:r>
          </w:p>
          <w:p w:rsidR="00235616" w:rsidRPr="00827A8E" w:rsidRDefault="00827A8E" w:rsidP="009A09B3">
            <w:pPr>
              <w:numPr>
                <w:ilvl w:val="1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827A8E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Actualiza el estado, probabilidad e impacto de los riesgos identificados en el plan de proyecto.</w:t>
            </w:r>
          </w:p>
          <w:p w:rsidR="00235616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  <w:p w:rsidR="00235616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  <w:p w:rsidR="00235616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  <w:p w:rsidR="00235616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Finalizada cada fase de proyecto se realiza lo siguiente:</w:t>
            </w:r>
          </w:p>
          <w:p w:rsidR="0040377E" w:rsidRPr="0040377E" w:rsidRDefault="0040377E" w:rsidP="0040377E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40377E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El GP revisa los logros del proyecto en hitos durante la reunión semanal, si no hay aceptación del cliente se registra las correcciones en el acta de reunión y el ET realiza las correcciones. Si hay aceptación del cliente se registra esta aceptación en el acta de reunión.</w:t>
            </w:r>
          </w:p>
          <w:p w:rsidR="00235616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  <w:p w:rsidR="00235616" w:rsidRPr="006271CA" w:rsidRDefault="00235616" w:rsidP="0040377E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235616" w:rsidRPr="006271CA" w:rsidTr="00235616">
        <w:trPr>
          <w:trHeight w:val="300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Entregables de Entrada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Entregables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Responsable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 del Proyecto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735685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Cronograma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735685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EDT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Default="00735685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Presupuesto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735685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235616" w:rsidRPr="006271CA" w:rsidTr="00235616">
        <w:trPr>
          <w:trHeight w:val="300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Criterios de Entrada</w:t>
            </w:r>
          </w:p>
        </w:tc>
      </w:tr>
      <w:tr w:rsidR="00235616" w:rsidRPr="006271CA" w:rsidTr="00235616">
        <w:trPr>
          <w:trHeight w:val="960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Actividades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 xml:space="preserve">Descripción 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Herramientas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Rol Responsable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lastRenderedPageBreak/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Entregables de Salida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Entregables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Responsable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117328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 de proyecto (actualizado</w:t>
            </w:r>
            <w:r w:rsidR="00235616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)</w:t>
            </w:r>
            <w:r w:rsidR="00235616"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 w:rsidR="00117328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Presupuesto (actualizado)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117328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desviaciones identificadas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117328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registro de problemas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</w:p>
        </w:tc>
      </w:tr>
      <w:tr w:rsidR="0088269E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269E" w:rsidRDefault="0088269E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Acta de reunión al termino de cada fase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88269E" w:rsidRDefault="0088269E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</w:p>
        </w:tc>
      </w:tr>
      <w:tr w:rsidR="00C000E0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00E0" w:rsidRDefault="00C000E0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control de entregables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C000E0" w:rsidRDefault="00C000E0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</w:p>
        </w:tc>
      </w:tr>
      <w:tr w:rsidR="00235616" w:rsidRPr="006271CA" w:rsidTr="00235616">
        <w:trPr>
          <w:trHeight w:val="300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Criterios de Salida</w:t>
            </w:r>
          </w:p>
        </w:tc>
      </w:tr>
      <w:tr w:rsidR="00235616" w:rsidRPr="006271CA" w:rsidTr="00235616">
        <w:trPr>
          <w:trHeight w:val="1080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C659EC" w:rsidRDefault="00C659EC"/>
    <w:p w:rsidR="00A63AB9" w:rsidRDefault="00A63AB9">
      <w:pPr>
        <w:sectPr w:rsidR="00A63AB9" w:rsidSect="00235616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:rsidR="00A63AB9" w:rsidRDefault="00A63AB9"/>
    <w:p w:rsidR="00A63AB9" w:rsidRDefault="00A63AB9">
      <w:r>
        <w:rPr>
          <w:noProof/>
          <w:lang w:val="es-PE" w:eastAsia="es-PE"/>
        </w:rPr>
        <w:drawing>
          <wp:inline distT="0" distB="0" distL="0" distR="0">
            <wp:extent cx="9048750" cy="5229225"/>
            <wp:effectExtent l="19050" t="0" r="0" b="0"/>
            <wp:docPr id="1" name="0 Imagen" descr="PMC_ProyInstitucionales_IN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C_ProyInstitucionales_INE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AB9" w:rsidSect="00A63AB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5224F"/>
    <w:multiLevelType w:val="hybridMultilevel"/>
    <w:tmpl w:val="F8208ACC"/>
    <w:lvl w:ilvl="0" w:tplc="CBE0D46C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280A0019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280A0001">
      <w:start w:val="1"/>
      <w:numFmt w:val="bullet"/>
      <w:lvlText w:val=""/>
      <w:lvlJc w:val="left"/>
      <w:pPr>
        <w:ind w:left="183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1">
    <w:nsid w:val="539544F2"/>
    <w:multiLevelType w:val="hybridMultilevel"/>
    <w:tmpl w:val="AFDE84C4"/>
    <w:lvl w:ilvl="0" w:tplc="CBE0D46C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280A0019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280A0001">
      <w:start w:val="1"/>
      <w:numFmt w:val="bullet"/>
      <w:lvlText w:val=""/>
      <w:lvlJc w:val="left"/>
      <w:pPr>
        <w:ind w:left="183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5616"/>
    <w:rsid w:val="00044940"/>
    <w:rsid w:val="00117328"/>
    <w:rsid w:val="00225A6F"/>
    <w:rsid w:val="00235616"/>
    <w:rsid w:val="0040377E"/>
    <w:rsid w:val="00710884"/>
    <w:rsid w:val="00735685"/>
    <w:rsid w:val="00827A8E"/>
    <w:rsid w:val="0088269E"/>
    <w:rsid w:val="00A63AB9"/>
    <w:rsid w:val="00A67CC0"/>
    <w:rsid w:val="00AE3044"/>
    <w:rsid w:val="00B05544"/>
    <w:rsid w:val="00B11FC0"/>
    <w:rsid w:val="00C000E0"/>
    <w:rsid w:val="00C659EC"/>
    <w:rsid w:val="00E26F29"/>
    <w:rsid w:val="00FF7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616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3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AB9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cramirez</dc:creator>
  <cp:lastModifiedBy>cramirez</cp:lastModifiedBy>
  <cp:revision>15</cp:revision>
  <dcterms:created xsi:type="dcterms:W3CDTF">2012-10-06T04:54:00Z</dcterms:created>
  <dcterms:modified xsi:type="dcterms:W3CDTF">2012-10-06T05:43:00Z</dcterms:modified>
</cp:coreProperties>
</file>