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4B" w:rsidRPr="00CF224B" w:rsidRDefault="00CF224B" w:rsidP="00CF224B">
      <w:pPr>
        <w:jc w:val="both"/>
        <w:rPr>
          <w:b/>
          <w:sz w:val="28"/>
          <w:u w:val="single"/>
        </w:rPr>
      </w:pPr>
      <w:r w:rsidRPr="00CF224B">
        <w:rPr>
          <w:b/>
          <w:sz w:val="28"/>
          <w:u w:val="single"/>
        </w:rPr>
        <w:t>Temas de Investigación</w:t>
      </w:r>
    </w:p>
    <w:p w:rsidR="00000000" w:rsidRPr="00030098" w:rsidRDefault="009979FD" w:rsidP="00CF224B">
      <w:pPr>
        <w:numPr>
          <w:ilvl w:val="0"/>
          <w:numId w:val="1"/>
        </w:numPr>
        <w:jc w:val="both"/>
      </w:pPr>
      <w:r w:rsidRPr="00030098">
        <w:t xml:space="preserve">Algo que conoces: PIN, Sistemas Integrales: Para negocios  (perfiles, facultades)                      </w:t>
      </w:r>
    </w:p>
    <w:p w:rsidR="00000000" w:rsidRPr="00030098" w:rsidRDefault="009979FD" w:rsidP="00CF224B">
      <w:pPr>
        <w:numPr>
          <w:ilvl w:val="0"/>
          <w:numId w:val="1"/>
        </w:numPr>
        <w:jc w:val="both"/>
      </w:pPr>
      <w:r w:rsidRPr="00030098">
        <w:t xml:space="preserve">Algo que tienes:  Tarjetas Smart </w:t>
      </w:r>
      <w:proofErr w:type="spellStart"/>
      <w:r w:rsidRPr="00030098">
        <w:t>Cards</w:t>
      </w:r>
      <w:proofErr w:type="spellEnd"/>
      <w:r w:rsidRPr="00030098">
        <w:t xml:space="preserve">, Rusco, RFID (Radio Frecuencia), Firma Digital </w:t>
      </w:r>
    </w:p>
    <w:p w:rsidR="00000000" w:rsidRPr="00030098" w:rsidRDefault="009979FD" w:rsidP="00CF224B">
      <w:pPr>
        <w:numPr>
          <w:ilvl w:val="0"/>
          <w:numId w:val="1"/>
        </w:numPr>
        <w:jc w:val="both"/>
      </w:pPr>
      <w:r w:rsidRPr="00030098">
        <w:t>Algo que eres: Comportamiento (Firma personal) y Fisiológicos (Sistemas Biométricos)</w:t>
      </w:r>
    </w:p>
    <w:p w:rsidR="00000000" w:rsidRPr="00030098" w:rsidRDefault="009979FD" w:rsidP="00CF224B">
      <w:pPr>
        <w:numPr>
          <w:ilvl w:val="0"/>
          <w:numId w:val="1"/>
        </w:numPr>
        <w:jc w:val="both"/>
      </w:pPr>
      <w:r w:rsidRPr="00030098">
        <w:t xml:space="preserve">Regulaciones Internacionales y </w:t>
      </w:r>
      <w:proofErr w:type="gramStart"/>
      <w:r w:rsidRPr="00030098">
        <w:t>Peruanas</w:t>
      </w:r>
      <w:proofErr w:type="gramEnd"/>
      <w:r w:rsidRPr="00030098">
        <w:t xml:space="preserve"> so</w:t>
      </w:r>
      <w:r w:rsidRPr="00030098">
        <w:t>bre Sistemas de Identificación, Protección de Datos, etc.</w:t>
      </w:r>
    </w:p>
    <w:p w:rsidR="00CE2634" w:rsidRDefault="00CE2634" w:rsidP="00CF224B">
      <w:pPr>
        <w:jc w:val="both"/>
      </w:pPr>
    </w:p>
    <w:p w:rsidR="00CF224B" w:rsidRPr="00CF224B" w:rsidRDefault="00CF224B" w:rsidP="00CF224B">
      <w:pPr>
        <w:jc w:val="both"/>
        <w:rPr>
          <w:b/>
          <w:sz w:val="36"/>
        </w:rPr>
      </w:pPr>
      <w:r w:rsidRPr="00CF224B">
        <w:rPr>
          <w:b/>
          <w:sz w:val="36"/>
        </w:rPr>
        <w:t>ALGO DE REGULACIONES PERUANAS</w:t>
      </w:r>
    </w:p>
    <w:p w:rsidR="00030098" w:rsidRPr="00450A43" w:rsidRDefault="00030098" w:rsidP="00CF224B">
      <w:pPr>
        <w:jc w:val="both"/>
        <w:rPr>
          <w:b/>
          <w:sz w:val="28"/>
          <w:u w:val="single"/>
        </w:rPr>
      </w:pPr>
      <w:r w:rsidRPr="00450A43">
        <w:rPr>
          <w:b/>
          <w:sz w:val="28"/>
          <w:u w:val="single"/>
        </w:rPr>
        <w:t>LEY 27269: Ley de Firmas y Certificados Digitales  (Modificatoria en LEY 27310)</w:t>
      </w:r>
    </w:p>
    <w:p w:rsidR="00030098" w:rsidRPr="00030098" w:rsidRDefault="00030098" w:rsidP="00CF224B">
      <w:pPr>
        <w:jc w:val="both"/>
        <w:rPr>
          <w:b/>
        </w:rPr>
      </w:pPr>
      <w:r w:rsidRPr="00030098">
        <w:rPr>
          <w:b/>
        </w:rPr>
        <w:t>Artículo 1º.- Objeto de la ley</w:t>
      </w:r>
    </w:p>
    <w:p w:rsidR="00030098" w:rsidRPr="00030098" w:rsidRDefault="00030098" w:rsidP="00CF224B">
      <w:pPr>
        <w:jc w:val="both"/>
      </w:pPr>
      <w:r w:rsidRPr="00030098">
        <w:t>La presente ley tiene por objeto regular la utilización de la firma electrónica otorgándole la misma validez y</w:t>
      </w:r>
      <w:r>
        <w:t xml:space="preserve"> </w:t>
      </w:r>
      <w:r w:rsidRPr="00030098">
        <w:t>eficacia jurídica que el uso de una firma manuscrita u otra análoga que conlleve manifestación de voluntad.</w:t>
      </w:r>
    </w:p>
    <w:p w:rsidR="00030098" w:rsidRPr="00030098" w:rsidRDefault="00030098" w:rsidP="00CF224B">
      <w:pPr>
        <w:jc w:val="both"/>
      </w:pPr>
      <w:r w:rsidRPr="00030098">
        <w:t>Entiéndase por firma electrónica a cualquier símbolo basado en medios electrónicos utilizado o adoptado por</w:t>
      </w:r>
      <w:r>
        <w:t xml:space="preserve"> </w:t>
      </w:r>
      <w:r w:rsidRPr="00030098">
        <w:t>una parte con la intención precisa de vincularse o autenticar un documento cumpliendo todas o algunas de las</w:t>
      </w:r>
      <w:r>
        <w:t xml:space="preserve"> </w:t>
      </w:r>
      <w:r w:rsidRPr="00030098">
        <w:t>funciones características de una firma manuscrita.</w:t>
      </w:r>
    </w:p>
    <w:p w:rsidR="00030098" w:rsidRPr="00030098" w:rsidRDefault="00030098" w:rsidP="00CF224B">
      <w:pPr>
        <w:jc w:val="both"/>
        <w:rPr>
          <w:b/>
        </w:rPr>
      </w:pPr>
      <w:r w:rsidRPr="00030098">
        <w:rPr>
          <w:b/>
        </w:rPr>
        <w:t>Artículo 2º.- Ámbito de aplicación</w:t>
      </w:r>
    </w:p>
    <w:p w:rsidR="00030098" w:rsidRDefault="00030098" w:rsidP="00CF224B">
      <w:pPr>
        <w:jc w:val="both"/>
      </w:pPr>
      <w:r w:rsidRPr="00030098">
        <w:t xml:space="preserve">La presente ley se aplica a aquellas firmas </w:t>
      </w:r>
      <w:proofErr w:type="spellStart"/>
      <w:r w:rsidRPr="00030098">
        <w:t>electróncas</w:t>
      </w:r>
      <w:proofErr w:type="spellEnd"/>
      <w:r w:rsidRPr="00030098">
        <w:t xml:space="preserve"> que, puestas sobre un mensaje de datos o añadidas o</w:t>
      </w:r>
      <w:r>
        <w:t xml:space="preserve"> </w:t>
      </w:r>
      <w:r w:rsidRPr="00030098">
        <w:t>asociadas lógicamente a los mismos, puedan vincular e identificar al firmante, así como garantizar la</w:t>
      </w:r>
      <w:r>
        <w:t xml:space="preserve"> </w:t>
      </w:r>
      <w:r w:rsidRPr="00030098">
        <w:t>autenticación e integridad de los documentos electrónicos.</w:t>
      </w:r>
    </w:p>
    <w:p w:rsidR="00030098" w:rsidRPr="00030098" w:rsidRDefault="00030098" w:rsidP="00CF224B">
      <w:pPr>
        <w:jc w:val="both"/>
        <w:rPr>
          <w:b/>
        </w:rPr>
      </w:pPr>
      <w:r w:rsidRPr="00030098">
        <w:rPr>
          <w:b/>
        </w:rPr>
        <w:t>DE LA FIRMA DIGITAL</w:t>
      </w:r>
    </w:p>
    <w:p w:rsidR="00030098" w:rsidRPr="00030098" w:rsidRDefault="00030098" w:rsidP="00CF224B">
      <w:pPr>
        <w:jc w:val="both"/>
        <w:rPr>
          <w:b/>
        </w:rPr>
      </w:pPr>
      <w:r w:rsidRPr="00030098">
        <w:rPr>
          <w:b/>
        </w:rPr>
        <w:t>Artículo 3º.- Firma digital</w:t>
      </w:r>
    </w:p>
    <w:p w:rsidR="00030098" w:rsidRPr="00030098" w:rsidRDefault="00030098" w:rsidP="00CF224B">
      <w:pPr>
        <w:jc w:val="both"/>
      </w:pPr>
      <w:r w:rsidRPr="00030098">
        <w:t>La firma digital es aquella firma electrónica que utiliza una técnica de criptografía asimétrica, basada en el uso</w:t>
      </w:r>
      <w:r>
        <w:t xml:space="preserve"> </w:t>
      </w:r>
      <w:r w:rsidRPr="00030098">
        <w:t>de un par de claves único; asociadas una clave privada y una clave pública relacionadas matemáticamente</w:t>
      </w:r>
      <w:r>
        <w:t xml:space="preserve"> </w:t>
      </w:r>
      <w:r w:rsidRPr="00030098">
        <w:t>entre sí, de tal forma que las personas que conocen la clave pública no puedan derivar de ella la clave privada.</w:t>
      </w:r>
    </w:p>
    <w:p w:rsidR="00030098" w:rsidRPr="00030098" w:rsidRDefault="00030098" w:rsidP="00CF224B">
      <w:pPr>
        <w:jc w:val="both"/>
        <w:rPr>
          <w:b/>
        </w:rPr>
      </w:pPr>
      <w:r w:rsidRPr="00030098">
        <w:rPr>
          <w:b/>
        </w:rPr>
        <w:t>DEL TITULAR DE LA FIRMA DIGITAL</w:t>
      </w:r>
    </w:p>
    <w:p w:rsidR="00030098" w:rsidRPr="00030098" w:rsidRDefault="00030098" w:rsidP="00CF224B">
      <w:pPr>
        <w:jc w:val="both"/>
      </w:pPr>
      <w:r w:rsidRPr="00030098">
        <w:t>Artículo 4º.- Titular de la firma digital</w:t>
      </w:r>
    </w:p>
    <w:p w:rsidR="00030098" w:rsidRPr="00030098" w:rsidRDefault="00030098" w:rsidP="00CF224B">
      <w:pPr>
        <w:jc w:val="both"/>
      </w:pPr>
      <w:r w:rsidRPr="00030098">
        <w:lastRenderedPageBreak/>
        <w:t>El titular de la firma digital es la persona a la que se le atribuye de manera exclusiva un certificado digital que</w:t>
      </w:r>
      <w:r>
        <w:t xml:space="preserve"> </w:t>
      </w:r>
      <w:r w:rsidRPr="00030098">
        <w:t>contiene una firma digital, identificándolo objetivamente en relación con el mensaje de datos.</w:t>
      </w:r>
    </w:p>
    <w:p w:rsidR="00030098" w:rsidRDefault="00030098" w:rsidP="00CF224B">
      <w:pPr>
        <w:jc w:val="both"/>
        <w:rPr>
          <w:b/>
        </w:rPr>
      </w:pPr>
    </w:p>
    <w:p w:rsidR="00030098" w:rsidRPr="00030098" w:rsidRDefault="00030098" w:rsidP="00CF224B">
      <w:pPr>
        <w:jc w:val="both"/>
        <w:rPr>
          <w:b/>
        </w:rPr>
      </w:pPr>
      <w:r w:rsidRPr="00030098">
        <w:rPr>
          <w:b/>
        </w:rPr>
        <w:t>DE LOS CERTIFICADOS DIGITALES</w:t>
      </w:r>
    </w:p>
    <w:p w:rsidR="00030098" w:rsidRPr="00030098" w:rsidRDefault="00030098" w:rsidP="00CF224B">
      <w:pPr>
        <w:jc w:val="both"/>
        <w:rPr>
          <w:b/>
        </w:rPr>
      </w:pPr>
      <w:r w:rsidRPr="00030098">
        <w:rPr>
          <w:b/>
        </w:rPr>
        <w:t>Artículo 6º.- Certificado digital</w:t>
      </w:r>
    </w:p>
    <w:p w:rsidR="00030098" w:rsidRDefault="00030098" w:rsidP="00CF224B">
      <w:pPr>
        <w:jc w:val="both"/>
      </w:pPr>
      <w:r w:rsidRPr="00030098">
        <w:t>El certificado digital es el documento electrónico generado y firmado digitalmente por una entidad de</w:t>
      </w:r>
      <w:r>
        <w:t xml:space="preserve"> </w:t>
      </w:r>
      <w:r w:rsidRPr="00030098">
        <w:t>certificación, la cual vincula un par de claves con una persona determinada confirmando su identidad.</w:t>
      </w:r>
    </w:p>
    <w:p w:rsidR="00030098" w:rsidRDefault="00030098" w:rsidP="00CF224B">
      <w:pPr>
        <w:jc w:val="both"/>
      </w:pPr>
    </w:p>
    <w:p w:rsidR="00450A43" w:rsidRPr="00450A43" w:rsidRDefault="00450A43" w:rsidP="00CF224B">
      <w:pPr>
        <w:jc w:val="both"/>
        <w:rPr>
          <w:b/>
          <w:sz w:val="28"/>
          <w:u w:val="single"/>
        </w:rPr>
      </w:pPr>
      <w:r w:rsidRPr="00450A43">
        <w:rPr>
          <w:b/>
          <w:sz w:val="28"/>
          <w:u w:val="single"/>
        </w:rPr>
        <w:t>LEY 2</w:t>
      </w:r>
      <w:r>
        <w:rPr>
          <w:b/>
          <w:sz w:val="28"/>
          <w:u w:val="single"/>
        </w:rPr>
        <w:t>9733</w:t>
      </w:r>
      <w:r w:rsidRPr="00450A43">
        <w:rPr>
          <w:b/>
          <w:sz w:val="28"/>
          <w:u w:val="single"/>
        </w:rPr>
        <w:t xml:space="preserve">: Ley de </w:t>
      </w:r>
      <w:r>
        <w:rPr>
          <w:b/>
          <w:sz w:val="28"/>
          <w:u w:val="single"/>
        </w:rPr>
        <w:t>Protección de Datos Personales</w:t>
      </w:r>
    </w:p>
    <w:p w:rsidR="00030098" w:rsidRPr="00450A43" w:rsidRDefault="00450A43" w:rsidP="00CF224B">
      <w:pPr>
        <w:jc w:val="both"/>
        <w:rPr>
          <w:b/>
        </w:rPr>
      </w:pPr>
      <w:r w:rsidRPr="00450A43">
        <w:rPr>
          <w:b/>
        </w:rPr>
        <w:t>Art</w:t>
      </w:r>
      <w:r w:rsidR="00CF224B">
        <w:rPr>
          <w:b/>
        </w:rPr>
        <w:t>í</w:t>
      </w:r>
      <w:r w:rsidRPr="00450A43">
        <w:rPr>
          <w:b/>
        </w:rPr>
        <w:t>culo 1°.- Objeto de la Ley</w:t>
      </w:r>
    </w:p>
    <w:p w:rsidR="00450A43" w:rsidRDefault="00450A43" w:rsidP="00CF224B">
      <w:pPr>
        <w:jc w:val="both"/>
      </w:pPr>
      <w:r>
        <w:t>La presente ley tiene por objeto de garantizar el derecho fundamental a la protección de los datos personales, previsto en el artículo 2 numeral 6 de la Constitución Política del Perú, a través de su adecuado  tratamiento,  en un marco de respeto de los demás derechos fundamentales que en ella se reconocen.</w:t>
      </w:r>
    </w:p>
    <w:p w:rsidR="00450A43" w:rsidRPr="00450A43" w:rsidRDefault="00450A43" w:rsidP="00CF224B">
      <w:pPr>
        <w:jc w:val="both"/>
        <w:rPr>
          <w:b/>
        </w:rPr>
      </w:pPr>
      <w:r w:rsidRPr="00450A43">
        <w:rPr>
          <w:b/>
        </w:rPr>
        <w:t>Resumen:</w:t>
      </w:r>
    </w:p>
    <w:p w:rsidR="00450A43" w:rsidRDefault="00450A43" w:rsidP="00CF224B">
      <w:pPr>
        <w:jc w:val="both"/>
      </w:pPr>
      <w:r>
        <w:t>Esta ley esta r</w:t>
      </w:r>
      <w:r w:rsidRPr="00450A43">
        <w:t>eferida al manejo y funcionamiento de los bancos de datos personales de la administración pública y bancos privados que desarrollan sus actividades en el territorio nacional.</w:t>
      </w:r>
    </w:p>
    <w:p w:rsidR="00450A43" w:rsidRDefault="00450A43" w:rsidP="00CF224B">
      <w:pPr>
        <w:jc w:val="both"/>
      </w:pPr>
      <w:r w:rsidRPr="00450A43">
        <w:t>Los datos personales sólo pueden ser objeto de tratamiento con el consentimiento de sus titulares. En el caso de datos sensibles, se requiere consentimiento por escrito, siendo posible que se revoque la autorización brindada en cualquier momento.</w:t>
      </w:r>
    </w:p>
    <w:p w:rsidR="00CF224B" w:rsidRDefault="00CF224B" w:rsidP="00CF224B">
      <w:pPr>
        <w:jc w:val="both"/>
      </w:pPr>
      <w:r>
        <w:t>No se requiere consentimiento, entre otros, en los siguientes casos:</w:t>
      </w:r>
    </w:p>
    <w:p w:rsidR="00CF224B" w:rsidRDefault="00CF224B" w:rsidP="00CF224B">
      <w:pPr>
        <w:pStyle w:val="Prrafodelista"/>
        <w:numPr>
          <w:ilvl w:val="0"/>
          <w:numId w:val="2"/>
        </w:numPr>
        <w:jc w:val="both"/>
      </w:pPr>
      <w:r>
        <w:t>Datos recopilados por entidades públicas en el ejercicio de sus funciones.</w:t>
      </w:r>
    </w:p>
    <w:p w:rsidR="00CF224B" w:rsidRDefault="00CF224B" w:rsidP="00CF224B">
      <w:pPr>
        <w:pStyle w:val="Prrafodelista"/>
        <w:numPr>
          <w:ilvl w:val="0"/>
          <w:numId w:val="2"/>
        </w:numPr>
        <w:jc w:val="both"/>
      </w:pPr>
      <w:r>
        <w:t xml:space="preserve">Datos que formen parte de fuentes accesibles al público. </w:t>
      </w:r>
    </w:p>
    <w:p w:rsidR="00CF224B" w:rsidRDefault="00CF224B" w:rsidP="00CF224B">
      <w:pPr>
        <w:pStyle w:val="Prrafodelista"/>
        <w:numPr>
          <w:ilvl w:val="0"/>
          <w:numId w:val="2"/>
        </w:numPr>
        <w:jc w:val="both"/>
      </w:pPr>
      <w:r>
        <w:t>Datos sobre la solvencia patrimonial y de crédito.</w:t>
      </w:r>
    </w:p>
    <w:p w:rsidR="00CF224B" w:rsidRDefault="00CF224B" w:rsidP="00CF224B">
      <w:pPr>
        <w:pStyle w:val="Prrafodelista"/>
        <w:numPr>
          <w:ilvl w:val="0"/>
          <w:numId w:val="2"/>
        </w:numPr>
        <w:jc w:val="both"/>
      </w:pPr>
      <w:r>
        <w:t>Cuando exista una norma para la promoción de la competencia en los mercados regulados.</w:t>
      </w:r>
    </w:p>
    <w:p w:rsidR="00CF224B" w:rsidRDefault="00CF224B" w:rsidP="00CF224B">
      <w:pPr>
        <w:pStyle w:val="Prrafodelista"/>
        <w:numPr>
          <w:ilvl w:val="0"/>
          <w:numId w:val="2"/>
        </w:numPr>
        <w:jc w:val="both"/>
      </w:pPr>
      <w:r>
        <w:t>Datos necesarios para contratos, cuando el titular sea parte de ellos o cuando se trate de datos personales que deriven de una relación científica o profesional del titular y sean necesarios para su desarrollo o cumplimiento.</w:t>
      </w:r>
    </w:p>
    <w:p w:rsidR="00CF224B" w:rsidRDefault="00CF224B" w:rsidP="00CF224B">
      <w:pPr>
        <w:pStyle w:val="Prrafodelista"/>
        <w:numPr>
          <w:ilvl w:val="0"/>
          <w:numId w:val="2"/>
        </w:numPr>
        <w:jc w:val="both"/>
      </w:pPr>
      <w:r>
        <w:t>Datos personales relativos a la salud y sea necesario, en circunstancia de riesgo, o cuando medien razones de interés público o de salud pública.</w:t>
      </w:r>
    </w:p>
    <w:p w:rsidR="00CF224B" w:rsidRDefault="00CF224B" w:rsidP="00CF224B">
      <w:pPr>
        <w:pStyle w:val="Prrafodelista"/>
        <w:numPr>
          <w:ilvl w:val="0"/>
          <w:numId w:val="2"/>
        </w:numPr>
        <w:jc w:val="both"/>
      </w:pPr>
      <w:r>
        <w:lastRenderedPageBreak/>
        <w:t>Cuando el tratamiento sea efectuado por organismos sin fines de lucro.</w:t>
      </w:r>
    </w:p>
    <w:p w:rsidR="00CF224B" w:rsidRDefault="00CF224B" w:rsidP="00CF224B">
      <w:pPr>
        <w:pStyle w:val="Prrafodelista"/>
        <w:numPr>
          <w:ilvl w:val="0"/>
          <w:numId w:val="2"/>
        </w:numPr>
        <w:jc w:val="both"/>
      </w:pPr>
      <w:r>
        <w:t>Cuando se hubiera aplicado un procedimiento hacer anó</w:t>
      </w:r>
      <w:r>
        <w:t>n</w:t>
      </w:r>
      <w:r>
        <w:t>imos los datos o disociarlos de sus titulares.</w:t>
      </w:r>
    </w:p>
    <w:p w:rsidR="00CF224B" w:rsidRDefault="00CF224B" w:rsidP="00CF224B">
      <w:pPr>
        <w:pStyle w:val="Prrafodelista"/>
        <w:numPr>
          <w:ilvl w:val="0"/>
          <w:numId w:val="2"/>
        </w:numPr>
        <w:jc w:val="both"/>
      </w:pPr>
      <w:r>
        <w:t>Cuando el tratamiento de los datos personales sea necesario para salvaguardar intereses legítimos del titular.</w:t>
      </w:r>
    </w:p>
    <w:p w:rsidR="00CF224B" w:rsidRDefault="00CF224B" w:rsidP="00CF224B">
      <w:pPr>
        <w:jc w:val="both"/>
      </w:pPr>
    </w:p>
    <w:p w:rsidR="00FB28F8" w:rsidRDefault="00FB28F8" w:rsidP="00CF224B">
      <w:pPr>
        <w:jc w:val="both"/>
        <w:rPr>
          <w:b/>
          <w:sz w:val="28"/>
        </w:rPr>
      </w:pPr>
      <w:r w:rsidRPr="00FB28F8">
        <w:rPr>
          <w:b/>
          <w:sz w:val="28"/>
        </w:rPr>
        <w:t xml:space="preserve">ALGUNOS CASOS DE </w:t>
      </w:r>
      <w:r>
        <w:rPr>
          <w:b/>
          <w:sz w:val="28"/>
        </w:rPr>
        <w:t>ÉXITO</w:t>
      </w:r>
    </w:p>
    <w:p w:rsidR="003F4664" w:rsidRDefault="003F4664" w:rsidP="003F4664">
      <w:pPr>
        <w:spacing w:before="120" w:after="72" w:line="240" w:lineRule="auto"/>
        <w:outlineLvl w:val="0"/>
        <w:rPr>
          <w:rFonts w:ascii="Segoe UI" w:eastAsia="Times New Roman" w:hAnsi="Segoe UI" w:cs="Segoe UI"/>
          <w:b/>
          <w:bCs/>
          <w:color w:val="4E4E4E"/>
          <w:spacing w:val="-10"/>
          <w:kern w:val="36"/>
          <w:sz w:val="54"/>
          <w:szCs w:val="54"/>
          <w:lang w:eastAsia="es-PE"/>
        </w:rPr>
      </w:pPr>
      <w:r w:rsidRPr="003F4664">
        <w:rPr>
          <w:rFonts w:ascii="Segoe UI" w:eastAsia="Times New Roman" w:hAnsi="Segoe UI" w:cs="Segoe UI"/>
          <w:b/>
          <w:bCs/>
          <w:color w:val="4E4E4E"/>
          <w:spacing w:val="-10"/>
          <w:kern w:val="36"/>
          <w:sz w:val="54"/>
          <w:szCs w:val="54"/>
          <w:lang w:eastAsia="es-PE"/>
        </w:rPr>
        <w:t xml:space="preserve">Casos de éxito GS1 RFID/EPC  Transporte y Distribución Inteligente </w:t>
      </w:r>
    </w:p>
    <w:p w:rsidR="00FB28F8" w:rsidRDefault="00FB28F8" w:rsidP="00CF224B">
      <w:pPr>
        <w:jc w:val="both"/>
        <w:rPr>
          <w:b/>
        </w:rPr>
      </w:pPr>
      <w:hyperlink r:id="rId6" w:history="1">
        <w:r w:rsidRPr="000C1F5B">
          <w:rPr>
            <w:rStyle w:val="Hipervnculo"/>
            <w:b/>
          </w:rPr>
          <w:t>http://www.gs1pe.org/rfidepc/exito_peru.htmlhttp://www.gs1pe.org/rfidepc/exito_peru.html</w:t>
        </w:r>
      </w:hyperlink>
    </w:p>
    <w:p w:rsidR="00FB28F8" w:rsidRPr="00FB28F8" w:rsidRDefault="00FB28F8" w:rsidP="00FB28F8">
      <w:pPr>
        <w:jc w:val="both"/>
      </w:pPr>
      <w:r w:rsidRPr="00FB28F8">
        <w:t xml:space="preserve">Piloto: Visibilidad de la cadena de LG a través de RFID </w:t>
      </w:r>
    </w:p>
    <w:p w:rsidR="00FB28F8" w:rsidRPr="00FB28F8" w:rsidRDefault="0033031C" w:rsidP="00FB28F8">
      <w:pPr>
        <w:jc w:val="both"/>
      </w:pPr>
      <w:r>
        <w:rPr>
          <w:noProof/>
          <w:lang w:eastAsia="es-PE"/>
        </w:rPr>
        <w:drawing>
          <wp:anchor distT="0" distB="0" distL="114300" distR="114300" simplePos="0" relativeHeight="251658240" behindDoc="0" locked="0" layoutInCell="1" allowOverlap="1" wp14:anchorId="5BAC7B95" wp14:editId="030DEC55">
            <wp:simplePos x="0" y="0"/>
            <wp:positionH relativeFrom="column">
              <wp:posOffset>-70485</wp:posOffset>
            </wp:positionH>
            <wp:positionV relativeFrom="paragraph">
              <wp:posOffset>1249680</wp:posOffset>
            </wp:positionV>
            <wp:extent cx="3505200" cy="1797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8F8" w:rsidRPr="00FB28F8">
        <w:t>Las evaluaciones de uso de RFID/EPC han ido más allá de la factibilidad de la lectura, en especial cuando los proyectos compiten con su rentabilidad. El proceso de inversión en proyectos requiere resolver una necesidad operativa, y contar con un retorno económico visible. Es por eso que el retorno de la introducción de RFID en la gestión es más importante que sus costos.</w:t>
      </w:r>
    </w:p>
    <w:p w:rsidR="00FB28F8" w:rsidRPr="00FB28F8" w:rsidRDefault="00FB28F8" w:rsidP="00FB28F8">
      <w:pPr>
        <w:jc w:val="both"/>
      </w:pPr>
      <w:r w:rsidRPr="00FB28F8">
        <w:t>Esta es la nueva cara integrada de los proyectos de RFID/EPC, en la que antes de evaluar un modelo de generación de valor, es necesario revisar los procesos e identificar como RFID impacta en las actividades para darle valor a la organización.</w:t>
      </w:r>
    </w:p>
    <w:p w:rsidR="00FB28F8" w:rsidRDefault="00FB28F8" w:rsidP="00FB28F8">
      <w:pPr>
        <w:jc w:val="both"/>
      </w:pPr>
      <w:r w:rsidRPr="00FB28F8">
        <w:t xml:space="preserve">Dentro de esta filosofía, GS1 Perú desarrolló con </w:t>
      </w:r>
      <w:proofErr w:type="spellStart"/>
      <w:r w:rsidRPr="00FB28F8">
        <w:t>Dinet</w:t>
      </w:r>
      <w:proofErr w:type="spellEnd"/>
      <w:r w:rsidRPr="00FB28F8">
        <w:t xml:space="preserve"> un modelo de valor para la operación de la distribución de LG usando RFID utilizando la codificación estándar de GS1 y la arquitectura de intercambio de información a través de herramientas como EPC, GTIN y EDI.</w:t>
      </w:r>
    </w:p>
    <w:p w:rsidR="0033031C" w:rsidRDefault="0033031C" w:rsidP="00FB28F8">
      <w:pPr>
        <w:jc w:val="both"/>
      </w:pPr>
    </w:p>
    <w:p w:rsidR="003F4664" w:rsidRPr="003F4664" w:rsidRDefault="003F4664" w:rsidP="003F4664">
      <w:pPr>
        <w:spacing w:before="120" w:after="72" w:line="240" w:lineRule="auto"/>
        <w:outlineLvl w:val="0"/>
        <w:rPr>
          <w:rFonts w:ascii="Segoe UI" w:eastAsia="Times New Roman" w:hAnsi="Segoe UI" w:cs="Segoe UI"/>
          <w:b/>
          <w:bCs/>
          <w:color w:val="4E4E4E"/>
          <w:spacing w:val="-10"/>
          <w:kern w:val="36"/>
          <w:sz w:val="54"/>
          <w:szCs w:val="54"/>
          <w:lang w:eastAsia="es-PE"/>
        </w:rPr>
      </w:pPr>
      <w:r w:rsidRPr="003F4664">
        <w:rPr>
          <w:rFonts w:ascii="Segoe UI" w:eastAsia="Times New Roman" w:hAnsi="Segoe UI" w:cs="Segoe UI"/>
          <w:b/>
          <w:bCs/>
          <w:color w:val="4E4E4E"/>
          <w:spacing w:val="-10"/>
          <w:kern w:val="36"/>
          <w:sz w:val="54"/>
          <w:szCs w:val="54"/>
          <w:lang w:eastAsia="es-PE"/>
        </w:rPr>
        <w:lastRenderedPageBreak/>
        <w:t xml:space="preserve">Exitoso Sistema Biométrico en </w:t>
      </w:r>
      <w:r>
        <w:rPr>
          <w:rFonts w:ascii="Segoe UI" w:eastAsia="Times New Roman" w:hAnsi="Segoe UI" w:cs="Segoe UI"/>
          <w:b/>
          <w:bCs/>
          <w:color w:val="4E4E4E"/>
          <w:spacing w:val="-10"/>
          <w:kern w:val="36"/>
          <w:sz w:val="54"/>
          <w:szCs w:val="54"/>
          <w:lang w:eastAsia="es-PE"/>
        </w:rPr>
        <w:t>N</w:t>
      </w:r>
      <w:r w:rsidRPr="003F4664">
        <w:rPr>
          <w:rFonts w:ascii="Segoe UI" w:eastAsia="Times New Roman" w:hAnsi="Segoe UI" w:cs="Segoe UI"/>
          <w:b/>
          <w:bCs/>
          <w:color w:val="4E4E4E"/>
          <w:spacing w:val="-10"/>
          <w:kern w:val="36"/>
          <w:sz w:val="54"/>
          <w:szCs w:val="54"/>
          <w:lang w:eastAsia="es-PE"/>
        </w:rPr>
        <w:t>otarias de Lima.</w:t>
      </w:r>
    </w:p>
    <w:p w:rsidR="003F4664" w:rsidRDefault="003F4664" w:rsidP="003F4664">
      <w:pPr>
        <w:jc w:val="both"/>
        <w:rPr>
          <w:lang w:eastAsia="es-PE"/>
        </w:rPr>
      </w:pPr>
      <w:hyperlink r:id="rId8" w:history="1">
        <w:r w:rsidRPr="000C1F5B">
          <w:rPr>
            <w:rStyle w:val="Hipervnculo"/>
            <w:lang w:eastAsia="es-PE"/>
          </w:rPr>
          <w:t>http://www.sistemasbiometricos.cl/web/2009/12/04/exito-en-sistema-biometrico-en-notarias-de-lima/</w:t>
        </w:r>
      </w:hyperlink>
    </w:p>
    <w:p w:rsidR="003F4664" w:rsidRPr="003F4664" w:rsidRDefault="003F4664" w:rsidP="003F4664">
      <w:pPr>
        <w:jc w:val="both"/>
        <w:rPr>
          <w:lang w:eastAsia="es-PE"/>
        </w:rPr>
      </w:pPr>
      <w:r>
        <w:rPr>
          <w:noProof/>
          <w:lang w:eastAsia="es-PE"/>
        </w:rPr>
        <w:drawing>
          <wp:anchor distT="0" distB="0" distL="114300" distR="114300" simplePos="0" relativeHeight="251659264" behindDoc="1" locked="0" layoutInCell="1" allowOverlap="1" wp14:anchorId="12E338D4" wp14:editId="3207E087">
            <wp:simplePos x="0" y="0"/>
            <wp:positionH relativeFrom="column">
              <wp:posOffset>-3810</wp:posOffset>
            </wp:positionH>
            <wp:positionV relativeFrom="paragraph">
              <wp:posOffset>466725</wp:posOffset>
            </wp:positionV>
            <wp:extent cx="3429000" cy="2286000"/>
            <wp:effectExtent l="0" t="0" r="0" b="0"/>
            <wp:wrapTight wrapText="bothSides">
              <wp:wrapPolygon edited="0">
                <wp:start x="0" y="0"/>
                <wp:lineTo x="0" y="21420"/>
                <wp:lineTo x="21480" y="21420"/>
                <wp:lineTo x="21480" y="0"/>
                <wp:lineTo x="0" y="0"/>
              </wp:wrapPolygon>
            </wp:wrapTight>
            <wp:docPr id="2" name="Imagen 2" descr="biometria notarias de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ometria notarias de li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4664">
        <w:rPr>
          <w:lang w:eastAsia="es-PE"/>
        </w:rPr>
        <w:t xml:space="preserve">El Decano del Colegio de Notarios de Lima, Dr. César Bazán </w:t>
      </w:r>
      <w:proofErr w:type="spellStart"/>
      <w:r w:rsidRPr="003F4664">
        <w:rPr>
          <w:lang w:eastAsia="es-PE"/>
        </w:rPr>
        <w:t>Naveda</w:t>
      </w:r>
      <w:proofErr w:type="spellEnd"/>
      <w:r w:rsidRPr="003F4664">
        <w:rPr>
          <w:lang w:eastAsia="es-PE"/>
        </w:rPr>
        <w:t>, indico que el Sistema Biométrico está dando auspiciosos resultados, lo que permitirá que los niveles de falsificación bajen considerablemente.</w:t>
      </w:r>
    </w:p>
    <w:p w:rsidR="003F4664" w:rsidRPr="003F4664" w:rsidRDefault="003F4664" w:rsidP="003F4664">
      <w:pPr>
        <w:jc w:val="both"/>
        <w:rPr>
          <w:lang w:eastAsia="es-PE"/>
        </w:rPr>
      </w:pPr>
      <w:r w:rsidRPr="003F4664">
        <w:rPr>
          <w:lang w:eastAsia="es-PE"/>
        </w:rPr>
        <w:t>Adem</w:t>
      </w:r>
      <w:r>
        <w:rPr>
          <w:lang w:eastAsia="es-PE"/>
        </w:rPr>
        <w:t>á</w:t>
      </w:r>
      <w:r w:rsidRPr="003F4664">
        <w:rPr>
          <w:lang w:eastAsia="es-PE"/>
        </w:rPr>
        <w:t>s dijo, por ello, el CNL está ejecutando y desarrollando diversos métodos y sistemas para evitar las suplantaciones de identidades y la falsificación de documentos, como son el mencionado Sistema Biométrico de Huellas Digitales, el Sistema de Verificación de Huellas y Firmas de Notarios (SIGILLUM) y la novedosa Firma Digital y Electrónica del Papel Notarial.</w:t>
      </w:r>
    </w:p>
    <w:p w:rsidR="003F4664" w:rsidRPr="003F4664" w:rsidRDefault="003F4664" w:rsidP="003F4664">
      <w:pPr>
        <w:jc w:val="both"/>
        <w:rPr>
          <w:lang w:eastAsia="es-PE"/>
        </w:rPr>
      </w:pPr>
      <w:r w:rsidRPr="003F4664">
        <w:rPr>
          <w:lang w:eastAsia="es-PE"/>
        </w:rPr>
        <w:t xml:space="preserve">En lo concerniente al Sistema Biométrico de Huellas Digitales se ha demostrado su eficacia en tres casos comprobados. Un primer caso de relevancia es el ocurrido en la notaría del Dr. </w:t>
      </w:r>
      <w:proofErr w:type="spellStart"/>
      <w:r w:rsidRPr="003F4664">
        <w:rPr>
          <w:lang w:eastAsia="es-PE"/>
        </w:rPr>
        <w:t>Elvito</w:t>
      </w:r>
      <w:proofErr w:type="spellEnd"/>
      <w:r w:rsidRPr="003F4664">
        <w:rPr>
          <w:lang w:eastAsia="es-PE"/>
        </w:rPr>
        <w:t xml:space="preserve"> Rodríguez, donde se acercaron dos personas con la intención de obtener un permiso de viaje para una menor de tan solo un año de edad, con el fin que pueda salir del país hacia Canadá. Al contrastarse sus identidades con el Sistema no existía coincidencia, por lo que se evitó que el trámite fuera realizado.</w:t>
      </w:r>
    </w:p>
    <w:p w:rsidR="009979FD" w:rsidRDefault="009979FD" w:rsidP="009979FD">
      <w:pPr>
        <w:spacing w:before="120" w:after="72" w:line="240" w:lineRule="auto"/>
        <w:outlineLvl w:val="0"/>
        <w:rPr>
          <w:rFonts w:ascii="Segoe UI" w:eastAsia="Times New Roman" w:hAnsi="Segoe UI" w:cs="Segoe UI"/>
          <w:b/>
          <w:bCs/>
          <w:color w:val="4E4E4E"/>
          <w:spacing w:val="-10"/>
          <w:kern w:val="36"/>
          <w:sz w:val="54"/>
          <w:szCs w:val="54"/>
          <w:lang w:eastAsia="es-PE"/>
        </w:rPr>
      </w:pPr>
    </w:p>
    <w:p w:rsidR="0033031C" w:rsidRPr="009979FD" w:rsidRDefault="009979FD" w:rsidP="009979FD">
      <w:pPr>
        <w:spacing w:before="120" w:after="72" w:line="240" w:lineRule="auto"/>
        <w:outlineLvl w:val="0"/>
        <w:rPr>
          <w:rFonts w:ascii="Segoe UI" w:eastAsia="Times New Roman" w:hAnsi="Segoe UI" w:cs="Segoe UI"/>
          <w:b/>
          <w:bCs/>
          <w:color w:val="4E4E4E"/>
          <w:spacing w:val="-10"/>
          <w:kern w:val="36"/>
          <w:sz w:val="54"/>
          <w:szCs w:val="54"/>
          <w:lang w:eastAsia="es-PE"/>
        </w:rPr>
      </w:pPr>
      <w:r w:rsidRPr="009979FD">
        <w:rPr>
          <w:rFonts w:ascii="Segoe UI" w:eastAsia="Times New Roman" w:hAnsi="Segoe UI" w:cs="Segoe UI"/>
          <w:b/>
          <w:bCs/>
          <w:color w:val="4E4E4E"/>
          <w:spacing w:val="-10"/>
          <w:kern w:val="36"/>
          <w:sz w:val="54"/>
          <w:szCs w:val="54"/>
          <w:lang w:eastAsia="es-PE"/>
        </w:rPr>
        <w:t>El DNI electrónico le dice 'adiós' a demoras en los servicios del Estado</w:t>
      </w:r>
    </w:p>
    <w:p w:rsidR="009979FD" w:rsidRDefault="009979FD" w:rsidP="00FB28F8">
      <w:pPr>
        <w:jc w:val="both"/>
      </w:pPr>
      <w:hyperlink r:id="rId10" w:history="1">
        <w:r w:rsidRPr="000C1F5B">
          <w:rPr>
            <w:rStyle w:val="Hipervnculo"/>
          </w:rPr>
          <w:t>http://gestion.pe/tecnologia/dni-electronico-le-dice-adios-demoras-servicios-estado-2014388</w:t>
        </w:r>
      </w:hyperlink>
    </w:p>
    <w:p w:rsidR="009979FD" w:rsidRDefault="009979FD" w:rsidP="00FB28F8">
      <w:pPr>
        <w:jc w:val="both"/>
      </w:pPr>
      <w:r w:rsidRPr="009979FD">
        <w:t>La realización de trámites desde cualquier lugar del mundo a cualquier hora será posible con este documento. También servirá como monedero electrónico gracias a sus quince dispositivos de seguridad.</w:t>
      </w:r>
    </w:p>
    <w:p w:rsidR="009979FD" w:rsidRDefault="009979FD" w:rsidP="009979FD">
      <w:pPr>
        <w:jc w:val="both"/>
      </w:pPr>
      <w:r>
        <w:lastRenderedPageBreak/>
        <w:t xml:space="preserve">El DNI con chip, una de las grandes apuestas para la implementación del Gobierno Electrónico en el país, promete enterrar la engorrosa pérdida de tiempo y desplazamientos para completar trámites financieros, de propiedad, constitución de empresas y pago de servicios. </w:t>
      </w:r>
    </w:p>
    <w:p w:rsidR="009979FD" w:rsidRDefault="009979FD" w:rsidP="009979FD">
      <w:pPr>
        <w:jc w:val="both"/>
      </w:pPr>
      <w:r>
        <w:t>A estos servicios también se sumarán la obtención de certificados de antecedentes policiales, renovación de pasaportes, acceso a servicios de salud, monedero electrónico e incluso hacer transacciones relacionadas al comercio exterior.</w:t>
      </w:r>
    </w:p>
    <w:p w:rsidR="009979FD" w:rsidRDefault="009979FD" w:rsidP="009979FD">
      <w:pPr>
        <w:jc w:val="both"/>
      </w:pPr>
      <w:r>
        <w:t xml:space="preserve">En mayo, el </w:t>
      </w:r>
      <w:proofErr w:type="spellStart"/>
      <w:r>
        <w:t>Reniec</w:t>
      </w:r>
      <w:proofErr w:type="spellEnd"/>
      <w:r>
        <w:t xml:space="preserve"> anunció que los nuevos DNI con chip estarán disponibles para las personas naturales a partir del segundo semestre de este año. Sin embargo, aún queda pendiente la aprobación de los estándares de procesos digitales a cargo de </w:t>
      </w:r>
      <w:proofErr w:type="spellStart"/>
      <w:r>
        <w:t>Indecopi</w:t>
      </w:r>
      <w:proofErr w:type="spellEnd"/>
      <w:r>
        <w:t>.</w:t>
      </w:r>
    </w:p>
    <w:p w:rsidR="009979FD" w:rsidRPr="009979FD" w:rsidRDefault="009979FD" w:rsidP="009979FD">
      <w:pPr>
        <w:jc w:val="both"/>
        <w:rPr>
          <w:b/>
        </w:rPr>
      </w:pPr>
      <w:r w:rsidRPr="009979FD">
        <w:rPr>
          <w:b/>
        </w:rPr>
        <w:t>Máxima seguridad</w:t>
      </w:r>
    </w:p>
    <w:p w:rsidR="009979FD" w:rsidRDefault="009979FD" w:rsidP="009979FD">
      <w:pPr>
        <w:jc w:val="both"/>
      </w:pPr>
      <w:r>
        <w:t xml:space="preserve">Jorge Luis </w:t>
      </w:r>
      <w:proofErr w:type="spellStart"/>
      <w:r>
        <w:t>Yrivarren</w:t>
      </w:r>
      <w:proofErr w:type="spellEnd"/>
      <w:r>
        <w:t xml:space="preserve">, jefe nacional del </w:t>
      </w:r>
      <w:proofErr w:type="spellStart"/>
      <w:r>
        <w:t>Reniec</w:t>
      </w:r>
      <w:proofErr w:type="spellEnd"/>
      <w:r>
        <w:t>, aseguró que el DNI electrónico (</w:t>
      </w:r>
      <w:proofErr w:type="spellStart"/>
      <w:r>
        <w:t>DNIe</w:t>
      </w:r>
      <w:proofErr w:type="spellEnd"/>
      <w:r>
        <w:t>) será una tarjeta de policarbonato con tecnología de impresiones múltiples. En el ancho de tarjeta, aunque muy delgado, se encuentran varias capas que lo hacen (casi) infalsificable.</w:t>
      </w:r>
    </w:p>
    <w:p w:rsidR="009979FD" w:rsidRDefault="009979FD" w:rsidP="009979FD">
      <w:pPr>
        <w:jc w:val="both"/>
      </w:pPr>
      <w:r>
        <w:rPr>
          <w:noProof/>
          <w:color w:val="0000FF"/>
          <w:lang w:eastAsia="es-PE"/>
        </w:rPr>
        <w:drawing>
          <wp:anchor distT="0" distB="0" distL="114300" distR="114300" simplePos="0" relativeHeight="251660288" behindDoc="1" locked="0" layoutInCell="1" allowOverlap="1" wp14:anchorId="330A47DC" wp14:editId="2C739B7D">
            <wp:simplePos x="0" y="0"/>
            <wp:positionH relativeFrom="column">
              <wp:posOffset>-146685</wp:posOffset>
            </wp:positionH>
            <wp:positionV relativeFrom="paragraph">
              <wp:posOffset>59055</wp:posOffset>
            </wp:positionV>
            <wp:extent cx="3409950" cy="1905000"/>
            <wp:effectExtent l="0" t="0" r="0" b="0"/>
            <wp:wrapTight wrapText="bothSides">
              <wp:wrapPolygon edited="0">
                <wp:start x="0" y="0"/>
                <wp:lineTo x="0" y="21384"/>
                <wp:lineTo x="21479" y="21384"/>
                <wp:lineTo x="21479" y="0"/>
                <wp:lineTo x="0" y="0"/>
              </wp:wrapPolygon>
            </wp:wrapTight>
            <wp:docPr id="3" name="Imagen 3" descr="http://elcomercio.e3.pe/66/ima/0/0/4/7/4/47481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lcomercio.e3.pe/66/ima/0/0/4/7/4/47481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 el actual DNI, por ejemplo, una de las adulteraciones más comunes es el </w:t>
      </w:r>
      <w:bookmarkStart w:id="0" w:name="_GoBack"/>
      <w:bookmarkEnd w:id="0"/>
      <w:r>
        <w:t xml:space="preserve">cambio de fotografía. Aun así, esta alteración es “reconocible fácilmente”, según </w:t>
      </w:r>
      <w:proofErr w:type="spellStart"/>
      <w:r>
        <w:t>Yrivarren</w:t>
      </w:r>
      <w:proofErr w:type="spellEnd"/>
      <w:r>
        <w:t>, ya que la foto viene con una serie de incrustaciones numéricas irrepetibles.</w:t>
      </w:r>
    </w:p>
    <w:p w:rsidR="009979FD" w:rsidRDefault="009979FD" w:rsidP="009979FD">
      <w:pPr>
        <w:jc w:val="both"/>
      </w:pPr>
      <w:r>
        <w:t>Así, el funcionario indicó que “tendrían que destruir el DNI para acceder a la superficie donde se ha hecho las grabaciones”. Una de las razones es que este documento contará con 15 dispositivos de seguridad, incluyendo el uso de tecnología biométrica, que permitirá identificar al portador al momento de validar peticiones de servicios.</w:t>
      </w:r>
    </w:p>
    <w:p w:rsidR="009979FD" w:rsidRDefault="009979FD" w:rsidP="009979FD">
      <w:pPr>
        <w:jc w:val="both"/>
      </w:pPr>
      <w:r>
        <w:t xml:space="preserve">¿Cómo se usará este nuevo DNI? </w:t>
      </w:r>
      <w:proofErr w:type="spellStart"/>
      <w:r>
        <w:t>Reniec</w:t>
      </w:r>
      <w:proofErr w:type="spellEnd"/>
      <w:r>
        <w:t xml:space="preserve"> brindará una serie de equipos junto con el </w:t>
      </w:r>
      <w:proofErr w:type="spellStart"/>
      <w:r>
        <w:t>DNIe</w:t>
      </w:r>
      <w:proofErr w:type="spellEnd"/>
      <w:r>
        <w:t>: lectora de chip y un software para poder habilitar las firmas digitales en los documentos (para usarse en la computadora personal), que serán usados para trámites del Estado, en primera instancia.</w:t>
      </w:r>
    </w:p>
    <w:p w:rsidR="009979FD" w:rsidRPr="00FB28F8" w:rsidRDefault="009979FD" w:rsidP="009979FD">
      <w:pPr>
        <w:jc w:val="both"/>
      </w:pPr>
    </w:p>
    <w:sectPr w:rsidR="009979FD" w:rsidRPr="00FB2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3090"/>
    <w:multiLevelType w:val="hybridMultilevel"/>
    <w:tmpl w:val="97066000"/>
    <w:lvl w:ilvl="0" w:tplc="7A72E968">
      <w:start w:val="1"/>
      <w:numFmt w:val="bullet"/>
      <w:lvlText w:val="•"/>
      <w:lvlJc w:val="left"/>
      <w:pPr>
        <w:tabs>
          <w:tab w:val="num" w:pos="720"/>
        </w:tabs>
        <w:ind w:left="720" w:hanging="360"/>
      </w:pPr>
      <w:rPr>
        <w:rFonts w:ascii="Times New Roman" w:hAnsi="Times New Roman" w:hint="default"/>
      </w:rPr>
    </w:lvl>
    <w:lvl w:ilvl="1" w:tplc="CE9CAAFA" w:tentative="1">
      <w:start w:val="1"/>
      <w:numFmt w:val="bullet"/>
      <w:lvlText w:val="•"/>
      <w:lvlJc w:val="left"/>
      <w:pPr>
        <w:tabs>
          <w:tab w:val="num" w:pos="1440"/>
        </w:tabs>
        <w:ind w:left="1440" w:hanging="360"/>
      </w:pPr>
      <w:rPr>
        <w:rFonts w:ascii="Times New Roman" w:hAnsi="Times New Roman" w:hint="default"/>
      </w:rPr>
    </w:lvl>
    <w:lvl w:ilvl="2" w:tplc="CAD27D62" w:tentative="1">
      <w:start w:val="1"/>
      <w:numFmt w:val="bullet"/>
      <w:lvlText w:val="•"/>
      <w:lvlJc w:val="left"/>
      <w:pPr>
        <w:tabs>
          <w:tab w:val="num" w:pos="2160"/>
        </w:tabs>
        <w:ind w:left="2160" w:hanging="360"/>
      </w:pPr>
      <w:rPr>
        <w:rFonts w:ascii="Times New Roman" w:hAnsi="Times New Roman" w:hint="default"/>
      </w:rPr>
    </w:lvl>
    <w:lvl w:ilvl="3" w:tplc="A728407A" w:tentative="1">
      <w:start w:val="1"/>
      <w:numFmt w:val="bullet"/>
      <w:lvlText w:val="•"/>
      <w:lvlJc w:val="left"/>
      <w:pPr>
        <w:tabs>
          <w:tab w:val="num" w:pos="2880"/>
        </w:tabs>
        <w:ind w:left="2880" w:hanging="360"/>
      </w:pPr>
      <w:rPr>
        <w:rFonts w:ascii="Times New Roman" w:hAnsi="Times New Roman" w:hint="default"/>
      </w:rPr>
    </w:lvl>
    <w:lvl w:ilvl="4" w:tplc="D8862966" w:tentative="1">
      <w:start w:val="1"/>
      <w:numFmt w:val="bullet"/>
      <w:lvlText w:val="•"/>
      <w:lvlJc w:val="left"/>
      <w:pPr>
        <w:tabs>
          <w:tab w:val="num" w:pos="3600"/>
        </w:tabs>
        <w:ind w:left="3600" w:hanging="360"/>
      </w:pPr>
      <w:rPr>
        <w:rFonts w:ascii="Times New Roman" w:hAnsi="Times New Roman" w:hint="default"/>
      </w:rPr>
    </w:lvl>
    <w:lvl w:ilvl="5" w:tplc="BAC4849C" w:tentative="1">
      <w:start w:val="1"/>
      <w:numFmt w:val="bullet"/>
      <w:lvlText w:val="•"/>
      <w:lvlJc w:val="left"/>
      <w:pPr>
        <w:tabs>
          <w:tab w:val="num" w:pos="4320"/>
        </w:tabs>
        <w:ind w:left="4320" w:hanging="360"/>
      </w:pPr>
      <w:rPr>
        <w:rFonts w:ascii="Times New Roman" w:hAnsi="Times New Roman" w:hint="default"/>
      </w:rPr>
    </w:lvl>
    <w:lvl w:ilvl="6" w:tplc="E1704036" w:tentative="1">
      <w:start w:val="1"/>
      <w:numFmt w:val="bullet"/>
      <w:lvlText w:val="•"/>
      <w:lvlJc w:val="left"/>
      <w:pPr>
        <w:tabs>
          <w:tab w:val="num" w:pos="5040"/>
        </w:tabs>
        <w:ind w:left="5040" w:hanging="360"/>
      </w:pPr>
      <w:rPr>
        <w:rFonts w:ascii="Times New Roman" w:hAnsi="Times New Roman" w:hint="default"/>
      </w:rPr>
    </w:lvl>
    <w:lvl w:ilvl="7" w:tplc="D4208E88" w:tentative="1">
      <w:start w:val="1"/>
      <w:numFmt w:val="bullet"/>
      <w:lvlText w:val="•"/>
      <w:lvlJc w:val="left"/>
      <w:pPr>
        <w:tabs>
          <w:tab w:val="num" w:pos="5760"/>
        </w:tabs>
        <w:ind w:left="5760" w:hanging="360"/>
      </w:pPr>
      <w:rPr>
        <w:rFonts w:ascii="Times New Roman" w:hAnsi="Times New Roman" w:hint="default"/>
      </w:rPr>
    </w:lvl>
    <w:lvl w:ilvl="8" w:tplc="9642096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EF7884"/>
    <w:multiLevelType w:val="hybridMultilevel"/>
    <w:tmpl w:val="600AD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98"/>
    <w:rsid w:val="00030098"/>
    <w:rsid w:val="0033031C"/>
    <w:rsid w:val="003F4664"/>
    <w:rsid w:val="00450A43"/>
    <w:rsid w:val="009979FD"/>
    <w:rsid w:val="00CE2634"/>
    <w:rsid w:val="00CF224B"/>
    <w:rsid w:val="00FB28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F4664"/>
    <w:pPr>
      <w:spacing w:before="120" w:after="120" w:line="240" w:lineRule="auto"/>
      <w:outlineLvl w:val="0"/>
    </w:pPr>
    <w:rPr>
      <w:rFonts w:ascii="Times New Roman" w:eastAsia="Times New Roman" w:hAnsi="Times New Roman" w:cs="Times New Roman"/>
      <w:spacing w:val="-10"/>
      <w:kern w:val="36"/>
      <w:sz w:val="72"/>
      <w:szCs w:val="72"/>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24B"/>
    <w:pPr>
      <w:ind w:left="720"/>
      <w:contextualSpacing/>
    </w:pPr>
  </w:style>
  <w:style w:type="character" w:styleId="Hipervnculo">
    <w:name w:val="Hyperlink"/>
    <w:basedOn w:val="Fuentedeprrafopredeter"/>
    <w:uiPriority w:val="99"/>
    <w:unhideWhenUsed/>
    <w:rsid w:val="00FB28F8"/>
    <w:rPr>
      <w:color w:val="0000FF" w:themeColor="hyperlink"/>
      <w:u w:val="single"/>
    </w:rPr>
  </w:style>
  <w:style w:type="paragraph" w:styleId="Textodeglobo">
    <w:name w:val="Balloon Text"/>
    <w:basedOn w:val="Normal"/>
    <w:link w:val="TextodegloboCar"/>
    <w:uiPriority w:val="99"/>
    <w:semiHidden/>
    <w:unhideWhenUsed/>
    <w:rsid w:val="003303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31C"/>
    <w:rPr>
      <w:rFonts w:ascii="Tahoma" w:hAnsi="Tahoma" w:cs="Tahoma"/>
      <w:sz w:val="16"/>
      <w:szCs w:val="16"/>
    </w:rPr>
  </w:style>
  <w:style w:type="character" w:customStyle="1" w:styleId="Ttulo1Car">
    <w:name w:val="Título 1 Car"/>
    <w:basedOn w:val="Fuentedeprrafopredeter"/>
    <w:link w:val="Ttulo1"/>
    <w:uiPriority w:val="9"/>
    <w:rsid w:val="003F4664"/>
    <w:rPr>
      <w:rFonts w:ascii="Times New Roman" w:eastAsia="Times New Roman" w:hAnsi="Times New Roman" w:cs="Times New Roman"/>
      <w:spacing w:val="-10"/>
      <w:kern w:val="36"/>
      <w:sz w:val="72"/>
      <w:szCs w:val="72"/>
      <w:lang w:eastAsia="es-PE"/>
    </w:rPr>
  </w:style>
  <w:style w:type="paragraph" w:styleId="NormalWeb">
    <w:name w:val="Normal (Web)"/>
    <w:basedOn w:val="Normal"/>
    <w:uiPriority w:val="99"/>
    <w:semiHidden/>
    <w:unhideWhenUsed/>
    <w:rsid w:val="003F4664"/>
    <w:pPr>
      <w:spacing w:before="144" w:after="72" w:line="36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F4664"/>
    <w:pPr>
      <w:spacing w:before="120" w:after="120" w:line="240" w:lineRule="auto"/>
      <w:outlineLvl w:val="0"/>
    </w:pPr>
    <w:rPr>
      <w:rFonts w:ascii="Times New Roman" w:eastAsia="Times New Roman" w:hAnsi="Times New Roman" w:cs="Times New Roman"/>
      <w:spacing w:val="-10"/>
      <w:kern w:val="36"/>
      <w:sz w:val="72"/>
      <w:szCs w:val="72"/>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24B"/>
    <w:pPr>
      <w:ind w:left="720"/>
      <w:contextualSpacing/>
    </w:pPr>
  </w:style>
  <w:style w:type="character" w:styleId="Hipervnculo">
    <w:name w:val="Hyperlink"/>
    <w:basedOn w:val="Fuentedeprrafopredeter"/>
    <w:uiPriority w:val="99"/>
    <w:unhideWhenUsed/>
    <w:rsid w:val="00FB28F8"/>
    <w:rPr>
      <w:color w:val="0000FF" w:themeColor="hyperlink"/>
      <w:u w:val="single"/>
    </w:rPr>
  </w:style>
  <w:style w:type="paragraph" w:styleId="Textodeglobo">
    <w:name w:val="Balloon Text"/>
    <w:basedOn w:val="Normal"/>
    <w:link w:val="TextodegloboCar"/>
    <w:uiPriority w:val="99"/>
    <w:semiHidden/>
    <w:unhideWhenUsed/>
    <w:rsid w:val="003303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31C"/>
    <w:rPr>
      <w:rFonts w:ascii="Tahoma" w:hAnsi="Tahoma" w:cs="Tahoma"/>
      <w:sz w:val="16"/>
      <w:szCs w:val="16"/>
    </w:rPr>
  </w:style>
  <w:style w:type="character" w:customStyle="1" w:styleId="Ttulo1Car">
    <w:name w:val="Título 1 Car"/>
    <w:basedOn w:val="Fuentedeprrafopredeter"/>
    <w:link w:val="Ttulo1"/>
    <w:uiPriority w:val="9"/>
    <w:rsid w:val="003F4664"/>
    <w:rPr>
      <w:rFonts w:ascii="Times New Roman" w:eastAsia="Times New Roman" w:hAnsi="Times New Roman" w:cs="Times New Roman"/>
      <w:spacing w:val="-10"/>
      <w:kern w:val="36"/>
      <w:sz w:val="72"/>
      <w:szCs w:val="72"/>
      <w:lang w:eastAsia="es-PE"/>
    </w:rPr>
  </w:style>
  <w:style w:type="paragraph" w:styleId="NormalWeb">
    <w:name w:val="Normal (Web)"/>
    <w:basedOn w:val="Normal"/>
    <w:uiPriority w:val="99"/>
    <w:semiHidden/>
    <w:unhideWhenUsed/>
    <w:rsid w:val="003F4664"/>
    <w:pPr>
      <w:spacing w:before="144" w:after="72" w:line="36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15282">
      <w:bodyDiv w:val="1"/>
      <w:marLeft w:val="0"/>
      <w:marRight w:val="0"/>
      <w:marTop w:val="0"/>
      <w:marBottom w:val="0"/>
      <w:divBdr>
        <w:top w:val="none" w:sz="0" w:space="0" w:color="auto"/>
        <w:left w:val="none" w:sz="0" w:space="0" w:color="auto"/>
        <w:bottom w:val="none" w:sz="0" w:space="0" w:color="auto"/>
        <w:right w:val="none" w:sz="0" w:space="0" w:color="auto"/>
      </w:divBdr>
      <w:divsChild>
        <w:div w:id="1837649897">
          <w:marLeft w:val="288"/>
          <w:marRight w:val="0"/>
          <w:marTop w:val="0"/>
          <w:marBottom w:val="0"/>
          <w:divBdr>
            <w:top w:val="none" w:sz="0" w:space="0" w:color="auto"/>
            <w:left w:val="none" w:sz="0" w:space="0" w:color="auto"/>
            <w:bottom w:val="none" w:sz="0" w:space="0" w:color="auto"/>
            <w:right w:val="none" w:sz="0" w:space="0" w:color="auto"/>
          </w:divBdr>
        </w:div>
        <w:div w:id="252203052">
          <w:marLeft w:val="288"/>
          <w:marRight w:val="0"/>
          <w:marTop w:val="0"/>
          <w:marBottom w:val="0"/>
          <w:divBdr>
            <w:top w:val="none" w:sz="0" w:space="0" w:color="auto"/>
            <w:left w:val="none" w:sz="0" w:space="0" w:color="auto"/>
            <w:bottom w:val="none" w:sz="0" w:space="0" w:color="auto"/>
            <w:right w:val="none" w:sz="0" w:space="0" w:color="auto"/>
          </w:divBdr>
        </w:div>
        <w:div w:id="1065571195">
          <w:marLeft w:val="288"/>
          <w:marRight w:val="0"/>
          <w:marTop w:val="0"/>
          <w:marBottom w:val="0"/>
          <w:divBdr>
            <w:top w:val="none" w:sz="0" w:space="0" w:color="auto"/>
            <w:left w:val="none" w:sz="0" w:space="0" w:color="auto"/>
            <w:bottom w:val="none" w:sz="0" w:space="0" w:color="auto"/>
            <w:right w:val="none" w:sz="0" w:space="0" w:color="auto"/>
          </w:divBdr>
        </w:div>
        <w:div w:id="670257518">
          <w:marLeft w:val="288"/>
          <w:marRight w:val="0"/>
          <w:marTop w:val="0"/>
          <w:marBottom w:val="0"/>
          <w:divBdr>
            <w:top w:val="none" w:sz="0" w:space="0" w:color="auto"/>
            <w:left w:val="none" w:sz="0" w:space="0" w:color="auto"/>
            <w:bottom w:val="none" w:sz="0" w:space="0" w:color="auto"/>
            <w:right w:val="none" w:sz="0" w:space="0" w:color="auto"/>
          </w:divBdr>
        </w:div>
      </w:divsChild>
    </w:div>
    <w:div w:id="892354447">
      <w:bodyDiv w:val="1"/>
      <w:marLeft w:val="0"/>
      <w:marRight w:val="0"/>
      <w:marTop w:val="0"/>
      <w:marBottom w:val="0"/>
      <w:divBdr>
        <w:top w:val="none" w:sz="0" w:space="0" w:color="auto"/>
        <w:left w:val="none" w:sz="0" w:space="0" w:color="auto"/>
        <w:bottom w:val="none" w:sz="0" w:space="0" w:color="auto"/>
        <w:right w:val="none" w:sz="0" w:space="0" w:color="auto"/>
      </w:divBdr>
      <w:divsChild>
        <w:div w:id="912206889">
          <w:marLeft w:val="0"/>
          <w:marRight w:val="0"/>
          <w:marTop w:val="0"/>
          <w:marBottom w:val="0"/>
          <w:divBdr>
            <w:top w:val="none" w:sz="0" w:space="0" w:color="auto"/>
            <w:left w:val="none" w:sz="0" w:space="0" w:color="auto"/>
            <w:bottom w:val="none" w:sz="0" w:space="0" w:color="auto"/>
            <w:right w:val="none" w:sz="0" w:space="0" w:color="auto"/>
          </w:divBdr>
          <w:divsChild>
            <w:div w:id="455297417">
              <w:marLeft w:val="0"/>
              <w:marRight w:val="0"/>
              <w:marTop w:val="0"/>
              <w:marBottom w:val="0"/>
              <w:divBdr>
                <w:top w:val="none" w:sz="0" w:space="0" w:color="auto"/>
                <w:left w:val="none" w:sz="0" w:space="0" w:color="auto"/>
                <w:bottom w:val="none" w:sz="0" w:space="0" w:color="auto"/>
                <w:right w:val="none" w:sz="0" w:space="0" w:color="auto"/>
              </w:divBdr>
              <w:divsChild>
                <w:div w:id="845480721">
                  <w:marLeft w:val="0"/>
                  <w:marRight w:val="0"/>
                  <w:marTop w:val="0"/>
                  <w:marBottom w:val="0"/>
                  <w:divBdr>
                    <w:top w:val="none" w:sz="0" w:space="0" w:color="auto"/>
                    <w:left w:val="none" w:sz="0" w:space="0" w:color="auto"/>
                    <w:bottom w:val="none" w:sz="0" w:space="0" w:color="auto"/>
                    <w:right w:val="none" w:sz="0" w:space="0" w:color="auto"/>
                  </w:divBdr>
                  <w:divsChild>
                    <w:div w:id="126974122">
                      <w:marLeft w:val="0"/>
                      <w:marRight w:val="0"/>
                      <w:marTop w:val="0"/>
                      <w:marBottom w:val="0"/>
                      <w:divBdr>
                        <w:top w:val="none" w:sz="0" w:space="0" w:color="auto"/>
                        <w:left w:val="none" w:sz="0" w:space="0" w:color="auto"/>
                        <w:bottom w:val="none" w:sz="0" w:space="0" w:color="auto"/>
                        <w:right w:val="none" w:sz="0" w:space="0" w:color="auto"/>
                      </w:divBdr>
                      <w:divsChild>
                        <w:div w:id="816845709">
                          <w:marLeft w:val="0"/>
                          <w:marRight w:val="0"/>
                          <w:marTop w:val="0"/>
                          <w:marBottom w:val="0"/>
                          <w:divBdr>
                            <w:top w:val="none" w:sz="0" w:space="0" w:color="auto"/>
                            <w:left w:val="none" w:sz="0" w:space="0" w:color="auto"/>
                            <w:bottom w:val="none" w:sz="0" w:space="0" w:color="auto"/>
                            <w:right w:val="none" w:sz="0" w:space="0" w:color="auto"/>
                          </w:divBdr>
                          <w:divsChild>
                            <w:div w:id="1606883251">
                              <w:marLeft w:val="0"/>
                              <w:marRight w:val="0"/>
                              <w:marTop w:val="0"/>
                              <w:marBottom w:val="0"/>
                              <w:divBdr>
                                <w:top w:val="none" w:sz="0" w:space="0" w:color="auto"/>
                                <w:left w:val="none" w:sz="0" w:space="0" w:color="auto"/>
                                <w:bottom w:val="none" w:sz="0" w:space="0" w:color="auto"/>
                                <w:right w:val="none" w:sz="0" w:space="0" w:color="auto"/>
                              </w:divBdr>
                              <w:divsChild>
                                <w:div w:id="592933685">
                                  <w:marLeft w:val="0"/>
                                  <w:marRight w:val="0"/>
                                  <w:marTop w:val="0"/>
                                  <w:marBottom w:val="0"/>
                                  <w:divBdr>
                                    <w:top w:val="none" w:sz="0" w:space="0" w:color="auto"/>
                                    <w:left w:val="none" w:sz="0" w:space="0" w:color="auto"/>
                                    <w:bottom w:val="none" w:sz="0" w:space="0" w:color="auto"/>
                                    <w:right w:val="none" w:sz="0" w:space="0" w:color="auto"/>
                                  </w:divBdr>
                                  <w:divsChild>
                                    <w:div w:id="6817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stemasbiometricos.cl/web/2009/12/04/exito-en-sistema-biometrico-en-notarias-de-lim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s1pe.org/rfidepc/exito_peru.htmlhttp://www.gs1pe.org/rfidepc/exito_peru.html" TargetMode="External"/><Relationship Id="rId11" Type="http://schemas.openxmlformats.org/officeDocument/2006/relationships/hyperlink" Target="http://www.google.com.pe/url?sa=i&amp;rct=j&amp;q=&amp;esrc=s&amp;frm=1&amp;source=images&amp;cd=&amp;cad=rja&amp;docid=pA2vgGo4NpJWJM&amp;tbnid=fkp_FT9ugIe_tM:&amp;ved=0CAUQjRw&amp;url=http%3A%2F%2Felcomercio.pe%2Flima%2F1417197%2Fnoticia-nuevo-dni-electronico-caducara-cada-cuatro-anos&amp;ei=Stw0UeveHpOc8wTI24HYCg&amp;bvm=bv.43148975,d.eWU&amp;psig=AFQjCNF5yifi2hmI-ffyEjeuQAjhc77CuQ&amp;ust=1362505156249959" TargetMode="External"/><Relationship Id="rId5" Type="http://schemas.openxmlformats.org/officeDocument/2006/relationships/webSettings" Target="webSettings.xml"/><Relationship Id="rId10" Type="http://schemas.openxmlformats.org/officeDocument/2006/relationships/hyperlink" Target="http://gestion.pe/tecnologia/dni-electronico-le-dice-adios-demoras-servicios-estado-201438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1392</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CCHOIS</dc:creator>
  <cp:lastModifiedBy>CCHOIS</cp:lastModifiedBy>
  <cp:revision>4</cp:revision>
  <dcterms:created xsi:type="dcterms:W3CDTF">2013-03-04T16:35:00Z</dcterms:created>
  <dcterms:modified xsi:type="dcterms:W3CDTF">2013-03-04T17:40:00Z</dcterms:modified>
</cp:coreProperties>
</file>