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widowControl w:val="1"/>
      </w:pPr>
      <w:r>
        <w:drawing>
          <wp:inline xmlns:a="http://schemas.openxmlformats.org/drawingml/2006/main" xmlns:pic="http://schemas.openxmlformats.org/drawingml/2006/picture">
            <wp:extent cx="6400800" cy="9144000"/>
            <wp:docPr id="1" name="Picture 1" title="Book cover" descr="A rugged local AI field device connected to clinics, ships, farms, vehicles, disaster teams, and community nodes under topographic lines."/>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400800" cy="9144000"/>
                    </a:xfrm>
                    <a:prstGeom prst="rect"/>
                  </pic:spPr>
                </pic:pic>
              </a:graphicData>
            </a:graphic>
          </wp:inline>
        </w:drawing>
      </w:r>
    </w:p>
    <w:p>
      <w:pPr>
        <w:sectPr>
          <w:pgSz w:w="10080" w:h="14400"/>
          <w:pgMar w:top="0" w:right="0" w:bottom="0" w:left="0" w:header="720" w:footer="720" w:gutter="0"/>
          <w:cols w:space="720"/>
          <w:docGrid w:linePitch="360"/>
        </w:sectPr>
        <w:widowControl w:val="1"/>
      </w:pPr>
    </w:p>
    <w:p>
      <w:pPr>
        <w:spacing w:before="2200"/>
        <w:ind w:firstLine="0"/>
        <w:jc w:val="center"/>
        <w:widowControl w:val="1"/>
      </w:pPr>
      <w:r>
        <w:rPr>
          <w:rFonts w:ascii="Noto Serif" w:hAnsi="Noto Serif"/>
          <w:b/>
          <w:color w:val="17232C"/>
          <w:sz w:val="62"/>
        </w:rPr>
        <w:t>INFERENCE AT THE</w:t>
        <w:br/>
        <w:t>EDGE OF THE WORLD</w:t>
      </w:r>
    </w:p>
    <w:p>
      <w:pPr>
        <w:ind w:firstLine="0"/>
        <w:jc w:val="center"/>
        <w:widowControl w:val="1"/>
      </w:pPr>
      <w:r>
        <w:rPr>
          <w:rFonts w:ascii="Noto Sans" w:hAnsi="Noto Sans"/>
          <w:color w:val="8172D8"/>
          <w:sz w:val="23"/>
        </w:rPr>
        <w:t>A Field Atlas of Local AI for Clinics, Ships, Disaster Zones, Farms, Vehicles, and Disconnected Communities</w:t>
      </w:r>
    </w:p>
    <w:p>
      <w:pPr>
        <w:spacing w:before="700"/>
        <w:ind w:firstLine="0"/>
        <w:jc w:val="center"/>
        <w:widowControl w:val="1"/>
      </w:pPr>
      <w:r>
        <w:rPr>
          <w:rFonts w:ascii="Noto Sans" w:hAnsi="Noto Sans"/>
          <w:b/>
          <w:color w:val="F09A4A"/>
          <w:sz w:val="21"/>
        </w:rPr>
        <w:t>GRAYLAN JANULIS</w:t>
      </w:r>
    </w:p>
    <w:p>
      <w:pPr>
        <w:widowControl w:val="1"/>
      </w:pPr>
      <w:r>
        <w:br w:type="page"/>
      </w:r>
    </w:p>
    <w:p>
      <w:pPr>
        <w:pStyle w:val="Heading1"/>
        <w:widowControl w:val="1"/>
      </w:pPr>
      <w:r>
        <w:t>FIELD NOTICE</w:t>
      </w:r>
    </w:p>
    <w:p>
      <w:pPr>
        <w:widowControl w:val="1"/>
      </w:pPr>
      <w:r>
        <w:t>This book is a systems-engineering atlas, not a clinical, navigational, emergency-management, agricultural, or driving instruction manual. Composite field dispatches are fictionalized scenarios used to expose architectural constraints. Safety-critical deployments require domain professionals, local authorities, formal validation, and applicable regulatory approval.</w:t>
      </w:r>
    </w:p>
    <w:p>
      <w:pPr>
        <w:widowControl w:val="1"/>
      </w:pPr>
      <w:r>
        <w:t>The central design stance is offline-first but not isolationist. Local AI should preserve essential capability during disconnection while maintaining a disciplined path to outside expertise, model updates, accountability, and human control. The system is judged not only by model accuracy, but by power, latency, maintainability, privacy, failure behavior, equity, and the quality of its refusal.</w:t>
      </w:r>
    </w:p>
    <w:p>
      <w:pPr>
        <w:widowControl w:val="1"/>
      </w:pPr>
      <w:r>
        <w:t>The atlas is organized as expeditions and missions rather than conventional chapters. Each mission contains a dispatch, terrain analysis, architecture doctrine, failure drill, field equation, and build exercise. The reader may follow it linearly or use it as a deployment reference.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32"/>
      </w:tblGrid>
      <w:tr>
        <w:tc>
          <w:tcPr>
            <w:tcW w:type="dxa" w:w="7992"/>
            <w:shd w:fill="081522"/>
            <w:tcMar>
              <w:top w:w="220" w:type="dxa"/>
              <w:start w:w="240" w:type="dxa"/>
              <w:bottom w:w="220" w:type="dxa"/>
              <w:end w:w="240" w:type="dxa"/>
            </w:tcMar>
          </w:tcPr>
          <w:p>
            <w:pPr>
              <w:ind w:firstLine="0"/>
              <w:jc w:val="center"/>
            </w:pPr>
            <w:r>
              <w:rPr>
                <w:rFonts w:ascii="Noto Sans" w:hAnsi="Noto Sans"/>
                <w:b/>
                <w:color w:val="4FD4D8"/>
                <w:sz w:val="18"/>
              </w:rPr>
              <w:t>THE EDGE DOCTRINE</w:t>
            </w:r>
          </w:p>
          <w:p>
            <w:pPr>
              <w:ind w:firstLine="0"/>
              <w:jc w:val="center"/>
            </w:pPr>
            <w:r>
              <w:rPr>
                <w:rFonts w:ascii="Noto Serif" w:hAnsi="Noto Serif"/>
                <w:i/>
                <w:color w:val="FFFFFF"/>
                <w:sz w:val="32"/>
              </w:rPr>
              <w:t>The cloud may improve the mission.</w:t>
              <w:br/>
              <w:t>It may never be the only place the mission can think.</w:t>
            </w:r>
          </w:p>
        </w:tc>
      </w:tr>
    </w:tbl>
    <w:p>
      <w:pPr>
        <w:widowControl w:val="1"/>
      </w:pPr>
      <w:r>
        <w:br w:type="page"/>
      </w:r>
    </w:p>
    <w:p>
      <w:pPr>
        <w:pStyle w:val="Heading1"/>
        <w:jc w:val="center"/>
        <w:widowControl w:val="1"/>
      </w:pPr>
      <w:r>
        <w:t>FIELD CONTENTS</w:t>
      </w:r>
    </w:p>
    <w:p>
      <w:pPr>
        <w:pStyle w:val="TOCExpedition"/>
        <w:widowControl w:val="1"/>
      </w:pPr>
      <w:r>
        <w:t>EXPEDITION I  ·  LAWS OF THE EDGE</w:t>
      </w:r>
    </w:p>
    <w:p>
      <w:pPr>
        <w:pStyle w:val="TOCMission"/>
        <w:ind w:left="317"/>
        <w:widowControl w:val="1"/>
      </w:pPr>
      <w:r>
        <w:t>01   The Last Mile Is the First Design Constraint</w:t>
      </w:r>
    </w:p>
    <w:p>
      <w:pPr>
        <w:pStyle w:val="TOCMission"/>
        <w:ind w:left="317"/>
        <w:widowControl w:val="1"/>
      </w:pPr>
      <w:r>
        <w:t>02   Autonomy Without Isolation</w:t>
      </w:r>
    </w:p>
    <w:p>
      <w:pPr>
        <w:pStyle w:val="TOCMission"/>
        <w:ind w:left="317"/>
        <w:widowControl w:val="1"/>
      </w:pPr>
      <w:r>
        <w:t>03   The Connectivity Ladder</w:t>
      </w:r>
    </w:p>
    <w:p>
      <w:pPr>
        <w:pStyle w:val="TOCMission"/>
        <w:ind w:left="317"/>
        <w:widowControl w:val="1"/>
      </w:pPr>
      <w:r>
        <w:t>04   Power Is a Model Parameter</w:t>
      </w:r>
    </w:p>
    <w:p>
      <w:pPr>
        <w:pStyle w:val="TOCMission"/>
        <w:ind w:left="317"/>
        <w:widowControl w:val="1"/>
      </w:pPr>
      <w:r>
        <w:t>05   Graceful Degradation Is a Product Feature</w:t>
      </w:r>
    </w:p>
    <w:p>
      <w:pPr>
        <w:pStyle w:val="TOCMission"/>
        <w:ind w:left="317"/>
        <w:widowControl w:val="1"/>
      </w:pPr>
      <w:r>
        <w:t>06   The Human Override Must Work in the Rain</w:t>
      </w:r>
    </w:p>
    <w:p>
      <w:pPr>
        <w:pStyle w:val="TOCExpedition"/>
        <w:widowControl w:val="1"/>
      </w:pPr>
      <w:r>
        <w:t>EXPEDITION II  ·  THE RURAL CLINIC</w:t>
      </w:r>
    </w:p>
    <w:p>
      <w:pPr>
        <w:pStyle w:val="TOCMission"/>
        <w:ind w:left="317"/>
        <w:widowControl w:val="1"/>
      </w:pPr>
      <w:r>
        <w:t>07   Triage on a Solar Tablet</w:t>
      </w:r>
    </w:p>
    <w:p>
      <w:pPr>
        <w:pStyle w:val="TOCMission"/>
        <w:ind w:left="317"/>
        <w:widowControl w:val="1"/>
      </w:pPr>
      <w:r>
        <w:t>08   Imaging Without a Radiologist On Site</w:t>
      </w:r>
    </w:p>
    <w:p>
      <w:pPr>
        <w:pStyle w:val="TOCMission"/>
        <w:ind w:left="317"/>
        <w:widowControl w:val="1"/>
      </w:pPr>
      <w:r>
        <w:t>09   Maternal and Child Health Under Interrupted Connectivity</w:t>
      </w:r>
    </w:p>
    <w:p>
      <w:pPr>
        <w:pStyle w:val="TOCMission"/>
        <w:ind w:left="317"/>
        <w:widowControl w:val="1"/>
      </w:pPr>
      <w:r>
        <w:t>10   Local-Language Clinical Interfaces</w:t>
      </w:r>
    </w:p>
    <w:p>
      <w:pPr>
        <w:pStyle w:val="TOCMission"/>
        <w:ind w:left="317"/>
        <w:widowControl w:val="1"/>
      </w:pPr>
      <w:r>
        <w:t>11   Federated Learning Across Small Clinics</w:t>
      </w:r>
    </w:p>
    <w:p>
      <w:pPr>
        <w:pStyle w:val="TOCExpedition"/>
        <w:widowControl w:val="1"/>
      </w:pPr>
      <w:r>
        <w:t>EXPEDITION III  ·  THE OPEN OCEAN</w:t>
      </w:r>
    </w:p>
    <w:p>
      <w:pPr>
        <w:pStyle w:val="TOCMission"/>
        <w:ind w:left="317"/>
        <w:widowControl w:val="1"/>
      </w:pPr>
      <w:r>
        <w:t>12   The Ship as a Moving Data Center</w:t>
      </w:r>
    </w:p>
    <w:p>
      <w:pPr>
        <w:pStyle w:val="TOCMission"/>
        <w:ind w:left="317"/>
        <w:widowControl w:val="1"/>
      </w:pPr>
      <w:r>
        <w:t>13   Navigation and Collision Intelligence</w:t>
      </w:r>
    </w:p>
    <w:p>
      <w:pPr>
        <w:pStyle w:val="TOCMission"/>
        <w:ind w:left="317"/>
        <w:widowControl w:val="1"/>
      </w:pPr>
      <w:r>
        <w:t>14   Predictive Maintenance Below Deck</w:t>
      </w:r>
    </w:p>
    <w:p>
      <w:pPr>
        <w:pStyle w:val="TOCMission"/>
        <w:ind w:left="317"/>
        <w:widowControl w:val="1"/>
      </w:pPr>
      <w:r>
        <w:t>15   Medical Support at Sea</w:t>
      </w:r>
    </w:p>
    <w:p>
      <w:pPr>
        <w:pStyle w:val="TOCMission"/>
        <w:ind w:left="317"/>
        <w:widowControl w:val="1"/>
      </w:pPr>
      <w:r>
        <w:t>16   Remote Operations and the MASS Safety Case</w:t>
      </w:r>
    </w:p>
    <w:p>
      <w:pPr>
        <w:pStyle w:val="TOCExpedition"/>
        <w:widowControl w:val="1"/>
      </w:pPr>
      <w:r>
        <w:t>EXPEDITION IV  ·  THE DISASTER ZONE</w:t>
      </w:r>
    </w:p>
    <w:p>
      <w:pPr>
        <w:pStyle w:val="TOCMission"/>
        <w:ind w:left="317"/>
        <w:widowControl w:val="1"/>
      </w:pPr>
      <w:r>
        <w:t>17   The First Twenty-Four Hours</w:t>
      </w:r>
    </w:p>
    <w:p>
      <w:pPr>
        <w:pStyle w:val="TOCMission"/>
        <w:ind w:left="317"/>
        <w:widowControl w:val="1"/>
      </w:pPr>
      <w:r>
        <w:t>18   Drone-Borne Mapping and Search</w:t>
      </w:r>
    </w:p>
    <w:p>
      <w:pPr>
        <w:pStyle w:val="TOCMission"/>
        <w:ind w:left="317"/>
        <w:widowControl w:val="1"/>
      </w:pPr>
      <w:r>
        <w:t>19   Mesh Networks and Delay-Tolerant Intelligence</w:t>
      </w:r>
    </w:p>
    <w:p>
      <w:pPr>
        <w:pStyle w:val="TOCMission"/>
        <w:ind w:left="317"/>
        <w:widowControl w:val="1"/>
      </w:pPr>
      <w:r>
        <w:t>20   Local Early Warning and Evacuation</w:t>
      </w:r>
    </w:p>
    <w:p>
      <w:pPr>
        <w:pStyle w:val="TOCMission"/>
        <w:ind w:left="317"/>
        <w:widowControl w:val="1"/>
      </w:pPr>
      <w:r>
        <w:t>21   Humanitarian Data Under Extreme Uncertainty</w:t>
      </w:r>
    </w:p>
    <w:p>
      <w:pPr>
        <w:pStyle w:val="TOCExpedition"/>
        <w:widowControl w:val="1"/>
      </w:pPr>
      <w:r>
        <w:t>EXPEDITION V  ·  THE FARM</w:t>
      </w:r>
    </w:p>
    <w:p>
      <w:pPr>
        <w:pStyle w:val="TOCMission"/>
        <w:ind w:left="317"/>
        <w:widowControl w:val="1"/>
      </w:pPr>
      <w:r>
        <w:t>22   Sensor-to-Soil Intelligence</w:t>
      </w:r>
    </w:p>
    <w:p>
      <w:pPr>
        <w:pStyle w:val="TOCMission"/>
        <w:ind w:left="317"/>
        <w:widowControl w:val="1"/>
      </w:pPr>
      <w:r>
        <w:t>23   Vision Models for Crops and Livestock</w:t>
      </w:r>
    </w:p>
    <w:p>
      <w:pPr>
        <w:pStyle w:val="TOCMission"/>
        <w:ind w:left="317"/>
        <w:widowControl w:val="1"/>
      </w:pPr>
      <w:r>
        <w:t>24   Irrigation Under Intermittent Power</w:t>
      </w:r>
    </w:p>
    <w:p>
      <w:pPr>
        <w:pStyle w:val="TOCMission"/>
        <w:ind w:left="317"/>
        <w:widowControl w:val="1"/>
      </w:pPr>
      <w:r>
        <w:t>25   Local Advisory in the Farmer’s Language</w:t>
      </w:r>
    </w:p>
    <w:p>
      <w:pPr>
        <w:pStyle w:val="TOCMission"/>
        <w:ind w:left="317"/>
        <w:widowControl w:val="1"/>
      </w:pPr>
      <w:r>
        <w:t>26   Cooperative Learning Without Centralizing the Farm</w:t>
      </w:r>
    </w:p>
    <w:p>
      <w:pPr>
        <w:pStyle w:val="TOCExpedition"/>
        <w:widowControl w:val="1"/>
      </w:pPr>
      <w:r>
        <w:t>EXPEDITION VI  ·  THE MOVING VEHICLE</w:t>
      </w:r>
    </w:p>
    <w:p>
      <w:pPr>
        <w:pStyle w:val="TOCMission"/>
        <w:ind w:left="317"/>
        <w:widowControl w:val="1"/>
      </w:pPr>
      <w:r>
        <w:t>27   Perception When the Network Vanishes</w:t>
      </w:r>
    </w:p>
    <w:p>
      <w:pPr>
        <w:pStyle w:val="TOCMission"/>
        <w:ind w:left="317"/>
        <w:widowControl w:val="1"/>
      </w:pPr>
      <w:r>
        <w:t>28   Hazard Prediction and Driver Assistance</w:t>
      </w:r>
    </w:p>
    <w:p>
      <w:pPr>
        <w:pStyle w:val="TOCMission"/>
        <w:ind w:left="317"/>
        <w:widowControl w:val="1"/>
      </w:pPr>
      <w:r>
        <w:t>29   Fleet Memory and Selective Synchronization</w:t>
      </w:r>
    </w:p>
    <w:p>
      <w:pPr>
        <w:pStyle w:val="TOCMission"/>
        <w:ind w:left="317"/>
        <w:widowControl w:val="1"/>
      </w:pPr>
      <w:r>
        <w:t>30   Edge Vision-Language Models Without Unsafe Authority</w:t>
      </w:r>
    </w:p>
    <w:p>
      <w:pPr>
        <w:pStyle w:val="TOCMission"/>
        <w:ind w:left="317"/>
        <w:widowControl w:val="1"/>
      </w:pPr>
      <w:r>
        <w:t>31   Maintenance, Energy, and Route Resilience</w:t>
      </w:r>
    </w:p>
    <w:p>
      <w:pPr>
        <w:pStyle w:val="TOCExpedition"/>
        <w:widowControl w:val="1"/>
      </w:pPr>
      <w:r>
        <w:t>EXPEDITION VII  ·  THE DISCONNECTED COMMUNITY</w:t>
      </w:r>
    </w:p>
    <w:p>
      <w:pPr>
        <w:pStyle w:val="TOCMission"/>
        <w:ind w:left="317"/>
        <w:widowControl w:val="1"/>
      </w:pPr>
      <w:r>
        <w:t>32   The Village Knowledge Node</w:t>
      </w:r>
    </w:p>
    <w:p>
      <w:pPr>
        <w:pStyle w:val="TOCMission"/>
        <w:ind w:left="317"/>
        <w:widowControl w:val="1"/>
      </w:pPr>
      <w:r>
        <w:t>33   Offline Education and Translation</w:t>
      </w:r>
    </w:p>
    <w:p>
      <w:pPr>
        <w:pStyle w:val="TOCMission"/>
        <w:ind w:left="317"/>
        <w:widowControl w:val="1"/>
      </w:pPr>
      <w:r>
        <w:t>34   Local Governance and Community Data</w:t>
      </w:r>
    </w:p>
    <w:p>
      <w:pPr>
        <w:pStyle w:val="TOCMission"/>
        <w:ind w:left="317"/>
        <w:widowControl w:val="1"/>
      </w:pPr>
      <w:r>
        <w:t>35   Microgrids, Markets, and Public Services</w:t>
      </w:r>
    </w:p>
    <w:p>
      <w:pPr>
        <w:pStyle w:val="TOCMission"/>
        <w:ind w:left="317"/>
        <w:widowControl w:val="1"/>
      </w:pPr>
      <w:r>
        <w:t>36   A Right to Intelligence Without Connectivity</w:t>
      </w:r>
    </w:p>
    <w:p>
      <w:pPr>
        <w:pStyle w:val="TOCMission"/>
        <w:widowControl w:val="1"/>
      </w:pPr>
      <w:r>
        <w:t>ANNEX A  Hardware tiers and reference loadouts</w:t>
      </w:r>
    </w:p>
    <w:p>
      <w:pPr>
        <w:pStyle w:val="TOCMission"/>
        <w:widowControl w:val="1"/>
      </w:pPr>
      <w:r>
        <w:t>ANNEX B  Model optimization and compilation</w:t>
      </w:r>
    </w:p>
    <w:p>
      <w:pPr>
        <w:pStyle w:val="TOCMission"/>
        <w:widowControl w:val="1"/>
      </w:pPr>
      <w:r>
        <w:t>ANNEX C  Synchronization and update protocols</w:t>
      </w:r>
    </w:p>
    <w:p>
      <w:pPr>
        <w:pStyle w:val="TOCMission"/>
        <w:widowControl w:val="1"/>
      </w:pPr>
      <w:r>
        <w:t>ANNEX D  Safety-case and failure-drill templates</w:t>
      </w:r>
    </w:p>
    <w:p>
      <w:pPr>
        <w:pStyle w:val="TOCMission"/>
        <w:widowControl w:val="1"/>
      </w:pPr>
      <w:r>
        <w:t>ANNEX E  A 90-day pilot and cost architecture</w:t>
      </w:r>
    </w:p>
    <w:p>
      <w:pPr>
        <w:pStyle w:val="TOCMission"/>
        <w:widowControl w:val="1"/>
      </w:pPr>
      <w:r>
        <w:t>ANNEX F  The Edge Intelligence Constitution</w:t>
      </w:r>
    </w:p>
    <w:p>
      <w:pPr>
        <w:pStyle w:val="TOCMission"/>
        <w:widowControl w:val="1"/>
      </w:pPr>
      <w:r>
        <w:t>Glossary</w:t>
      </w:r>
    </w:p>
    <w:p>
      <w:pPr>
        <w:pStyle w:val="TOCMission"/>
        <w:widowControl w:val="1"/>
      </w:pPr>
      <w:r>
        <w:t>Research notes and sources</w:t>
      </w:r>
    </w:p>
    <w:p>
      <w:pPr>
        <w:widowControl w:val="1"/>
      </w:pPr>
      <w:r>
        <w:br w:type="page"/>
      </w:r>
    </w:p>
    <w:p>
      <w:pPr>
        <w:pStyle w:val="Heading1"/>
        <w:widowControl w:val="1"/>
      </w:pPr>
      <w:r>
        <w:t>HOW TO USE THIS ATLAS</w:t>
      </w:r>
    </w:p>
    <w:p>
      <w:pPr>
        <w:widowControl w:val="1"/>
      </w:pPr>
      <w:r>
        <w:t>A field system is read in two directions. The vertical direction runs from power and sensors through models, memory, interface, policy, and human authority. The horizontal direction runs across failure states: full connectivity, weak connectivity, local mesh, complete isolation, degraded power, damaged sensors, and compromised software. A design is not complete until both directions are explicit.</w:t>
      </w:r>
    </w:p>
    <w:p>
      <w:pPr>
        <w:widowControl w:val="1"/>
      </w:pPr>
      <w:r>
        <w:t>Each mission begins with a dispatch that describes what the operator experiences. The terrain section converts the scene into technical constraints. The architecture section identifies a reference pattern. The failure drill describes how the system is likely to betray its designers. The field equation is a compact design objective, not a scientific law. The build lab turns the chapter into an experiment.</w:t>
      </w:r>
    </w:p>
    <w:p>
      <w:pPr>
        <w:widowControl w:val="1"/>
      </w:pPr>
      <w:r>
        <w:t>The recommended reading sequence is to master Expedition I, select one operating theater, and then complete the annexes before a pilot. Teams working across several theaters should compare their assumptions: a ship, clinic, and farm may use similar hardware, but their authority models, evidence standards, acceptable latency, and consequences of error are profoundly different.</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2" name="Picture 2" title="Figure 1" descr="Six edge AI operating theaters connected to a local AI core."/>
            <wp:cNvGraphicFramePr>
              <a:graphicFrameLocks noChangeAspect="1"/>
            </wp:cNvGraphicFramePr>
            <a:graphic>
              <a:graphicData uri="http://schemas.openxmlformats.org/drawingml/2006/picture">
                <pic:pic>
                  <pic:nvPicPr>
                    <pic:cNvPr id="0" name="fig_world.png"/>
                    <pic:cNvPicPr/>
                  </pic:nvPicPr>
                  <pic:blipFill>
                    <a:blip r:embed="rId12"/>
                    <a:stretch>
                      <a:fillRect/>
                    </a:stretch>
                  </pic:blipFill>
                  <pic:spPr>
                    <a:xfrm>
                      <a:off x="0" y="0"/>
                      <a:ext cx="5074920" cy="3075200"/>
                    </a:xfrm>
                    <a:prstGeom prst="rect"/>
                  </pic:spPr>
                </pic:pic>
              </a:graphicData>
            </a:graphic>
          </wp:inline>
        </w:drawing>
      </w:r>
    </w:p>
    <w:p>
      <w:pPr>
        <w:pStyle w:val="Caption"/>
        <w:keepLines/>
        <w:jc w:val="center"/>
        <w:widowControl w:val="1"/>
      </w:pPr>
      <w:r>
        <w:t>FIELD PLATE 01 — The six theaters of edge intelligence orbit a local core rather than a permanent cloud connection.</w:t>
      </w:r>
    </w:p>
    <w:p>
      <w:pPr>
        <w:sectPr>
          <w:headerReference w:type="default" r:id="rId10"/>
          <w:footerReference w:type="default" r:id="rId11"/>
          <w:pgSz w:w="10080" w:h="14400"/>
          <w:pgMar w:top="1123" w:right="979" w:bottom="1008" w:left="1109" w:header="360" w:footer="403" w:gutter="0"/>
          <w:cols w:space="720"/>
          <w:docGrid w:linePitch="360"/>
        </w:sectPr>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0"/>
      </w:tblGrid>
      <w:tr>
        <w:tc>
          <w:tcPr>
            <w:tcW w:type="dxa" w:w="8064"/>
            <w:shd w:fill="081522"/>
            <w:tcMar>
              <w:top w:w="700" w:type="dxa"/>
              <w:start w:w="260" w:type="dxa"/>
              <w:bottom w:w="700" w:type="dxa"/>
              <w:end w:w="260" w:type="dxa"/>
            </w:tcMar>
          </w:tcPr>
          <w:p>
            <w:pPr>
              <w:ind w:firstLine="0"/>
              <w:jc w:val="center"/>
            </w:pPr>
            <w:r>
              <w:rPr>
                <w:rFonts w:ascii="Noto Sans" w:hAnsi="Noto Sans"/>
                <w:b/>
                <w:color w:val="4FD4D8"/>
                <w:sz w:val="20"/>
              </w:rPr>
              <w:t>EXPEDITION I</w:t>
            </w:r>
          </w:p>
          <w:p>
            <w:pPr>
              <w:ind w:firstLine="0"/>
              <w:jc w:val="center"/>
            </w:pPr>
            <w:r>
              <w:rPr>
                <w:rFonts w:ascii="Noto Serif" w:hAnsi="Noto Serif"/>
                <w:b/>
                <w:color w:val="FFFFFF"/>
                <w:sz w:val="54"/>
              </w:rPr>
              <w:t>LAWS OF THE EDGE</w:t>
            </w:r>
          </w:p>
          <w:p>
            <w:pPr>
              <w:ind w:firstLine="0"/>
              <w:jc w:val="center"/>
            </w:pPr>
            <w:r>
              <w:rPr>
                <w:rFonts w:ascii="Noto Sans" w:hAnsi="Noto Sans"/>
                <w:color w:val="B8CAD2"/>
                <w:sz w:val="18"/>
              </w:rPr>
              <w:t>The field doctrine that makes local intelligence survive power loss, weak links, environmental damage, and uncertain authority.</w:t>
            </w:r>
          </w:p>
        </w:tc>
      </w:tr>
    </w:tbl>
    <w:p>
      <w:pPr>
        <w:widowControl w:val="1"/>
      </w:pPr>
      <w:r>
        <w:br w:type="page"/>
      </w:r>
    </w:p>
    <w:p>
      <w:pPr>
        <w:pStyle w:val="MissionNumber"/>
        <w:widowControl w:val="1"/>
      </w:pPr>
      <w:r>
        <w:t>MISSION 01  /  LAWS OF THE EDGE</w:t>
      </w:r>
    </w:p>
    <w:p>
      <w:pPr>
        <w:pStyle w:val="MissionTitle"/>
        <w:widowControl w:val="1"/>
      </w:pPr>
      <w:r>
        <w:t>The Last Mile Is the First Design Constraint</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health worker, mechanic, farmer, or ship officer does not experience “edge computing” as an architecture trend. They experience a decision that must be made before a distant service answers. The mission begins where latency, cost, weather, geography, or politics makes the network uncertain.</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Design from the local decision outward. Identify the smallest set of sensors, rules, models, memory, and human authority required to finish the mission without a cloud response. Treat remote services as accelerators and update channels, not as the only place where intelligence exists.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3" name="Picture 3" title="Figure 2" descr="The expedition stack begins with physical survival and ends with accountable mission authority."/>
            <wp:cNvGraphicFramePr>
              <a:graphicFrameLocks noChangeAspect="1"/>
            </wp:cNvGraphicFramePr>
            <a:graphic>
              <a:graphicData uri="http://schemas.openxmlformats.org/drawingml/2006/picture">
                <pic:pic>
                  <pic:nvPicPr>
                    <pic:cNvPr id="0" name="fig_stack.png"/>
                    <pic:cNvPicPr/>
                  </pic:nvPicPr>
                  <pic:blipFill>
                    <a:blip r:embed="rId15"/>
                    <a:stretch>
                      <a:fillRect/>
                    </a:stretch>
                  </pic:blipFill>
                  <pic:spPr>
                    <a:xfrm>
                      <a:off x="0" y="0"/>
                      <a:ext cx="5074920" cy="3075200"/>
                    </a:xfrm>
                    <a:prstGeom prst="rect"/>
                  </pic:spPr>
                </pic:pic>
              </a:graphicData>
            </a:graphic>
          </wp:inline>
        </w:drawing>
      </w:r>
    </w:p>
    <w:p>
      <w:pPr>
        <w:pStyle w:val="Caption"/>
        <w:keepLines/>
        <w:jc w:val="center"/>
        <w:widowControl w:val="1"/>
      </w:pPr>
      <w:r>
        <w:t>FIELD PLATE 02 — The expedition stack begins with physical survival and ends with accountable mission authority.</w:t>
      </w:r>
    </w:p>
    <w:p>
      <w:pPr>
        <w:pStyle w:val="Heading2"/>
        <w:pageBreakBefore/>
        <w:widowControl w:val="1"/>
      </w:pPr>
      <w:r>
        <w:t>THE FAILURE DRILL</w:t>
      </w:r>
    </w:p>
    <w:p>
      <w:pPr>
        <w:widowControl w:val="1"/>
      </w:pPr>
      <w:r>
        <w:t>A cloud-first prototype often works perfectly in the lab and disappears in the field. The failure is organizational as much as technical: no one owns offline behavior, local storage, stale knowledge, or the handoff from automation to human judgment.</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Power and thermal budget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Connectivity service ladder</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Model cascade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knowledge bundle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Human authority matrix</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A = useful decisions completed locally / total required decisions</w:t>
            </w:r>
          </w:p>
        </w:tc>
      </w:tr>
    </w:tbl>
    <w:p>
      <w:pPr>
        <w:pStyle w:val="Heading2"/>
        <w:widowControl w:val="1"/>
      </w:pPr>
      <w:r>
        <w:t>BUILD LAB</w:t>
      </w:r>
    </w:p>
    <w:p>
      <w:pPr>
        <w:widowControl w:val="1"/>
      </w:pPr>
      <w:r>
        <w:t>Map one mission minute by minute. Mark every point at which data leaves the site, every hidden dependency, and every action that must remain possible during a seventy-two-hour outage.</w:t>
      </w:r>
    </w:p>
    <w:p>
      <w:pPr>
        <w:pStyle w:val="SmallSans"/>
        <w:ind w:firstLine="0"/>
        <w:widowControl w:val="1"/>
      </w:pPr>
      <w:r>
        <w:rPr>
          <w:b/>
        </w:rPr>
        <w:t xml:space="preserve">Research trail: </w:t>
      </w:r>
      <w:r>
        <w:t>R7,R24,R25. See Research Notes and Sources.</w:t>
      </w:r>
    </w:p>
    <w:p>
      <w:pPr>
        <w:widowControl w:val="1"/>
      </w:pPr>
      <w:r>
        <w:br w:type="page"/>
      </w:r>
    </w:p>
    <w:p>
      <w:pPr>
        <w:pStyle w:val="MissionNumber"/>
        <w:widowControl w:val="1"/>
      </w:pPr>
      <w:r>
        <w:t>MISSION 02  /  LAWS OF THE EDGE</w:t>
      </w:r>
    </w:p>
    <w:p>
      <w:pPr>
        <w:pStyle w:val="MissionTitle"/>
        <w:widowControl w:val="1"/>
      </w:pPr>
      <w:r>
        <w:t>Autonomy Without Isolation</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Local autonomy is not a declaration that a system should operate alone. It is an agreement about which actions can be completed locally, which require consultation, and which must stop when evidence or authority is missing.</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Build an authority matrix with four zones: automate, recommend, escalate, and prohibit. Bind each action to evidence freshness, operator identity, sensor health, model confidence, and the availability of a qualified human.</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4" name="Picture 4" title="Figure 3" descr="The authority envelope separates automation, recommendation, escalation, and prohibition."/>
            <wp:cNvGraphicFramePr>
              <a:graphicFrameLocks noChangeAspect="1"/>
            </wp:cNvGraphicFramePr>
            <a:graphic>
              <a:graphicData uri="http://schemas.openxmlformats.org/drawingml/2006/picture">
                <pic:pic>
                  <pic:nvPicPr>
                    <pic:cNvPr id="0" name="fig_human.png"/>
                    <pic:cNvPicPr/>
                  </pic:nvPicPr>
                  <pic:blipFill>
                    <a:blip r:embed="rId16"/>
                    <a:stretch>
                      <a:fillRect/>
                    </a:stretch>
                  </pic:blipFill>
                  <pic:spPr>
                    <a:xfrm>
                      <a:off x="0" y="0"/>
                      <a:ext cx="5074920" cy="3075200"/>
                    </a:xfrm>
                    <a:prstGeom prst="rect"/>
                  </pic:spPr>
                </pic:pic>
              </a:graphicData>
            </a:graphic>
          </wp:inline>
        </w:drawing>
      </w:r>
    </w:p>
    <w:p>
      <w:pPr>
        <w:pStyle w:val="Caption"/>
        <w:keepLines/>
        <w:jc w:val="center"/>
        <w:widowControl w:val="1"/>
      </w:pPr>
      <w:r>
        <w:t>FIELD PLATE 03 — The authority envelope separates automation, recommendation, escalation, and prohibition.</w:t>
      </w:r>
    </w:p>
    <w:p>
      <w:pPr>
        <w:pStyle w:val="Heading2"/>
        <w:pageBreakBefore/>
        <w:widowControl w:val="1"/>
      </w:pPr>
      <w:r>
        <w:t>THE FAILURE DRILL</w:t>
      </w:r>
    </w:p>
    <w:p>
      <w:pPr>
        <w:widowControl w:val="1"/>
      </w:pPr>
      <w:r>
        <w:t>Systems fail dangerously when “offline mode” quietly expands authority. A model that was intended to summarize records can become a triage engine; a navigation aid can become a de facto controller. The interface must make authority visible and technically enforceable.</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Power and thermal budget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Connectivity service ladder</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Model cascade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knowledge bundle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Human authority matrix</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U = mission utility - unauthorized action risk</w:t>
            </w:r>
          </w:p>
        </w:tc>
      </w:tr>
    </w:tbl>
    <w:p>
      <w:pPr>
        <w:pStyle w:val="Heading2"/>
        <w:widowControl w:val="1"/>
      </w:pPr>
      <w:r>
        <w:t>BUILD LAB</w:t>
      </w:r>
    </w:p>
    <w:p>
      <w:pPr>
        <w:widowControl w:val="1"/>
      </w:pPr>
      <w:r>
        <w:t>Take one feature and write the exact conditions under which it moves from recommendation to escalation. Then simulate a stale model, a missing sensor, and an untrained operator.</w:t>
      </w:r>
    </w:p>
    <w:p>
      <w:pPr>
        <w:pStyle w:val="SmallSans"/>
        <w:ind w:firstLine="0"/>
        <w:widowControl w:val="1"/>
      </w:pPr>
      <w:r>
        <w:rPr>
          <w:b/>
        </w:rPr>
        <w:t xml:space="preserve">Research trail: </w:t>
      </w:r>
      <w:r>
        <w:t>R1,R5,R11,R25. See Research Notes and Sources.</w:t>
      </w:r>
    </w:p>
    <w:p>
      <w:pPr>
        <w:widowControl w:val="1"/>
      </w:pPr>
      <w:r>
        <w:br w:type="page"/>
      </w:r>
    </w:p>
    <w:p>
      <w:pPr>
        <w:pStyle w:val="MissionNumber"/>
        <w:widowControl w:val="1"/>
      </w:pPr>
      <w:r>
        <w:t>MISSION 03  /  LAWS OF THE EDGE</w:t>
      </w:r>
    </w:p>
    <w:p>
      <w:pPr>
        <w:pStyle w:val="MissionTitle"/>
        <w:widowControl w:val="1"/>
      </w:pPr>
      <w:r>
        <w:t>The Connectivity Ladder</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Connectivity is not binary. A field node may move through full broadband, expensive satellite, brief cellular bursts, peer mesh, radio relays, physical data transfer, and complete isolation during one mission.</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Define a ladder of service levels. At each rung, specify what synchronizes, what compresses, what queues, what can be reconstructed later, and what user promises change. Exchange manifests and high-priority deltas before bulk media.</w:t>
      </w:r>
    </w:p>
    <w:p>
      <w:pPr>
        <w:keepNext/>
        <w:spacing w:before="100" w:after="40"/>
        <w:ind w:firstLine="0"/>
        <w:jc w:val="center"/>
        <w:widowControl w:val="1"/>
      </w:pPr>
      <w:r>
        <w:drawing>
          <wp:inline xmlns:a="http://schemas.openxmlformats.org/drawingml/2006/main" xmlns:pic="http://schemas.openxmlformats.org/drawingml/2006/picture">
            <wp:extent cx="5074920" cy="2681034"/>
            <wp:docPr id="5" name="Picture 5" title="Figure 4" descr="The connectivity ladder defines a different service contract at each rung."/>
            <wp:cNvGraphicFramePr>
              <a:graphicFrameLocks noChangeAspect="1"/>
            </wp:cNvGraphicFramePr>
            <a:graphic>
              <a:graphicData uri="http://schemas.openxmlformats.org/drawingml/2006/picture">
                <pic:pic>
                  <pic:nvPicPr>
                    <pic:cNvPr id="0" name="fig_connectivity.png"/>
                    <pic:cNvPicPr/>
                  </pic:nvPicPr>
                  <pic:blipFill>
                    <a:blip r:embed="rId17"/>
                    <a:stretch>
                      <a:fillRect/>
                    </a:stretch>
                  </pic:blipFill>
                  <pic:spPr>
                    <a:xfrm>
                      <a:off x="0" y="0"/>
                      <a:ext cx="5074920" cy="2681034"/>
                    </a:xfrm>
                    <a:prstGeom prst="rect"/>
                  </pic:spPr>
                </pic:pic>
              </a:graphicData>
            </a:graphic>
          </wp:inline>
        </w:drawing>
      </w:r>
    </w:p>
    <w:p>
      <w:pPr>
        <w:pStyle w:val="Caption"/>
        <w:keepLines/>
        <w:jc w:val="center"/>
        <w:widowControl w:val="1"/>
      </w:pPr>
      <w:r>
        <w:t>FIELD PLATE 04 — The connectivity ladder defines a different service contract at each rung.</w:t>
      </w:r>
    </w:p>
    <w:p>
      <w:pPr>
        <w:pStyle w:val="Heading2"/>
        <w:pageBreakBefore/>
        <w:widowControl w:val="1"/>
      </w:pPr>
      <w:r>
        <w:t>THE FAILURE DRILL</w:t>
      </w:r>
    </w:p>
    <w:p>
      <w:pPr>
        <w:widowControl w:val="1"/>
      </w:pPr>
      <w:r>
        <w:t>The most common design error is feature collapse: the entire application becomes unusable because a low-value cloud call blocks the interface. The second is conflict erasure, where delayed devices overwrite one another when the link returns.</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Power and thermal budget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Connectivity service ladder</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Model cascade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knowledge bundle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Human authority matrix</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C = essential capability retained as bandwidth approaches zero</w:t>
            </w:r>
          </w:p>
        </w:tc>
      </w:tr>
    </w:tbl>
    <w:p>
      <w:pPr>
        <w:pStyle w:val="Heading2"/>
        <w:widowControl w:val="1"/>
      </w:pPr>
      <w:r>
        <w:t>BUILD LAB</w:t>
      </w:r>
    </w:p>
    <w:p>
      <w:pPr>
        <w:widowControl w:val="1"/>
      </w:pPr>
      <w:r>
        <w:t>Disconnect the prototype at random times. Measure which workflows finish, which data remains inspectable, and whether reconciliation preserves conflicting clinical, safety, or community records.</w:t>
      </w:r>
    </w:p>
    <w:p>
      <w:pPr>
        <w:pStyle w:val="SmallSans"/>
        <w:ind w:firstLine="0"/>
        <w:widowControl w:val="1"/>
      </w:pPr>
      <w:r>
        <w:rPr>
          <w:b/>
        </w:rPr>
        <w:t xml:space="preserve">Research trail: </w:t>
      </w:r>
      <w:r>
        <w:t>R7,R8,R20. See Research Notes and Sources.</w:t>
      </w:r>
    </w:p>
    <w:p>
      <w:pPr>
        <w:widowControl w:val="1"/>
      </w:pPr>
      <w:r>
        <w:br w:type="page"/>
      </w:r>
    </w:p>
    <w:p>
      <w:pPr>
        <w:pStyle w:val="MissionNumber"/>
        <w:widowControl w:val="1"/>
      </w:pPr>
      <w:r>
        <w:t>MISSION 04  /  LAWS OF THE EDGE</w:t>
      </w:r>
    </w:p>
    <w:p>
      <w:pPr>
        <w:pStyle w:val="MissionTitle"/>
        <w:widowControl w:val="1"/>
      </w:pPr>
      <w:r>
        <w:t>Power Is a Model Parameter</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In the field, a parameter count is also a heat load, battery schedule, solar-panel area, enclosure problem, and maintenance burden. Accuracy measured without energy and thermal behavior is incomplete.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Profile the entire workload: sensing, preprocessing, inference, storage, display, radio transmission, idle listening, and cooling. Use cascades so rules and TinyML handle frequent easy cases while larger local models wake only for difficult events.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6" name="Picture 6" title="Figure 5" descr="Accuracy, latency, and energy form a mission-specific engineering triangle."/>
            <wp:cNvGraphicFramePr>
              <a:graphicFrameLocks noChangeAspect="1"/>
            </wp:cNvGraphicFramePr>
            <a:graphic>
              <a:graphicData uri="http://schemas.openxmlformats.org/drawingml/2006/picture">
                <pic:pic>
                  <pic:nvPicPr>
                    <pic:cNvPr id="0" name="fig_power.png"/>
                    <pic:cNvPicPr/>
                  </pic:nvPicPr>
                  <pic:blipFill>
                    <a:blip r:embed="rId18"/>
                    <a:stretch>
                      <a:fillRect/>
                    </a:stretch>
                  </pic:blipFill>
                  <pic:spPr>
                    <a:xfrm>
                      <a:off x="0" y="0"/>
                      <a:ext cx="5074920" cy="3075200"/>
                    </a:xfrm>
                    <a:prstGeom prst="rect"/>
                  </pic:spPr>
                </pic:pic>
              </a:graphicData>
            </a:graphic>
          </wp:inline>
        </w:drawing>
      </w:r>
    </w:p>
    <w:p>
      <w:pPr>
        <w:pStyle w:val="Caption"/>
        <w:keepLines/>
        <w:jc w:val="center"/>
        <w:widowControl w:val="1"/>
      </w:pPr>
      <w:r>
        <w:t>FIELD PLATE 05 — Accuracy, latency, and energy form a mission-specific engineering triangle.</w:t>
      </w:r>
    </w:p>
    <w:p>
      <w:pPr>
        <w:pStyle w:val="Heading2"/>
        <w:pageBreakBefore/>
        <w:widowControl w:val="1"/>
      </w:pPr>
      <w:r>
        <w:t>THE FAILURE DRILL</w:t>
      </w:r>
    </w:p>
    <w:p>
      <w:pPr>
        <w:widowControl w:val="1"/>
      </w:pPr>
      <w:r>
        <w:t>A fast accelerator can still be the wrong choice if it drains batteries, throttles in heat, or requires fans that ingest dust and salt. Wireless transmission may cost more energy than local computation, but only measurement can establish the real budget.</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Power and thermal budget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Connectivity service ladder</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Model cascade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knowledge bundle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Human authority matrix</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E_m = useful mission decisions / joule</w:t>
            </w:r>
          </w:p>
        </w:tc>
      </w:tr>
    </w:tbl>
    <w:p>
      <w:pPr>
        <w:pStyle w:val="Heading2"/>
        <w:widowControl w:val="1"/>
      </w:pPr>
      <w:r>
        <w:t>BUILD LAB</w:t>
      </w:r>
    </w:p>
    <w:p>
      <w:pPr>
        <w:widowControl w:val="1"/>
      </w:pPr>
      <w:r>
        <w:t>Run a twenty-four-hour power trace using field temperatures and realistic duty cycles. Reserve headroom for battery aging, cloudy days, and emergency operation.</w:t>
      </w:r>
    </w:p>
    <w:p>
      <w:pPr>
        <w:pStyle w:val="SmallSans"/>
        <w:ind w:firstLine="0"/>
        <w:widowControl w:val="1"/>
      </w:pPr>
      <w:r>
        <w:rPr>
          <w:b/>
        </w:rPr>
        <w:t xml:space="preserve">Research trail: </w:t>
      </w:r>
      <w:r>
        <w:t>R16,R24. See Research Notes and Sources.</w:t>
      </w:r>
    </w:p>
    <w:p>
      <w:pPr>
        <w:widowControl w:val="1"/>
      </w:pPr>
      <w:r>
        <w:br w:type="page"/>
      </w:r>
    </w:p>
    <w:p>
      <w:pPr>
        <w:pStyle w:val="MissionNumber"/>
        <w:widowControl w:val="1"/>
      </w:pPr>
      <w:r>
        <w:t>MISSION 05  /  LAWS OF THE EDGE</w:t>
      </w:r>
    </w:p>
    <w:p>
      <w:pPr>
        <w:pStyle w:val="MissionTitle"/>
        <w:widowControl w:val="1"/>
      </w:pPr>
      <w:r>
        <w:t>Graceful Degradation Is a Product Feature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resilient system loses optional capability before it loses essential capability. It may stop generating rich explanations, reduce sensor rates, disable noncritical translation, or delay bulk synchronization while preserving alarms and core decision support.</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Create explicit degraded modes for network, power, storage, sensor, and model failures. Each mode should have an operator-visible state, bounded authority, deterministic fallback, and a recovery procedure.</w:t>
      </w:r>
    </w:p>
    <w:p>
      <w:pPr>
        <w:keepNext/>
        <w:spacing w:before="100" w:after="40"/>
        <w:ind w:firstLine="0"/>
        <w:jc w:val="center"/>
        <w:widowControl w:val="1"/>
      </w:pPr>
      <w:r>
        <w:drawing>
          <wp:inline xmlns:a="http://schemas.openxmlformats.org/drawingml/2006/main" xmlns:pic="http://schemas.openxmlformats.org/drawingml/2006/picture">
            <wp:extent cx="5074920" cy="2797825"/>
            <wp:docPr id="7" name="Picture 7" title="Figure 6" descr="Optional cloud capability should collapse faster than essential local capability."/>
            <wp:cNvGraphicFramePr>
              <a:graphicFrameLocks noChangeAspect="1"/>
            </wp:cNvGraphicFramePr>
            <a:graphic>
              <a:graphicData uri="http://schemas.openxmlformats.org/drawingml/2006/picture">
                <pic:pic>
                  <pic:nvPicPr>
                    <pic:cNvPr id="0" name="fig_degrade.png"/>
                    <pic:cNvPicPr/>
                  </pic:nvPicPr>
                  <pic:blipFill>
                    <a:blip r:embed="rId19"/>
                    <a:stretch>
                      <a:fillRect/>
                    </a:stretch>
                  </pic:blipFill>
                  <pic:spPr>
                    <a:xfrm>
                      <a:off x="0" y="0"/>
                      <a:ext cx="5074920" cy="2797825"/>
                    </a:xfrm>
                    <a:prstGeom prst="rect"/>
                  </pic:spPr>
                </pic:pic>
              </a:graphicData>
            </a:graphic>
          </wp:inline>
        </w:drawing>
      </w:r>
    </w:p>
    <w:p>
      <w:pPr>
        <w:pStyle w:val="Caption"/>
        <w:keepLines/>
        <w:jc w:val="center"/>
        <w:widowControl w:val="1"/>
      </w:pPr>
      <w:r>
        <w:t>FIELD PLATE 06 — Optional cloud capability should collapse faster than essential local capability.</w:t>
      </w:r>
    </w:p>
    <w:p>
      <w:pPr>
        <w:pStyle w:val="Heading2"/>
        <w:pageBreakBefore/>
        <w:widowControl w:val="1"/>
      </w:pPr>
      <w:r>
        <w:t>THE FAILURE DRILL</w:t>
      </w:r>
    </w:p>
    <w:p>
      <w:pPr>
        <w:widowControl w:val="1"/>
      </w:pPr>
      <w:r>
        <w:t>Silent degradation is worse than visible failure. A camera may fog, a model may run on lower resolution, or an index may become stale while the interface continues to look normal. Health telemetry must travel with every output.</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Power and thermal budget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Connectivity service ladder</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Model cascade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knowledge bundle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Human authority matrix</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G = weighted essential functions preserved / total essential functions</w:t>
            </w:r>
          </w:p>
        </w:tc>
      </w:tr>
    </w:tbl>
    <w:p>
      <w:pPr>
        <w:pStyle w:val="Heading2"/>
        <w:widowControl w:val="1"/>
      </w:pPr>
      <w:r>
        <w:t>BUILD LAB</w:t>
      </w:r>
    </w:p>
    <w:p>
      <w:pPr>
        <w:widowControl w:val="1"/>
      </w:pPr>
      <w:r>
        <w:t>Build a failure injection harness. Remove one dependency every ten minutes and verify that the system enters the documented mode rather than inventing a new one.</w:t>
      </w:r>
    </w:p>
    <w:p>
      <w:pPr>
        <w:pStyle w:val="SmallSans"/>
        <w:ind w:firstLine="0"/>
        <w:widowControl w:val="1"/>
      </w:pPr>
      <w:r>
        <w:rPr>
          <w:b/>
        </w:rPr>
        <w:t xml:space="preserve">Research trail: </w:t>
      </w:r>
      <w:r>
        <w:t>R7,R25. See Research Notes and Sources.</w:t>
      </w:r>
    </w:p>
    <w:p>
      <w:pPr>
        <w:widowControl w:val="1"/>
      </w:pPr>
      <w:r>
        <w:br w:type="page"/>
      </w:r>
    </w:p>
    <w:p>
      <w:pPr>
        <w:pStyle w:val="MissionNumber"/>
        <w:widowControl w:val="1"/>
      </w:pPr>
      <w:r>
        <w:t>MISSION 06  /  LAWS OF THE EDGE</w:t>
      </w:r>
    </w:p>
    <w:p>
      <w:pPr>
        <w:pStyle w:val="MissionTitle"/>
        <w:widowControl w:val="1"/>
      </w:pPr>
      <w:r>
        <w:t>The Human Override Must Work in the Rain</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Human oversight is meaningful only if the operator can understand, interrupt, and recover the system under real conditions: gloves, glare, noise, fatigue, language barriers, motion, stress, and scarce time.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Design the interface around mission decisions, not model internals. Show the recommendation, evidence, uncertainty, missing inputs, authority level, and next safe action. Provide physical or highly reliable controls for critical stop and reset functions.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8" name="Picture 8" title="Figure 7" descr="The authority envelope separates automation, recommendation, escalation, and prohibition."/>
            <wp:cNvGraphicFramePr>
              <a:graphicFrameLocks noChangeAspect="1"/>
            </wp:cNvGraphicFramePr>
            <a:graphic>
              <a:graphicData uri="http://schemas.openxmlformats.org/drawingml/2006/picture">
                <pic:pic>
                  <pic:nvPicPr>
                    <pic:cNvPr id="0" name="fig_human.png"/>
                    <pic:cNvPicPr/>
                  </pic:nvPicPr>
                  <pic:blipFill>
                    <a:blip r:embed="rId16"/>
                    <a:stretch>
                      <a:fillRect/>
                    </a:stretch>
                  </pic:blipFill>
                  <pic:spPr>
                    <a:xfrm>
                      <a:off x="0" y="0"/>
                      <a:ext cx="5074920" cy="3075200"/>
                    </a:xfrm>
                    <a:prstGeom prst="rect"/>
                  </pic:spPr>
                </pic:pic>
              </a:graphicData>
            </a:graphic>
          </wp:inline>
        </w:drawing>
      </w:r>
    </w:p>
    <w:p>
      <w:pPr>
        <w:pStyle w:val="Caption"/>
        <w:keepLines/>
        <w:jc w:val="center"/>
        <w:widowControl w:val="1"/>
      </w:pPr>
      <w:r>
        <w:t>FIELD PLATE 07 — The authority envelope separates automation, recommendation, escalation, and prohibition.</w:t>
      </w:r>
    </w:p>
    <w:p>
      <w:pPr>
        <w:pStyle w:val="Heading2"/>
        <w:pageBreakBefore/>
        <w:widowControl w:val="1"/>
      </w:pPr>
      <w:r>
        <w:t>THE FAILURE DRILL</w:t>
      </w:r>
    </w:p>
    <w:p>
      <w:pPr>
        <w:widowControl w:val="1"/>
      </w:pPr>
      <w:r>
        <w:t>A beautiful dashboard can fail when the operator cannot read it in sunlight, cannot authenticate without connectivity, or cannot tell whether an alert is new. Training and drills must include system refusal, contradiction, and manual continuation.</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Power and thermal budget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Connectivity service ladder</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Model cascade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knowledge bundle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Human authority matrix</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H = successful safe overrides / attempted overrides</w:t>
            </w:r>
          </w:p>
        </w:tc>
      </w:tr>
    </w:tbl>
    <w:p>
      <w:pPr>
        <w:pStyle w:val="Heading2"/>
        <w:widowControl w:val="1"/>
      </w:pPr>
      <w:r>
        <w:t>BUILD LAB</w:t>
      </w:r>
    </w:p>
    <w:p>
      <w:pPr>
        <w:widowControl w:val="1"/>
      </w:pPr>
      <w:r>
        <w:t>Conduct a usability drill outdoors or in a noisy room with the network disabled. Ask a new operator to identify the system state, reject a recommendation, and export the audit record.</w:t>
      </w:r>
    </w:p>
    <w:p>
      <w:pPr>
        <w:pStyle w:val="SmallSans"/>
        <w:ind w:firstLine="0"/>
        <w:widowControl w:val="1"/>
      </w:pPr>
      <w:r>
        <w:rPr>
          <w:b/>
        </w:rPr>
        <w:t xml:space="preserve">Research trail: </w:t>
      </w:r>
      <w:r>
        <w:t>R1,R25.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0"/>
      </w:tblGrid>
      <w:tr>
        <w:tc>
          <w:tcPr>
            <w:tcW w:type="dxa" w:w="8064"/>
            <w:shd w:fill="081522"/>
            <w:tcMar>
              <w:top w:w="700" w:type="dxa"/>
              <w:start w:w="260" w:type="dxa"/>
              <w:bottom w:w="700" w:type="dxa"/>
              <w:end w:w="260" w:type="dxa"/>
            </w:tcMar>
          </w:tcPr>
          <w:p>
            <w:pPr>
              <w:ind w:firstLine="0"/>
              <w:jc w:val="center"/>
            </w:pPr>
            <w:r>
              <w:rPr>
                <w:rFonts w:ascii="Noto Sans" w:hAnsi="Noto Sans"/>
                <w:b/>
                <w:color w:val="63BE8B"/>
                <w:sz w:val="20"/>
              </w:rPr>
              <w:t>EXPEDITION II</w:t>
            </w:r>
          </w:p>
          <w:p>
            <w:pPr>
              <w:ind w:firstLine="0"/>
              <w:jc w:val="center"/>
            </w:pPr>
            <w:r>
              <w:rPr>
                <w:rFonts w:ascii="Noto Serif" w:hAnsi="Noto Serif"/>
                <w:b/>
                <w:color w:val="FFFFFF"/>
                <w:sz w:val="54"/>
              </w:rPr>
              <w:t>THE RURAL CLINIC</w:t>
            </w:r>
          </w:p>
          <w:p>
            <w:pPr>
              <w:ind w:firstLine="0"/>
              <w:jc w:val="center"/>
            </w:pPr>
            <w:r>
              <w:rPr>
                <w:rFonts w:ascii="Noto Sans" w:hAnsi="Noto Sans"/>
                <w:color w:val="B8CAD2"/>
                <w:sz w:val="18"/>
              </w:rPr>
              <w:t>Decision support that augments health workers while preserving clinical authority, privacy, and referral pathways.</w:t>
            </w:r>
          </w:p>
        </w:tc>
      </w:tr>
    </w:tbl>
    <w:p>
      <w:pPr>
        <w:widowControl w:val="1"/>
      </w:pPr>
      <w:r>
        <w:br w:type="page"/>
      </w:r>
    </w:p>
    <w:p>
      <w:pPr>
        <w:pStyle w:val="MissionNumber"/>
        <w:widowControl w:val="1"/>
      </w:pPr>
      <w:r>
        <w:t>MISSION 07  /  THE RURAL CLINIC</w:t>
      </w:r>
    </w:p>
    <w:p>
      <w:pPr>
        <w:pStyle w:val="MissionTitle"/>
        <w:widowControl w:val="1"/>
      </w:pPr>
      <w:r>
        <w:t>Triage on a Solar Tablet</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community health worker opens a rugged tablet after a storm has isolated the clinic. The device contains current decision logic, local patient summaries, referral criteria, and language support. It does not diagnose independently; it organizes observations and makes escalation requirements difficult to miss.</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Represent clinical guidance as software-neutral workflows and decision logic rather than hidden prompts. Keep required data elements, contraindications, red flags, and referral actions inspectable. The local model can translate, summarize, and explain, while deterministic logic protects critical pathways.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9" name="Picture 9" title="Figure 8" descr="A clinic node combines structured decision logic, local models, encrypted records, and delayed referral channels."/>
            <wp:cNvGraphicFramePr>
              <a:graphicFrameLocks noChangeAspect="1"/>
            </wp:cNvGraphicFramePr>
            <a:graphic>
              <a:graphicData uri="http://schemas.openxmlformats.org/drawingml/2006/picture">
                <pic:pic>
                  <pic:nvPicPr>
                    <pic:cNvPr id="0" name="fig_clinic.png"/>
                    <pic:cNvPicPr/>
                  </pic:nvPicPr>
                  <pic:blipFill>
                    <a:blip r:embed="rId20"/>
                    <a:stretch>
                      <a:fillRect/>
                    </a:stretch>
                  </pic:blipFill>
                  <pic:spPr>
                    <a:xfrm>
                      <a:off x="0" y="0"/>
                      <a:ext cx="5074920" cy="3075200"/>
                    </a:xfrm>
                    <a:prstGeom prst="rect"/>
                  </pic:spPr>
                </pic:pic>
              </a:graphicData>
            </a:graphic>
          </wp:inline>
        </w:drawing>
      </w:r>
    </w:p>
    <w:p>
      <w:pPr>
        <w:pStyle w:val="Caption"/>
        <w:keepLines/>
        <w:jc w:val="center"/>
        <w:widowControl w:val="1"/>
      </w:pPr>
      <w:r>
        <w:t>FIELD PLATE 08 — A clinic node combines structured decision logic, local models, encrypted records, and delayed referral channels.</w:t>
      </w:r>
    </w:p>
    <w:p>
      <w:pPr>
        <w:pStyle w:val="Heading2"/>
        <w:pageBreakBefore/>
        <w:widowControl w:val="1"/>
      </w:pPr>
      <w:r>
        <w:t>THE FAILURE DRILL</w:t>
      </w:r>
    </w:p>
    <w:p>
      <w:pPr>
        <w:widowControl w:val="1"/>
      </w:pPr>
      <w:r>
        <w:t>A generative interface can sound clinically complete while omitting a single dangerous condition. The system must show what it asked, what remains unknown, which guideline version it used, and when the case exceeds local authority.</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Rugged phone or tablet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Encrypted local record</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Decision-logic package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Compact language / vision models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Referral and audit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T = red flags captured × referral completion / false reassurance</w:t>
            </w:r>
          </w:p>
        </w:tc>
      </w:tr>
    </w:tbl>
    <w:p>
      <w:pPr>
        <w:pStyle w:val="Heading2"/>
        <w:widowControl w:val="1"/>
      </w:pPr>
      <w:r>
        <w:t>BUILD LAB</w:t>
      </w:r>
    </w:p>
    <w:p>
      <w:pPr>
        <w:widowControl w:val="1"/>
      </w:pPr>
      <w:r>
        <w:t>Implement one narrowly scoped workflow from a trusted guideline. Test missing data, contradictory answers, pediatric and adult boundaries, and a completely offline referral record.</w:t>
      </w:r>
    </w:p>
    <w:p>
      <w:pPr>
        <w:pStyle w:val="SmallSans"/>
        <w:ind w:firstLine="0"/>
        <w:widowControl w:val="1"/>
      </w:pPr>
      <w:r>
        <w:rPr>
          <w:b/>
        </w:rPr>
        <w:t xml:space="preserve">Research trail: </w:t>
      </w:r>
      <w:r>
        <w:t>R1,R2,R3,R4. See Research Notes and Sources.</w:t>
      </w:r>
    </w:p>
    <w:p>
      <w:pPr>
        <w:widowControl w:val="1"/>
      </w:pPr>
      <w:r>
        <w:br w:type="page"/>
      </w:r>
    </w:p>
    <w:p>
      <w:pPr>
        <w:pStyle w:val="MissionNumber"/>
        <w:widowControl w:val="1"/>
      </w:pPr>
      <w:r>
        <w:t>MISSION 08  /  THE RURAL CLINIC</w:t>
      </w:r>
    </w:p>
    <w:p>
      <w:pPr>
        <w:pStyle w:val="MissionTitle"/>
        <w:widowControl w:val="1"/>
      </w:pPr>
      <w:r>
        <w:t>Imaging Without a Radiologist On Site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Portable ultrasound, digital microscopy, retinal cameras, and low-cost radiography can produce data far from specialists. Edge models can assist acquisition quality, flag urgent patterns, and package cases for delayed expert review.</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Separate acquisition guidance, quality control, candidate finding, and clinical interpretation. Use local models to verify that the image is usable and highlight regions of concern; preserve the original data and provide a path for qualified review.</w:t>
      </w:r>
    </w:p>
    <w:p>
      <w:pPr>
        <w:pStyle w:val="Heading2"/>
        <w:pageBreakBefore/>
        <w:widowControl w:val="1"/>
      </w:pPr>
      <w:r>
        <w:t>THE FAILURE DRILL</w:t>
      </w:r>
    </w:p>
    <w:p>
      <w:pPr>
        <w:widowControl w:val="1"/>
      </w:pPr>
      <w:r>
        <w:t>The danger is automation bias. A low-quality image may receive a confident label, or a rare condition may fall outside the model distribution. The system must know its supported devices, populations, and acquisition protocols.</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Rugged phone or tablet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Encrypted local record</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Decision-logic package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Compact language / vision models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Referral and audit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Q_i = usable acquisitions gained - unsafe false confidence</w:t>
            </w:r>
          </w:p>
        </w:tc>
      </w:tr>
    </w:tbl>
    <w:p>
      <w:pPr>
        <w:pStyle w:val="Heading2"/>
        <w:widowControl w:val="1"/>
      </w:pPr>
      <w:r>
        <w:t>BUILD LAB</w:t>
      </w:r>
    </w:p>
    <w:p>
      <w:pPr>
        <w:widowControl w:val="1"/>
      </w:pPr>
      <w:r>
        <w:t>Create an out-of-distribution test set using poor lighting, motion, device variation, and unfamiliar anatomy. Measure refusal quality, not only classification accuracy.</w:t>
      </w:r>
    </w:p>
    <w:p>
      <w:pPr>
        <w:pStyle w:val="SmallSans"/>
        <w:ind w:firstLine="0"/>
        <w:widowControl w:val="1"/>
      </w:pPr>
      <w:r>
        <w:rPr>
          <w:b/>
        </w:rPr>
        <w:t xml:space="preserve">Research trail: </w:t>
      </w:r>
      <w:r>
        <w:t>R1,R17,R18. See Research Notes and Sources.</w:t>
      </w:r>
    </w:p>
    <w:p>
      <w:pPr>
        <w:widowControl w:val="1"/>
      </w:pPr>
      <w:r>
        <w:br w:type="page"/>
      </w:r>
    </w:p>
    <w:p>
      <w:pPr>
        <w:pStyle w:val="MissionNumber"/>
        <w:widowControl w:val="1"/>
      </w:pPr>
      <w:r>
        <w:t>MISSION 09  /  THE RURAL CLINIC</w:t>
      </w:r>
    </w:p>
    <w:p>
      <w:pPr>
        <w:pStyle w:val="MissionTitle"/>
        <w:widowControl w:val="1"/>
      </w:pPr>
      <w:r>
        <w:t>Maternal and Child Health Under Interrupted Connectivity</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Maternal and child health workflows combine schedules, longitudinal records, danger signs, immunization logic, growth measurements, and referrals. Their value depends on continuity across visits even when a national system is unreachable.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Store a minimal encrypted longitudinal record locally with explicit consent and role-based access. Use structured decision logic for schedules and danger signs, then synchronize signed deltas when a trusted connection returns.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10" name="Picture 10" title="Figure 9" descr="Delay-tolerant synchronization moves high-value deltas before bulk artifacts and preserves conflicts."/>
            <wp:cNvGraphicFramePr>
              <a:graphicFrameLocks noChangeAspect="1"/>
            </wp:cNvGraphicFramePr>
            <a:graphic>
              <a:graphicData uri="http://schemas.openxmlformats.org/drawingml/2006/picture">
                <pic:pic>
                  <pic:nvPicPr>
                    <pic:cNvPr id="0" name="fig_sync.png"/>
                    <pic:cNvPicPr/>
                  </pic:nvPicPr>
                  <pic:blipFill>
                    <a:blip r:embed="rId21"/>
                    <a:stretch>
                      <a:fillRect/>
                    </a:stretch>
                  </pic:blipFill>
                  <pic:spPr>
                    <a:xfrm>
                      <a:off x="0" y="0"/>
                      <a:ext cx="5074920" cy="3075200"/>
                    </a:xfrm>
                    <a:prstGeom prst="rect"/>
                  </pic:spPr>
                </pic:pic>
              </a:graphicData>
            </a:graphic>
          </wp:inline>
        </w:drawing>
      </w:r>
    </w:p>
    <w:p>
      <w:pPr>
        <w:pStyle w:val="Caption"/>
        <w:keepLines/>
        <w:jc w:val="center"/>
        <w:widowControl w:val="1"/>
      </w:pPr>
      <w:r>
        <w:t>FIELD PLATE 09 — Delay-tolerant synchronization moves high-value deltas before bulk artifacts and preserves conflicts.</w:t>
      </w:r>
    </w:p>
    <w:p>
      <w:pPr>
        <w:pStyle w:val="Heading2"/>
        <w:pageBreakBefore/>
        <w:widowControl w:val="1"/>
      </w:pPr>
      <w:r>
        <w:t>THE FAILURE DRILL</w:t>
      </w:r>
    </w:p>
    <w:p>
      <w:pPr>
        <w:widowControl w:val="1"/>
      </w:pPr>
      <w:r>
        <w:t>Duplicate identities, clock errors, and conflicting records can become clinical risks. Reconciliation must preserve both versions, show provenance, and ask a qualified person to resolve material conflicts.</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Rugged phone or tablet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Encrypted local record</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Decision-logic package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Compact language / vision models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Referral and audit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L = clinically relevant history available at point of care / required history</w:t>
            </w:r>
          </w:p>
        </w:tc>
      </w:tr>
    </w:tbl>
    <w:p>
      <w:pPr>
        <w:pStyle w:val="Heading2"/>
        <w:widowControl w:val="1"/>
      </w:pPr>
      <w:r>
        <w:t>BUILD LAB</w:t>
      </w:r>
    </w:p>
    <w:p>
      <w:pPr>
        <w:widowControl w:val="1"/>
      </w:pPr>
      <w:r>
        <w:t>Simulate two clinics updating the same patient during a network split. Verify that neither visit disappears and that the merged timeline remains understandable.</w:t>
      </w:r>
    </w:p>
    <w:p>
      <w:pPr>
        <w:pStyle w:val="SmallSans"/>
        <w:ind w:firstLine="0"/>
        <w:widowControl w:val="1"/>
      </w:pPr>
      <w:r>
        <w:rPr>
          <w:b/>
        </w:rPr>
        <w:t xml:space="preserve">Research trail: </w:t>
      </w:r>
      <w:r>
        <w:t>R2,R3,R6. See Research Notes and Sources.</w:t>
      </w:r>
    </w:p>
    <w:p>
      <w:pPr>
        <w:widowControl w:val="1"/>
      </w:pPr>
      <w:r>
        <w:br w:type="page"/>
      </w:r>
    </w:p>
    <w:p>
      <w:pPr>
        <w:pStyle w:val="MissionNumber"/>
        <w:widowControl w:val="1"/>
      </w:pPr>
      <w:r>
        <w:t>MISSION 10  /  THE RURAL CLINIC</w:t>
      </w:r>
    </w:p>
    <w:p>
      <w:pPr>
        <w:pStyle w:val="MissionTitle"/>
        <w:widowControl w:val="1"/>
      </w:pPr>
      <w:r>
        <w:t>Local-Language Clinical Interfaces</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model that speaks the dominant national language may still fail the community. Clinical communication includes dialect, code-switching, culturally specific symptom descriptions, low literacy, and the need for private audio interaction.</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Use local speech, text, and pictorial interfaces that can operate offline. Build terminology packs with local clinicians and community representatives. Preserve the original utterance alongside translations so uncertain interpretations can be reviewed.</w:t>
      </w:r>
    </w:p>
    <w:p>
      <w:pPr>
        <w:pStyle w:val="Heading2"/>
        <w:pageBreakBefore/>
        <w:widowControl w:val="1"/>
      </w:pPr>
      <w:r>
        <w:t>THE FAILURE DRILL</w:t>
      </w:r>
    </w:p>
    <w:p>
      <w:pPr>
        <w:widowControl w:val="1"/>
      </w:pPr>
      <w:r>
        <w:t>Translation errors can change severity, timing, or anatomy. The model should surface uncertain terms, avoid pretending that a culturally specific expression has a single clinical equivalent, and allow the health worker to confirm meaning.</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Rugged phone or tablet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Encrypted local record</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Decision-logic package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Compact language / vision models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Referral and audit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M = critical meaning preserved / total critical meaning units</w:t>
            </w:r>
          </w:p>
        </w:tc>
      </w:tr>
    </w:tbl>
    <w:p>
      <w:pPr>
        <w:pStyle w:val="Heading2"/>
        <w:widowControl w:val="1"/>
      </w:pPr>
      <w:r>
        <w:t>BUILD LAB</w:t>
      </w:r>
    </w:p>
    <w:p>
      <w:pPr>
        <w:widowControl w:val="1"/>
      </w:pPr>
      <w:r>
        <w:t>Record a consented set of realistic phrases in noisy environments. Evaluate clinical meaning preservation, not only word error rate.</w:t>
      </w:r>
    </w:p>
    <w:p>
      <w:pPr>
        <w:pStyle w:val="SmallSans"/>
        <w:ind w:firstLine="0"/>
        <w:widowControl w:val="1"/>
      </w:pPr>
      <w:r>
        <w:rPr>
          <w:b/>
        </w:rPr>
        <w:t xml:space="preserve">Research trail: </w:t>
      </w:r>
      <w:r>
        <w:t>R22,R23,R30. See Research Notes and Sources.</w:t>
      </w:r>
    </w:p>
    <w:p>
      <w:pPr>
        <w:widowControl w:val="1"/>
      </w:pPr>
      <w:r>
        <w:br w:type="page"/>
      </w:r>
    </w:p>
    <w:p>
      <w:pPr>
        <w:pStyle w:val="MissionNumber"/>
        <w:widowControl w:val="1"/>
      </w:pPr>
      <w:r>
        <w:t>MISSION 11  /  THE RURAL CLINIC</w:t>
      </w:r>
    </w:p>
    <w:p>
      <w:pPr>
        <w:pStyle w:val="MissionTitle"/>
        <w:widowControl w:val="1"/>
      </w:pPr>
      <w:r>
        <w:t>Federated Learning Across Small Clinics</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Small clinics often see too little local data to train robust models, yet centralizing sensitive health records may be unacceptable or impossible. Federated learning offers a way to exchange updates while keeping records local.</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Use a coordinator that distributes signed model versions, accepts bounded updates, and records device, data, and evaluation metadata. Aggregate only after screening for poisoning, extreme drift, and demographic imbalance.</w:t>
      </w:r>
    </w:p>
    <w:p>
      <w:pPr>
        <w:pStyle w:val="Heading2"/>
        <w:pageBreakBefore/>
        <w:widowControl w:val="1"/>
      </w:pPr>
      <w:r>
        <w:t>THE FAILURE DRILL</w:t>
      </w:r>
    </w:p>
    <w:p>
      <w:pPr>
        <w:widowControl w:val="1"/>
      </w:pPr>
      <w:r>
        <w:t>Federated learning does not automatically provide privacy, fairness, or security. Gradients can leak information; unreliable devices can drop out; dominant sites can shape the model; and weak labels can spread error.</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Rugged phone or tablet</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Encrypted local record</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Decision-logic package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Compact language / vision models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Referral and audit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F = generalization gain - privacy leakage - poisoning exposure</w:t>
            </w:r>
          </w:p>
        </w:tc>
      </w:tr>
    </w:tbl>
    <w:p>
      <w:pPr>
        <w:pStyle w:val="Heading2"/>
        <w:widowControl w:val="1"/>
      </w:pPr>
      <w:r>
        <w:t>BUILD LAB</w:t>
      </w:r>
    </w:p>
    <w:p>
      <w:pPr>
        <w:widowControl w:val="1"/>
      </w:pPr>
      <w:r>
        <w:t>Run a federation with heterogeneous devices and deliberately skewed sites. Compare local, federated, and centrally trained models, then test secure aggregation and site-level rollback.</w:t>
      </w:r>
    </w:p>
    <w:p>
      <w:pPr>
        <w:pStyle w:val="SmallSans"/>
        <w:ind w:firstLine="0"/>
        <w:widowControl w:val="1"/>
      </w:pPr>
      <w:r>
        <w:rPr>
          <w:b/>
        </w:rPr>
        <w:t xml:space="preserve">Research trail: </w:t>
      </w:r>
      <w:r>
        <w:t>R17,R18,R25.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0"/>
      </w:tblGrid>
      <w:tr>
        <w:tc>
          <w:tcPr>
            <w:tcW w:type="dxa" w:w="8064"/>
            <w:shd w:fill="081522"/>
            <w:tcMar>
              <w:top w:w="700" w:type="dxa"/>
              <w:start w:w="260" w:type="dxa"/>
              <w:bottom w:w="700" w:type="dxa"/>
              <w:end w:w="260" w:type="dxa"/>
            </w:tcMar>
          </w:tcPr>
          <w:p>
            <w:pPr>
              <w:ind w:firstLine="0"/>
              <w:jc w:val="center"/>
            </w:pPr>
            <w:r>
              <w:rPr>
                <w:rFonts w:ascii="Noto Sans" w:hAnsi="Noto Sans"/>
                <w:b/>
                <w:color w:val="F09A4A"/>
                <w:sz w:val="20"/>
              </w:rPr>
              <w:t>EXPEDITION III</w:t>
            </w:r>
          </w:p>
          <w:p>
            <w:pPr>
              <w:ind w:firstLine="0"/>
              <w:jc w:val="center"/>
            </w:pPr>
            <w:r>
              <w:rPr>
                <w:rFonts w:ascii="Noto Serif" w:hAnsi="Noto Serif"/>
                <w:b/>
                <w:color w:val="FFFFFF"/>
                <w:sz w:val="54"/>
              </w:rPr>
              <w:t>THE OPEN OCEAN</w:t>
            </w:r>
          </w:p>
          <w:p>
            <w:pPr>
              <w:ind w:firstLine="0"/>
              <w:jc w:val="center"/>
            </w:pPr>
            <w:r>
              <w:rPr>
                <w:rFonts w:ascii="Noto Sans" w:hAnsi="Noto Sans"/>
                <w:color w:val="B8CAD2"/>
                <w:sz w:val="18"/>
              </w:rPr>
              <w:t>Ships as moving edge data centers operating under latency, weather, cyber risk, and formal maritime responsibility.</w:t>
            </w:r>
          </w:p>
        </w:tc>
      </w:tr>
    </w:tbl>
    <w:p>
      <w:pPr>
        <w:widowControl w:val="1"/>
      </w:pPr>
      <w:r>
        <w:br w:type="page"/>
      </w:r>
    </w:p>
    <w:p>
      <w:pPr>
        <w:pStyle w:val="MissionNumber"/>
        <w:widowControl w:val="1"/>
      </w:pPr>
      <w:r>
        <w:t>MISSION 12  /  THE OPEN OCEAN</w:t>
      </w:r>
    </w:p>
    <w:p>
      <w:pPr>
        <w:pStyle w:val="MissionTitle"/>
        <w:widowControl w:val="1"/>
      </w:pPr>
      <w:r>
        <w:t>The Ship as a Moving Data Center</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vessel carries navigation systems, machinery telemetry, cargo data, crew records, cameras, weather feeds, and safety procedures through regions where bandwidth, latency, and cyber conditions change by the hour.</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Partition shipboard networks by mission and consequence. Keep navigation, propulsion, safety, and essential documentation available locally. Use a ship data backbone with signed time, immutable event logs, and controlled bridges to remote operations and enterprise systems.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11" name="Picture 11" title="Figure 10" descr="Shipboard intelligence remains partitioned, locally complete, and auditable during link loss."/>
            <wp:cNvGraphicFramePr>
              <a:graphicFrameLocks noChangeAspect="1"/>
            </wp:cNvGraphicFramePr>
            <a:graphic>
              <a:graphicData uri="http://schemas.openxmlformats.org/drawingml/2006/picture">
                <pic:pic>
                  <pic:nvPicPr>
                    <pic:cNvPr id="0" name="fig_ship.png"/>
                    <pic:cNvPicPr/>
                  </pic:nvPicPr>
                  <pic:blipFill>
                    <a:blip r:embed="rId22"/>
                    <a:stretch>
                      <a:fillRect/>
                    </a:stretch>
                  </pic:blipFill>
                  <pic:spPr>
                    <a:xfrm>
                      <a:off x="0" y="0"/>
                      <a:ext cx="5074920" cy="3075200"/>
                    </a:xfrm>
                    <a:prstGeom prst="rect"/>
                  </pic:spPr>
                </pic:pic>
              </a:graphicData>
            </a:graphic>
          </wp:inline>
        </w:drawing>
      </w:r>
    </w:p>
    <w:p>
      <w:pPr>
        <w:pStyle w:val="Caption"/>
        <w:keepLines/>
        <w:jc w:val="center"/>
        <w:widowControl w:val="1"/>
      </w:pPr>
      <w:r>
        <w:t>FIELD PLATE 10 — Shipboard intelligence remains partitioned, locally complete, and auditable during link loss.</w:t>
      </w:r>
    </w:p>
    <w:p>
      <w:pPr>
        <w:pStyle w:val="Heading2"/>
        <w:pageBreakBefore/>
        <w:widowControl w:val="1"/>
      </w:pPr>
      <w:r>
        <w:t>THE FAILURE DRILL</w:t>
      </w:r>
    </w:p>
    <w:p>
      <w:pPr>
        <w:widowControl w:val="1"/>
      </w:pPr>
      <w:r>
        <w:t>A flat network lets a convenience service become a path into safety-critical systems. A remote dependency can also leave the crew without procedures or diagnostics during an outage.</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Partitioned ship node</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Bridge and machinery interfaces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voyage data</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manuals and models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Remote-operations gateway</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S = safety-critical functions locally complete / total safety-critical functions</w:t>
            </w:r>
          </w:p>
        </w:tc>
      </w:tr>
    </w:tbl>
    <w:p>
      <w:pPr>
        <w:pStyle w:val="Heading2"/>
        <w:widowControl w:val="1"/>
      </w:pPr>
      <w:r>
        <w:t>BUILD LAB</w:t>
      </w:r>
    </w:p>
    <w:p>
      <w:pPr>
        <w:widowControl w:val="1"/>
      </w:pPr>
      <w:r>
        <w:t>Draw the vessel as trust zones. Remove the satellite link and verify that bridge, engine-room, medical, and emergency workflows continue independently.</w:t>
      </w:r>
    </w:p>
    <w:p>
      <w:pPr>
        <w:pStyle w:val="SmallSans"/>
        <w:ind w:firstLine="0"/>
        <w:widowControl w:val="1"/>
      </w:pPr>
      <w:r>
        <w:rPr>
          <w:b/>
        </w:rPr>
        <w:t xml:space="preserve">Research trail: </w:t>
      </w:r>
      <w:r>
        <w:t>R11,R12,R26. See Research Notes and Sources.</w:t>
      </w:r>
    </w:p>
    <w:p>
      <w:pPr>
        <w:widowControl w:val="1"/>
      </w:pPr>
      <w:r>
        <w:br w:type="page"/>
      </w:r>
    </w:p>
    <w:p>
      <w:pPr>
        <w:pStyle w:val="MissionNumber"/>
        <w:widowControl w:val="1"/>
      </w:pPr>
      <w:r>
        <w:t>MISSION 13  /  THE OPEN OCEAN</w:t>
      </w:r>
    </w:p>
    <w:p>
      <w:pPr>
        <w:pStyle w:val="MissionTitle"/>
        <w:widowControl w:val="1"/>
      </w:pPr>
      <w:r>
        <w:t>Navigation and Collision Intelligence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Local perception can combine radar, AIS, cameras, charts, weather, and vessel dynamics to detect developing collision risk. The system should improve watchkeeping without hiding uncertainty or replacing formal responsibility.</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Fuse independent sensors, track their health, and maintain a navigational operating envelope. Recommendations should include time to closest approach, assumptions, conflicting observations, and the maneuver options considered.</w:t>
      </w:r>
    </w:p>
    <w:p>
      <w:pPr>
        <w:pStyle w:val="Heading2"/>
        <w:pageBreakBefore/>
        <w:widowControl w:val="1"/>
      </w:pPr>
      <w:r>
        <w:t>THE FAILURE DRILL</w:t>
      </w:r>
    </w:p>
    <w:p>
      <w:pPr>
        <w:widowControl w:val="1"/>
      </w:pPr>
      <w:r>
        <w:t>Sensor spoofing, rain clutter, missing AIS, chart error, and unfamiliar traffic patterns can create false certainty. The model must degrade to conservative rules and alert the officer when its operating envelope is exceeded.</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Partitioned ship node</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Bridge and machinery interfaces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voyage data</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manuals and models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Remote-operations gateway</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R_nav = hazard detection value - maneuver authority risk</w:t>
            </w:r>
          </w:p>
        </w:tc>
      </w:tr>
    </w:tbl>
    <w:p>
      <w:pPr>
        <w:pStyle w:val="Heading2"/>
        <w:widowControl w:val="1"/>
      </w:pPr>
      <w:r>
        <w:t>BUILD LAB</w:t>
      </w:r>
    </w:p>
    <w:p>
      <w:pPr>
        <w:widowControl w:val="1"/>
      </w:pPr>
      <w:r>
        <w:t>Replay dense traffic, sensor dropout, spoofed messages, and adverse weather. Score how early the system recognizes its own uncertainty.</w:t>
      </w:r>
    </w:p>
    <w:p>
      <w:pPr>
        <w:pStyle w:val="SmallSans"/>
        <w:ind w:firstLine="0"/>
        <w:widowControl w:val="1"/>
      </w:pPr>
      <w:r>
        <w:rPr>
          <w:b/>
        </w:rPr>
        <w:t xml:space="preserve">Research trail: </w:t>
      </w:r>
      <w:r>
        <w:t>R11,R12. See Research Notes and Sources.</w:t>
      </w:r>
    </w:p>
    <w:p>
      <w:pPr>
        <w:widowControl w:val="1"/>
      </w:pPr>
      <w:r>
        <w:br w:type="page"/>
      </w:r>
    </w:p>
    <w:p>
      <w:pPr>
        <w:pStyle w:val="MissionNumber"/>
        <w:widowControl w:val="1"/>
      </w:pPr>
      <w:r>
        <w:t>MISSION 14  /  THE OPEN OCEAN</w:t>
      </w:r>
    </w:p>
    <w:p>
      <w:pPr>
        <w:pStyle w:val="MissionTitle"/>
        <w:widowControl w:val="1"/>
      </w:pPr>
      <w:r>
        <w:t>Predictive Maintenance Below Deck</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Machinery produces vibration, acoustic, thermal, pressure, and electrical signatures long before a failure becomes visible. Local anomaly detection can watch continuously without streaming raw data ashore.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Place TinyML near sensors for event detection, a field node for trend analysis, and a larger local model for explanation against manuals and maintenance history. Synchronize compact features and selected evidence rather than every waveform.</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12" name="Picture 12" title="Figure 11" descr="The model cascade uses the least expensive trustworthy component before invoking larger models."/>
            <wp:cNvGraphicFramePr>
              <a:graphicFrameLocks noChangeAspect="1"/>
            </wp:cNvGraphicFramePr>
            <a:graphic>
              <a:graphicData uri="http://schemas.openxmlformats.org/drawingml/2006/picture">
                <pic:pic>
                  <pic:nvPicPr>
                    <pic:cNvPr id="0" name="fig_cascade.png"/>
                    <pic:cNvPicPr/>
                  </pic:nvPicPr>
                  <pic:blipFill>
                    <a:blip r:embed="rId23"/>
                    <a:stretch>
                      <a:fillRect/>
                    </a:stretch>
                  </pic:blipFill>
                  <pic:spPr>
                    <a:xfrm>
                      <a:off x="0" y="0"/>
                      <a:ext cx="5074920" cy="3075200"/>
                    </a:xfrm>
                    <a:prstGeom prst="rect"/>
                  </pic:spPr>
                </pic:pic>
              </a:graphicData>
            </a:graphic>
          </wp:inline>
        </w:drawing>
      </w:r>
    </w:p>
    <w:p>
      <w:pPr>
        <w:pStyle w:val="Caption"/>
        <w:keepLines/>
        <w:jc w:val="center"/>
        <w:widowControl w:val="1"/>
      </w:pPr>
      <w:r>
        <w:t>FIELD PLATE 11 — The model cascade uses the least expensive trustworthy component before invoking larger models.</w:t>
      </w:r>
    </w:p>
    <w:p>
      <w:pPr>
        <w:pStyle w:val="Heading2"/>
        <w:pageBreakBefore/>
        <w:widowControl w:val="1"/>
      </w:pPr>
      <w:r>
        <w:t>THE FAILURE DRILL</w:t>
      </w:r>
    </w:p>
    <w:p>
      <w:pPr>
        <w:widowControl w:val="1"/>
      </w:pPr>
      <w:r>
        <w:t>Anomaly systems can drown crews in alerts or normalize slow degradation. Maintenance labels are sparse, operating regimes vary, and sensor replacement changes the signal.</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Repairable local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Wi-Fi / mesh access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language corpus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Public-service apps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Consent and governance ledger</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P_m = avoided downtime value / false alarm burden</w:t>
            </w:r>
          </w:p>
        </w:tc>
      </w:tr>
    </w:tbl>
    <w:p>
      <w:pPr>
        <w:pStyle w:val="Heading2"/>
        <w:widowControl w:val="1"/>
      </w:pPr>
      <w:r>
        <w:t>BUILD LAB</w:t>
      </w:r>
    </w:p>
    <w:p>
      <w:pPr>
        <w:widowControl w:val="1"/>
      </w:pPr>
      <w:r>
        <w:t>Create a baseline across load conditions, then inject sensor drift and component changes. Require every alert to include the evidence window and the nearest known operating regime.</w:t>
      </w:r>
    </w:p>
    <w:p>
      <w:pPr>
        <w:pStyle w:val="SmallSans"/>
        <w:ind w:firstLine="0"/>
        <w:widowControl w:val="1"/>
      </w:pPr>
      <w:r>
        <w:rPr>
          <w:b/>
        </w:rPr>
        <w:t xml:space="preserve">Research trail: </w:t>
      </w:r>
      <w:r>
        <w:t>R24,R26. See Research Notes and Sources.</w:t>
      </w:r>
    </w:p>
    <w:p>
      <w:pPr>
        <w:widowControl w:val="1"/>
      </w:pPr>
      <w:r>
        <w:br w:type="page"/>
      </w:r>
    </w:p>
    <w:p>
      <w:pPr>
        <w:pStyle w:val="MissionNumber"/>
        <w:widowControl w:val="1"/>
      </w:pPr>
      <w:r>
        <w:t>MISSION 15  /  THE OPEN OCEAN</w:t>
      </w:r>
    </w:p>
    <w:p>
      <w:pPr>
        <w:pStyle w:val="MissionTitle"/>
        <w:widowControl w:val="1"/>
      </w:pPr>
      <w:r>
        <w:t>Medical Support at Sea</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ship may be days from a clinic and temporarily unable to reach telemedicine services. Local tools can organize symptoms, retrieve procedures, translate guidance, and prepare a structured consultation for the next connection.</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Keep a curated medical knowledge pack, medication inventory, crew allergies, and emergency protocols locally. Restrict the model to support functions that match onboard training and always preserve escalation criteria.</w:t>
      </w:r>
    </w:p>
    <w:p>
      <w:pPr>
        <w:pStyle w:val="Heading2"/>
        <w:pageBreakBefore/>
        <w:widowControl w:val="1"/>
      </w:pPr>
      <w:r>
        <w:t>THE FAILURE DRILL</w:t>
      </w:r>
    </w:p>
    <w:p>
      <w:pPr>
        <w:widowControl w:val="1"/>
      </w:pPr>
      <w:r>
        <w:t>The system must not convert absence of a remote doctor into expanded autonomous practice. Knowledge packs can become stale, drug inventories can differ from assumptions, and privacy is difficult in close quarters.</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Partitioned ship node</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Bridge and machinery interfaces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voyage data</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manuals and models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Remote-operations gateway</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A_med = correct support steps completed - unauthorized clinical action</w:t>
            </w:r>
          </w:p>
        </w:tc>
      </w:tr>
    </w:tbl>
    <w:p>
      <w:pPr>
        <w:pStyle w:val="Heading2"/>
        <w:widowControl w:val="1"/>
      </w:pPr>
      <w:r>
        <w:t>BUILD LAB</w:t>
      </w:r>
    </w:p>
    <w:p>
      <w:pPr>
        <w:widowControl w:val="1"/>
      </w:pPr>
      <w:r>
        <w:t>Run a drill with no network, an injured crew member, and an unavailable item. Verify that the system finds the approved alternative procedure or clearly stops.</w:t>
      </w:r>
    </w:p>
    <w:p>
      <w:pPr>
        <w:pStyle w:val="SmallSans"/>
        <w:ind w:firstLine="0"/>
        <w:widowControl w:val="1"/>
      </w:pPr>
      <w:r>
        <w:rPr>
          <w:b/>
        </w:rPr>
        <w:t xml:space="preserve">Research trail: </w:t>
      </w:r>
      <w:r>
        <w:t>R1,R5,R11. See Research Notes and Sources.</w:t>
      </w:r>
    </w:p>
    <w:p>
      <w:pPr>
        <w:widowControl w:val="1"/>
      </w:pPr>
      <w:r>
        <w:br w:type="page"/>
      </w:r>
    </w:p>
    <w:p>
      <w:pPr>
        <w:pStyle w:val="MissionNumber"/>
        <w:widowControl w:val="1"/>
      </w:pPr>
      <w:r>
        <w:t>MISSION 16  /  THE OPEN OCEAN</w:t>
      </w:r>
    </w:p>
    <w:p>
      <w:pPr>
        <w:pStyle w:val="MissionTitle"/>
        <w:widowControl w:val="1"/>
      </w:pPr>
      <w:r>
        <w:t>Remote Operations and the MASS Safety Case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Autonomous and remotely operated ships require more than capable models. They require a documented description of modes, operating limits, connectivity, fallback, human roles, and evidence that safety is comparable to conventional operation.</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Build the AI system into a formal safety case. Trace hazards to controls, tests, operational design domains, remote-operations procedures, cyber protections, and the master’s retained responsibility.</w:t>
      </w:r>
    </w:p>
    <w:p>
      <w:pPr>
        <w:pStyle w:val="Heading2"/>
        <w:pageBreakBefore/>
        <w:widowControl w:val="1"/>
      </w:pPr>
      <w:r>
        <w:t>THE FAILURE DRILL</w:t>
      </w:r>
    </w:p>
    <w:p>
      <w:pPr>
        <w:widowControl w:val="1"/>
      </w:pPr>
      <w:r>
        <w:t>A remote operations center can become a hidden single point of failure. Link loss, ambiguous control transfer, operator workload, or conflicting commands must produce a safe and well-rehearsed state.</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Partitioned ship node</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Bridge and machinery interfaces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Signed voyage data</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manuals and models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Remote-operations gateway</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K = verified safety claims / total safety claims required</w:t>
            </w:r>
          </w:p>
        </w:tc>
      </w:tr>
    </w:tbl>
    <w:p>
      <w:pPr>
        <w:pStyle w:val="Heading2"/>
        <w:widowControl w:val="1"/>
      </w:pPr>
      <w:r>
        <w:t>BUILD LAB</w:t>
      </w:r>
    </w:p>
    <w:p>
      <w:pPr>
        <w:widowControl w:val="1"/>
      </w:pPr>
      <w:r>
        <w:t>Write a control-transfer protocol and test it during latency spikes, partial sensor loss, and simultaneous vessel events.</w:t>
      </w:r>
    </w:p>
    <w:p>
      <w:pPr>
        <w:pStyle w:val="SmallSans"/>
        <w:ind w:firstLine="0"/>
        <w:widowControl w:val="1"/>
      </w:pPr>
      <w:r>
        <w:rPr>
          <w:b/>
        </w:rPr>
        <w:t xml:space="preserve">Research trail: </w:t>
      </w:r>
      <w:r>
        <w:t>R11,R12,R25.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0"/>
      </w:tblGrid>
      <w:tr>
        <w:tc>
          <w:tcPr>
            <w:tcW w:type="dxa" w:w="8064"/>
            <w:shd w:fill="081522"/>
            <w:tcMar>
              <w:top w:w="700" w:type="dxa"/>
              <w:start w:w="260" w:type="dxa"/>
              <w:bottom w:w="700" w:type="dxa"/>
              <w:end w:w="260" w:type="dxa"/>
            </w:tcMar>
          </w:tcPr>
          <w:p>
            <w:pPr>
              <w:ind w:firstLine="0"/>
              <w:jc w:val="center"/>
            </w:pPr>
            <w:r>
              <w:rPr>
                <w:rFonts w:ascii="Noto Sans" w:hAnsi="Noto Sans"/>
                <w:b/>
                <w:color w:val="D65F5F"/>
                <w:sz w:val="20"/>
              </w:rPr>
              <w:t>EXPEDITION IV</w:t>
            </w:r>
          </w:p>
          <w:p>
            <w:pPr>
              <w:ind w:firstLine="0"/>
              <w:jc w:val="center"/>
            </w:pPr>
            <w:r>
              <w:rPr>
                <w:rFonts w:ascii="Noto Serif" w:hAnsi="Noto Serif"/>
                <w:b/>
                <w:color w:val="FFFFFF"/>
                <w:sz w:val="54"/>
              </w:rPr>
              <w:t>THE DISASTER ZONE</w:t>
            </w:r>
          </w:p>
          <w:p>
            <w:pPr>
              <w:ind w:firstLine="0"/>
              <w:jc w:val="center"/>
            </w:pPr>
            <w:r>
              <w:rPr>
                <w:rFonts w:ascii="Noto Sans" w:hAnsi="Noto Sans"/>
                <w:color w:val="B8CAD2"/>
                <w:sz w:val="18"/>
              </w:rPr>
              <w:t>Intelligence that appears before infrastructure returns: mapping, triage, warnings, mesh communication, and evidence discipline.</w:t>
            </w:r>
          </w:p>
        </w:tc>
      </w:tr>
    </w:tbl>
    <w:p>
      <w:pPr>
        <w:widowControl w:val="1"/>
      </w:pPr>
      <w:r>
        <w:br w:type="page"/>
      </w:r>
    </w:p>
    <w:p>
      <w:pPr>
        <w:pStyle w:val="MissionNumber"/>
        <w:widowControl w:val="1"/>
      </w:pPr>
      <w:r>
        <w:t>MISSION 17  /  THE DISASTER ZONE</w:t>
      </w:r>
    </w:p>
    <w:p>
      <w:pPr>
        <w:pStyle w:val="MissionTitle"/>
        <w:widowControl w:val="1"/>
      </w:pPr>
      <w:r>
        <w:t>The First Twenty-Four Hours</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The first local AI systems in a disaster should not attempt to reconstruct the entire world. They should help responders answer a few urgent questions: where are people, which routes are open, what hazards are changing, and what information is trustworthy enough to act on?</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Preposition portable nodes containing maps, language packs, forms, local procedures, and models for damage classification and message triage. Design them to boot without identity servers or external DNS.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13" name="Picture 13" title="Figure 12" descr="A disaster node turns fragmented sensing and mesh traffic into verified operational facts."/>
            <wp:cNvGraphicFramePr>
              <a:graphicFrameLocks noChangeAspect="1"/>
            </wp:cNvGraphicFramePr>
            <a:graphic>
              <a:graphicData uri="http://schemas.openxmlformats.org/drawingml/2006/picture">
                <pic:pic>
                  <pic:nvPicPr>
                    <pic:cNvPr id="0" name="fig_disaster.png"/>
                    <pic:cNvPicPr/>
                  </pic:nvPicPr>
                  <pic:blipFill>
                    <a:blip r:embed="rId24"/>
                    <a:stretch>
                      <a:fillRect/>
                    </a:stretch>
                  </pic:blipFill>
                  <pic:spPr>
                    <a:xfrm>
                      <a:off x="0" y="0"/>
                      <a:ext cx="5074920" cy="3075200"/>
                    </a:xfrm>
                    <a:prstGeom prst="rect"/>
                  </pic:spPr>
                </pic:pic>
              </a:graphicData>
            </a:graphic>
          </wp:inline>
        </w:drawing>
      </w:r>
    </w:p>
    <w:p>
      <w:pPr>
        <w:pStyle w:val="Caption"/>
        <w:keepLines/>
        <w:jc w:val="center"/>
        <w:widowControl w:val="1"/>
      </w:pPr>
      <w:r>
        <w:t>FIELD PLATE 12 — A disaster node turns fragmented sensing and mesh traffic into verified operational facts.</w:t>
      </w:r>
    </w:p>
    <w:p>
      <w:pPr>
        <w:pStyle w:val="Heading2"/>
        <w:pageBreakBefore/>
        <w:widowControl w:val="1"/>
      </w:pPr>
      <w:r>
        <w:t>THE FAILURE DRILL</w:t>
      </w:r>
    </w:p>
    <w:p>
      <w:pPr>
        <w:widowControl w:val="1"/>
      </w:pPr>
      <w:r>
        <w:t>A sophisticated platform can waste the first day on setup, account recovery, and data imports. The field kit must have a paper-compatible workflow and a clear path from raw report to human-confirmed operational fact.</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Battery field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Mesh radios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Portable map and forms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Drone / sensor ingestion</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Store-and-forward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D_24 = verified operational facts delivered in first 24 hours</w:t>
            </w:r>
          </w:p>
        </w:tc>
      </w:tr>
    </w:tbl>
    <w:p>
      <w:pPr>
        <w:pStyle w:val="Heading2"/>
        <w:widowControl w:val="1"/>
      </w:pPr>
      <w:r>
        <w:t>BUILD LAB</w:t>
      </w:r>
    </w:p>
    <w:p>
      <w:pPr>
        <w:widowControl w:val="1"/>
      </w:pPr>
      <w:r>
        <w:t>Time the deployment from a sealed case to the first shared map. Repeat with no cellular service and only battery power.</w:t>
      </w:r>
    </w:p>
    <w:p>
      <w:pPr>
        <w:pStyle w:val="SmallSans"/>
        <w:ind w:firstLine="0"/>
        <w:widowControl w:val="1"/>
      </w:pPr>
      <w:r>
        <w:rPr>
          <w:b/>
        </w:rPr>
        <w:t xml:space="preserve">Research trail: </w:t>
      </w:r>
      <w:r>
        <w:t>R7,R8,R10. See Research Notes and Sources.</w:t>
      </w:r>
    </w:p>
    <w:p>
      <w:pPr>
        <w:widowControl w:val="1"/>
      </w:pPr>
      <w:r>
        <w:br w:type="page"/>
      </w:r>
    </w:p>
    <w:p>
      <w:pPr>
        <w:pStyle w:val="MissionNumber"/>
        <w:widowControl w:val="1"/>
      </w:pPr>
      <w:r>
        <w:t>MISSION 18  /  THE DISASTER ZONE</w:t>
      </w:r>
    </w:p>
    <w:p>
      <w:pPr>
        <w:pStyle w:val="MissionTitle"/>
        <w:widowControl w:val="1"/>
      </w:pPr>
      <w:r>
        <w:t>Drone-Borne Mapping and Search</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Drones can rapidly map damage, inspect roads, detect heat signatures, relay communications, and deliver small supplies. Edge processing reduces the need to transmit every frame over fragile links.</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Run acquisition-quality checks and first-pass detection onboard. Downlink thumbnails, coordinates, confidence, and selected evidence first; retain full media for later retrieval. Keep flight safety independent from the AI payload.</w:t>
      </w:r>
    </w:p>
    <w:p>
      <w:pPr>
        <w:pStyle w:val="Heading2"/>
        <w:pageBreakBefore/>
        <w:widowControl w:val="1"/>
      </w:pPr>
      <w:r>
        <w:t>THE FAILURE DRILL</w:t>
      </w:r>
    </w:p>
    <w:p>
      <w:pPr>
        <w:widowControl w:val="1"/>
      </w:pPr>
      <w:r>
        <w:t>False detections can divert responders, while missed detections can delay rescue. Wind, smoke, heat, rotor noise, and damaged landscapes differ from training data.</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Battery field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Mesh radios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Portable map and forms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Drone / sensor ingestion</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Store-and-forward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U_d = actionable findings per flight-minute × verification rate</w:t>
            </w:r>
          </w:p>
        </w:tc>
      </w:tr>
    </w:tbl>
    <w:p>
      <w:pPr>
        <w:pStyle w:val="Heading2"/>
        <w:widowControl w:val="1"/>
      </w:pPr>
      <w:r>
        <w:t>BUILD LAB</w:t>
      </w:r>
    </w:p>
    <w:p>
      <w:pPr>
        <w:widowControl w:val="1"/>
      </w:pPr>
      <w:r>
        <w:t>Fly a controlled exercise with decoys, occlusion, poor weather, and limited bandwidth. Measure evidence quality at the command post, not only onboard accuracy.</w:t>
      </w:r>
    </w:p>
    <w:p>
      <w:pPr>
        <w:pStyle w:val="SmallSans"/>
        <w:ind w:firstLine="0"/>
        <w:widowControl w:val="1"/>
      </w:pPr>
      <w:r>
        <w:rPr>
          <w:b/>
        </w:rPr>
        <w:t xml:space="preserve">Research trail: </w:t>
      </w:r>
      <w:r>
        <w:t>R10,R19,R21. See Research Notes and Sources.</w:t>
      </w:r>
    </w:p>
    <w:p>
      <w:pPr>
        <w:widowControl w:val="1"/>
      </w:pPr>
      <w:r>
        <w:br w:type="page"/>
      </w:r>
    </w:p>
    <w:p>
      <w:pPr>
        <w:pStyle w:val="MissionNumber"/>
        <w:widowControl w:val="1"/>
      </w:pPr>
      <w:r>
        <w:t>MISSION 19  /  THE DISASTER ZONE</w:t>
      </w:r>
    </w:p>
    <w:p>
      <w:pPr>
        <w:pStyle w:val="MissionTitle"/>
        <w:widowControl w:val="1"/>
      </w:pPr>
      <w:r>
        <w:t>Mesh Networks and Delay-Tolerant Intelligence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When infrastructure fragments, nearby devices may still exchange messages, maps, model updates, and requests. A local mesh can create an island of coordination while one or two gateways connect intermittently to the outside world.</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Use store-carry-forward messaging, signed bundles, explicit expiry, and priority classes. Route small operational facts before media. Allow phones, vehicles, drones, and fixed nodes to participate without granting all devices equal trust.</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14" name="Picture 14" title="Figure 13" descr="Delay-tolerant synchronization moves high-value deltas before bulk artifacts and preserves conflicts."/>
            <wp:cNvGraphicFramePr>
              <a:graphicFrameLocks noChangeAspect="1"/>
            </wp:cNvGraphicFramePr>
            <a:graphic>
              <a:graphicData uri="http://schemas.openxmlformats.org/drawingml/2006/picture">
                <pic:pic>
                  <pic:nvPicPr>
                    <pic:cNvPr id="0" name="fig_sync.png"/>
                    <pic:cNvPicPr/>
                  </pic:nvPicPr>
                  <pic:blipFill>
                    <a:blip r:embed="rId21"/>
                    <a:stretch>
                      <a:fillRect/>
                    </a:stretch>
                  </pic:blipFill>
                  <pic:spPr>
                    <a:xfrm>
                      <a:off x="0" y="0"/>
                      <a:ext cx="5074920" cy="3075200"/>
                    </a:xfrm>
                    <a:prstGeom prst="rect"/>
                  </pic:spPr>
                </pic:pic>
              </a:graphicData>
            </a:graphic>
          </wp:inline>
        </w:drawing>
      </w:r>
    </w:p>
    <w:p>
      <w:pPr>
        <w:pStyle w:val="Caption"/>
        <w:keepLines/>
        <w:jc w:val="center"/>
        <w:widowControl w:val="1"/>
      </w:pPr>
      <w:r>
        <w:t>FIELD PLATE 13 — Delay-tolerant synchronization moves high-value deltas before bulk artifacts and preserves conflicts.</w:t>
      </w:r>
    </w:p>
    <w:p>
      <w:pPr>
        <w:pStyle w:val="Heading2"/>
        <w:pageBreakBefore/>
        <w:widowControl w:val="1"/>
      </w:pPr>
      <w:r>
        <w:t>THE FAILURE DRILL</w:t>
      </w:r>
    </w:p>
    <w:p>
      <w:pPr>
        <w:widowControl w:val="1"/>
      </w:pPr>
      <w:r>
        <w:t>Mesh networks can amplify rumors, malicious data, and clock errors. Routing may favor well-connected areas while isolated communities remain invisible.</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Battery field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Mesh radios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Portable map and forms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Drone / sensor ingestion</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Store-and-forward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M_r = delivered priority information / energy × delay × trust loss</w:t>
            </w:r>
          </w:p>
        </w:tc>
      </w:tr>
    </w:tbl>
    <w:p>
      <w:pPr>
        <w:pStyle w:val="Heading2"/>
        <w:widowControl w:val="1"/>
      </w:pPr>
      <w:r>
        <w:t>BUILD LAB</w:t>
      </w:r>
    </w:p>
    <w:p>
      <w:pPr>
        <w:widowControl w:val="1"/>
      </w:pPr>
      <w:r>
        <w:t>Partition the network, move gateways, inject false reports, and verify that provenance and priority survive relaying.</w:t>
      </w:r>
    </w:p>
    <w:p>
      <w:pPr>
        <w:pStyle w:val="SmallSans"/>
        <w:ind w:firstLine="0"/>
        <w:widowControl w:val="1"/>
      </w:pPr>
      <w:r>
        <w:rPr>
          <w:b/>
        </w:rPr>
        <w:t xml:space="preserve">Research trail: </w:t>
      </w:r>
      <w:r>
        <w:t>R8,R20,R26. See Research Notes and Sources.</w:t>
      </w:r>
    </w:p>
    <w:p>
      <w:pPr>
        <w:widowControl w:val="1"/>
      </w:pPr>
      <w:r>
        <w:br w:type="page"/>
      </w:r>
    </w:p>
    <w:p>
      <w:pPr>
        <w:pStyle w:val="MissionNumber"/>
        <w:widowControl w:val="1"/>
      </w:pPr>
      <w:r>
        <w:t>MISSION 20  /  THE DISASTER ZONE</w:t>
      </w:r>
    </w:p>
    <w:p>
      <w:pPr>
        <w:pStyle w:val="MissionTitle"/>
        <w:widowControl w:val="1"/>
      </w:pPr>
      <w:r>
        <w:t>Local Early Warning and Evacuation</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Early warning is only useful if detection, interpretation, communication, and action remain connected. Local AI can fuse sensors, forecasts, terrain, population, and route conditions to tailor warnings when central systems are delayed.</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Keep hazard thresholds and evacuation rules inspectable. Use AI to estimate evolving risk and create accessible messages, but require authorized local governance for issuance and route changes.</w:t>
      </w:r>
    </w:p>
    <w:p>
      <w:pPr>
        <w:pStyle w:val="Heading2"/>
        <w:pageBreakBefore/>
        <w:widowControl w:val="1"/>
      </w:pPr>
      <w:r>
        <w:t>THE FAILURE DRILL</w:t>
      </w:r>
    </w:p>
    <w:p>
      <w:pPr>
        <w:widowControl w:val="1"/>
      </w:pPr>
      <w:r>
        <w:t>A warning can be technically accurate and socially unusable. Connectivity gaps, language, disability, trust, and prior false alarms determine whether people act.</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Battery field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Mesh radios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Portable map and forms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Drone / sensor ingestion</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Store-and-forward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W = population reached × comprehension × feasible action / false alarm cost</w:t>
            </w:r>
          </w:p>
        </w:tc>
      </w:tr>
    </w:tbl>
    <w:p>
      <w:pPr>
        <w:pStyle w:val="Heading2"/>
        <w:widowControl w:val="1"/>
      </w:pPr>
      <w:r>
        <w:t>BUILD LAB</w:t>
      </w:r>
    </w:p>
    <w:p>
      <w:pPr>
        <w:widowControl w:val="1"/>
      </w:pPr>
      <w:r>
        <w:t>Test the entire chain with community participants: detection, approval, translation, broadcast, acknowledgment, and safe destination capacity.</w:t>
      </w:r>
    </w:p>
    <w:p>
      <w:pPr>
        <w:pStyle w:val="SmallSans"/>
        <w:ind w:firstLine="0"/>
        <w:widowControl w:val="1"/>
      </w:pPr>
      <w:r>
        <w:rPr>
          <w:b/>
        </w:rPr>
        <w:t xml:space="preserve">Research trail: </w:t>
      </w:r>
      <w:r>
        <w:t>R8,R9,R30. See Research Notes and Sources.</w:t>
      </w:r>
    </w:p>
    <w:p>
      <w:pPr>
        <w:widowControl w:val="1"/>
      </w:pPr>
      <w:r>
        <w:br w:type="page"/>
      </w:r>
    </w:p>
    <w:p>
      <w:pPr>
        <w:pStyle w:val="MissionNumber"/>
        <w:widowControl w:val="1"/>
      </w:pPr>
      <w:r>
        <w:t>MISSION 21  /  THE DISASTER ZONE</w:t>
      </w:r>
    </w:p>
    <w:p>
      <w:pPr>
        <w:pStyle w:val="MissionTitle"/>
        <w:widowControl w:val="1"/>
      </w:pPr>
      <w:r>
        <w:t>Humanitarian Data Under Extreme Uncertainty</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Disaster data arrives as fragments: eyewitness reports, old maps, social posts, drone observations, damaged sensors, and institutional records. The AI system must preserve uncertainty and disagreement rather than forcing a clean but false picture.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Represent claims with source, time, location, confidence, sensitivity, and verification status. Separate observed, inferred, predicted, and requested information. Protect personally identifiable and protection-sensitive data by default.</w:t>
      </w:r>
    </w:p>
    <w:p>
      <w:pPr>
        <w:keepNext/>
        <w:spacing w:before="100" w:after="40"/>
        <w:ind w:firstLine="0"/>
        <w:jc w:val="center"/>
        <w:widowControl w:val="1"/>
      </w:pPr>
      <w:r>
        <w:drawing>
          <wp:inline xmlns:a="http://schemas.openxmlformats.org/drawingml/2006/main" xmlns:pic="http://schemas.openxmlformats.org/drawingml/2006/picture">
            <wp:extent cx="5074920" cy="4384371"/>
            <wp:docPr id="15" name="Picture 15" title="Figure 14" descr="Failure-drill priority changes by operating theater and consequence."/>
            <wp:cNvGraphicFramePr>
              <a:graphicFrameLocks noChangeAspect="1"/>
            </wp:cNvGraphicFramePr>
            <a:graphic>
              <a:graphicData uri="http://schemas.openxmlformats.org/drawingml/2006/picture">
                <pic:pic>
                  <pic:nvPicPr>
                    <pic:cNvPr id="0" name="fig_failure_matrix.png"/>
                    <pic:cNvPicPr/>
                  </pic:nvPicPr>
                  <pic:blipFill>
                    <a:blip r:embed="rId25"/>
                    <a:stretch>
                      <a:fillRect/>
                    </a:stretch>
                  </pic:blipFill>
                  <pic:spPr>
                    <a:xfrm>
                      <a:off x="0" y="0"/>
                      <a:ext cx="5074920" cy="4384371"/>
                    </a:xfrm>
                    <a:prstGeom prst="rect"/>
                  </pic:spPr>
                </pic:pic>
              </a:graphicData>
            </a:graphic>
          </wp:inline>
        </w:drawing>
      </w:r>
    </w:p>
    <w:p>
      <w:pPr>
        <w:pStyle w:val="Caption"/>
        <w:keepLines/>
        <w:jc w:val="center"/>
        <w:widowControl w:val="1"/>
      </w:pPr>
      <w:r>
        <w:t>FIELD PLATE 14 — Failure-drill priority changes by operating theater and consequence.</w:t>
      </w:r>
    </w:p>
    <w:p>
      <w:pPr>
        <w:pStyle w:val="Heading2"/>
        <w:pageBreakBefore/>
        <w:widowControl w:val="1"/>
      </w:pPr>
      <w:r>
        <w:t>THE FAILURE DRILL</w:t>
      </w:r>
    </w:p>
    <w:p>
      <w:pPr>
        <w:widowControl w:val="1"/>
      </w:pPr>
      <w:r>
        <w:t>The pressure for a single dashboard encourages premature certainty. Duplicate names, changing locations, and unverified casualty reports can cause harm if circulated without context.</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Battery field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Mesh radios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Portable map and forms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Drone / sensor ingestion</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Store-and-forward queue</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I_q = decision usefulness × provenance completeness × uncertainty visibility</w:t>
            </w:r>
          </w:p>
        </w:tc>
      </w:tr>
    </w:tbl>
    <w:p>
      <w:pPr>
        <w:pStyle w:val="Heading2"/>
        <w:widowControl w:val="1"/>
      </w:pPr>
      <w:r>
        <w:t>BUILD LAB</w:t>
      </w:r>
    </w:p>
    <w:p>
      <w:pPr>
        <w:widowControl w:val="1"/>
      </w:pPr>
      <w:r>
        <w:t>Build a contradiction queue and require two independent confirmations for selected high-consequence facts. Verify that sensitive records do not propagate to public mesh nodes.</w:t>
      </w:r>
    </w:p>
    <w:p>
      <w:pPr>
        <w:pStyle w:val="SmallSans"/>
        <w:ind w:firstLine="0"/>
        <w:widowControl w:val="1"/>
      </w:pPr>
      <w:r>
        <w:rPr>
          <w:b/>
        </w:rPr>
        <w:t xml:space="preserve">Research trail: </w:t>
      </w:r>
      <w:r>
        <w:t>R7,R8,R25.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0"/>
      </w:tblGrid>
      <w:tr>
        <w:tc>
          <w:tcPr>
            <w:tcW w:type="dxa" w:w="8064"/>
            <w:shd w:fill="081522"/>
            <w:tcMar>
              <w:top w:w="700" w:type="dxa"/>
              <w:start w:w="260" w:type="dxa"/>
              <w:bottom w:w="700" w:type="dxa"/>
              <w:end w:w="260" w:type="dxa"/>
            </w:tcMar>
          </w:tcPr>
          <w:p>
            <w:pPr>
              <w:ind w:firstLine="0"/>
              <w:jc w:val="center"/>
            </w:pPr>
            <w:r>
              <w:rPr>
                <w:rFonts w:ascii="Noto Sans" w:hAnsi="Noto Sans"/>
                <w:b/>
                <w:color w:val="63BE8B"/>
                <w:sz w:val="20"/>
              </w:rPr>
              <w:t>EXPEDITION V</w:t>
            </w:r>
          </w:p>
          <w:p>
            <w:pPr>
              <w:ind w:firstLine="0"/>
              <w:jc w:val="center"/>
            </w:pPr>
            <w:r>
              <w:rPr>
                <w:rFonts w:ascii="Noto Serif" w:hAnsi="Noto Serif"/>
                <w:b/>
                <w:color w:val="FFFFFF"/>
                <w:sz w:val="54"/>
              </w:rPr>
              <w:t>THE FARM</w:t>
            </w:r>
          </w:p>
          <w:p>
            <w:pPr>
              <w:ind w:firstLine="0"/>
              <w:jc w:val="center"/>
            </w:pPr>
            <w:r>
              <w:rPr>
                <w:rFonts w:ascii="Noto Sans" w:hAnsi="Noto Sans"/>
                <w:color w:val="B8CAD2"/>
                <w:sz w:val="18"/>
              </w:rPr>
              <w:t>Local sensing and advisory systems that respect smallholder economics, seasonal knowledge, and intermittent power.</w:t>
            </w:r>
          </w:p>
        </w:tc>
      </w:tr>
    </w:tbl>
    <w:p>
      <w:pPr>
        <w:widowControl w:val="1"/>
      </w:pPr>
      <w:r>
        <w:br w:type="page"/>
      </w:r>
    </w:p>
    <w:p>
      <w:pPr>
        <w:pStyle w:val="MissionNumber"/>
        <w:widowControl w:val="1"/>
      </w:pPr>
      <w:r>
        <w:t>MISSION 22  /  THE FARM</w:t>
      </w:r>
    </w:p>
    <w:p>
      <w:pPr>
        <w:pStyle w:val="MissionTitle"/>
        <w:widowControl w:val="1"/>
      </w:pPr>
      <w:r>
        <w:t>Sensor-to-Soil Intelligence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farm edge system begins with soil moisture, weather, crop stage, water availability, and the farmer’s own observations. The purpose is not to maximize sensor count; it is to improve a decision whose cost and timing matter.</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Place simple thresholds and anomaly detectors near sensors. Use a local node to combine field zones, forecasts, and crop knowledge. Let the farmer inspect why an irrigation, scouting, or treatment action was recommended.</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16" name="Picture 16" title="Figure 15" descr="Farm intelligence joins local sensing, farmer knowledge, actuation, and cooperative synchronization."/>
            <wp:cNvGraphicFramePr>
              <a:graphicFrameLocks noChangeAspect="1"/>
            </wp:cNvGraphicFramePr>
            <a:graphic>
              <a:graphicData uri="http://schemas.openxmlformats.org/drawingml/2006/picture">
                <pic:pic>
                  <pic:nvPicPr>
                    <pic:cNvPr id="0" name="fig_farm.png"/>
                    <pic:cNvPicPr/>
                  </pic:nvPicPr>
                  <pic:blipFill>
                    <a:blip r:embed="rId26"/>
                    <a:stretch>
                      <a:fillRect/>
                    </a:stretch>
                  </pic:blipFill>
                  <pic:spPr>
                    <a:xfrm>
                      <a:off x="0" y="0"/>
                      <a:ext cx="5074920" cy="3075200"/>
                    </a:xfrm>
                    <a:prstGeom prst="rect"/>
                  </pic:spPr>
                </pic:pic>
              </a:graphicData>
            </a:graphic>
          </wp:inline>
        </w:drawing>
      </w:r>
    </w:p>
    <w:p>
      <w:pPr>
        <w:pStyle w:val="Caption"/>
        <w:keepLines/>
        <w:jc w:val="center"/>
        <w:widowControl w:val="1"/>
      </w:pPr>
      <w:r>
        <w:t>FIELD PLATE 15 — Farm intelligence joins local sensing, farmer knowledge, actuation, and cooperative synchronization.</w:t>
      </w:r>
    </w:p>
    <w:p>
      <w:pPr>
        <w:pStyle w:val="Heading2"/>
        <w:pageBreakBefore/>
        <w:widowControl w:val="1"/>
      </w:pPr>
      <w:r>
        <w:t>THE FAILURE DRILL</w:t>
      </w:r>
    </w:p>
    <w:p>
      <w:pPr>
        <w:widowControl w:val="1"/>
      </w:pPr>
      <w:r>
        <w:t>Sensors drift, animals damage cables, probes represent only a tiny patch, and imported agronomic models may not fit local soils. Local calibration and farmer feedback are part of the model.</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Low-power sensors</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Solar field node</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crop knowledge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Farmer language interface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Actuator safety interlocks</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S_s = avoided input waste + yield protection - sensing burden</w:t>
            </w:r>
          </w:p>
        </w:tc>
      </w:tr>
    </w:tbl>
    <w:p>
      <w:pPr>
        <w:pStyle w:val="Heading2"/>
        <w:widowControl w:val="1"/>
      </w:pPr>
      <w:r>
        <w:t>BUILD LAB</w:t>
      </w:r>
    </w:p>
    <w:p>
      <w:pPr>
        <w:widowControl w:val="1"/>
      </w:pPr>
      <w:r>
        <w:t>Compare sensor recommendations with manual field checks across microclimates. Track where the system is consistently early, late, or wrong.</w:t>
      </w:r>
    </w:p>
    <w:p>
      <w:pPr>
        <w:pStyle w:val="SmallSans"/>
        <w:ind w:firstLine="0"/>
        <w:widowControl w:val="1"/>
      </w:pPr>
      <w:r>
        <w:rPr>
          <w:b/>
        </w:rPr>
        <w:t xml:space="preserve">Research trail: </w:t>
      </w:r>
      <w:r>
        <w:t>R13,R14,R15,R16. See Research Notes and Sources.</w:t>
      </w:r>
    </w:p>
    <w:p>
      <w:pPr>
        <w:widowControl w:val="1"/>
      </w:pPr>
      <w:r>
        <w:br w:type="page"/>
      </w:r>
    </w:p>
    <w:p>
      <w:pPr>
        <w:pStyle w:val="MissionNumber"/>
        <w:widowControl w:val="1"/>
      </w:pPr>
      <w:r>
        <w:t>MISSION 23  /  THE FARM</w:t>
      </w:r>
    </w:p>
    <w:p>
      <w:pPr>
        <w:pStyle w:val="MissionTitle"/>
        <w:widowControl w:val="1"/>
      </w:pPr>
      <w:r>
        <w:t>Vision Models for Crops and Livestock</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Phones, fixed cameras, and drones can support disease scouting, weed detection, fruit counting, body-condition monitoring, and fence inspection without uploading every image.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Use acquisition guidance, local classification, and uncertainty-based escalation. Keep examples from local seasons and varieties in a reviewable gallery so extension workers can correct labels.</w:t>
      </w:r>
    </w:p>
    <w:p>
      <w:pPr>
        <w:pStyle w:val="Heading2"/>
        <w:pageBreakBefore/>
        <w:widowControl w:val="1"/>
      </w:pPr>
      <w:r>
        <w:t>THE FAILURE DRILL</w:t>
      </w:r>
    </w:p>
    <w:p>
      <w:pPr>
        <w:widowControl w:val="1"/>
      </w:pPr>
      <w:r>
        <w:t>Models trained on clean benchmark images often fail in mixed crops, dust, shadows, partial symptoms, and unfamiliar breeds. A confident wrong pesticide recommendation can be worse than no model.</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Low-power sensors</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Solar field node</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crop knowledge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Farmer language interface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Actuator safety interlocks</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V_f = useful detections × local validity - harmful treatment suggestions</w:t>
            </w:r>
          </w:p>
        </w:tc>
      </w:tr>
    </w:tbl>
    <w:p>
      <w:pPr>
        <w:pStyle w:val="Heading2"/>
        <w:widowControl w:val="1"/>
      </w:pPr>
      <w:r>
        <w:t>BUILD LAB</w:t>
      </w:r>
    </w:p>
    <w:p>
      <w:pPr>
        <w:widowControl w:val="1"/>
      </w:pPr>
      <w:r>
        <w:t>Collect hard negatives from the actual farm and measure the system’s ability to defer to an extension worker.</w:t>
      </w:r>
    </w:p>
    <w:p>
      <w:pPr>
        <w:pStyle w:val="SmallSans"/>
        <w:ind w:firstLine="0"/>
        <w:widowControl w:val="1"/>
      </w:pPr>
      <w:r>
        <w:rPr>
          <w:b/>
        </w:rPr>
        <w:t xml:space="preserve">Research trail: </w:t>
      </w:r>
      <w:r>
        <w:t>R14,R15,R16. See Research Notes and Sources.</w:t>
      </w:r>
    </w:p>
    <w:p>
      <w:pPr>
        <w:widowControl w:val="1"/>
      </w:pPr>
      <w:r>
        <w:br w:type="page"/>
      </w:r>
    </w:p>
    <w:p>
      <w:pPr>
        <w:pStyle w:val="MissionNumber"/>
        <w:widowControl w:val="1"/>
      </w:pPr>
      <w:r>
        <w:t>MISSION 24  /  THE FARM</w:t>
      </w:r>
    </w:p>
    <w:p>
      <w:pPr>
        <w:pStyle w:val="MissionTitle"/>
        <w:widowControl w:val="1"/>
      </w:pPr>
      <w:r>
        <w:t>Irrigation Under Intermittent Power</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Irrigation intelligence must survive weak power, pump limits, uncertain forecasts, and competition for water. The control system should remain understandable and manually operable.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Separate safety interlocks from optimization. Tiny controllers enforce pressure, dry-run, reservoir, and schedule limits. A local optimizer proposes zone timing using soil, weather, crop stage, and energy availability.</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17" name="Picture 17" title="Figure 16" descr="Accuracy, latency, and energy form a mission-specific engineering triangle."/>
            <wp:cNvGraphicFramePr>
              <a:graphicFrameLocks noChangeAspect="1"/>
            </wp:cNvGraphicFramePr>
            <a:graphic>
              <a:graphicData uri="http://schemas.openxmlformats.org/drawingml/2006/picture">
                <pic:pic>
                  <pic:nvPicPr>
                    <pic:cNvPr id="0" name="fig_power.png"/>
                    <pic:cNvPicPr/>
                  </pic:nvPicPr>
                  <pic:blipFill>
                    <a:blip r:embed="rId18"/>
                    <a:stretch>
                      <a:fillRect/>
                    </a:stretch>
                  </pic:blipFill>
                  <pic:spPr>
                    <a:xfrm>
                      <a:off x="0" y="0"/>
                      <a:ext cx="5074920" cy="3075200"/>
                    </a:xfrm>
                    <a:prstGeom prst="rect"/>
                  </pic:spPr>
                </pic:pic>
              </a:graphicData>
            </a:graphic>
          </wp:inline>
        </w:drawing>
      </w:r>
    </w:p>
    <w:p>
      <w:pPr>
        <w:pStyle w:val="Caption"/>
        <w:keepLines/>
        <w:jc w:val="center"/>
        <w:widowControl w:val="1"/>
      </w:pPr>
      <w:r>
        <w:t>FIELD PLATE 16 — Accuracy, latency, and energy form a mission-specific engineering triangle.</w:t>
      </w:r>
    </w:p>
    <w:p>
      <w:pPr>
        <w:pStyle w:val="Heading2"/>
        <w:pageBreakBefore/>
        <w:widowControl w:val="1"/>
      </w:pPr>
      <w:r>
        <w:t>THE FAILURE DRILL</w:t>
      </w:r>
    </w:p>
    <w:p>
      <w:pPr>
        <w:widowControl w:val="1"/>
      </w:pPr>
      <w:r>
        <w:t>An elegant optimizer can issue impossible schedules when valves fail or the pump curve changes. Connectivity loss must not freeze a valve in the last remote state.</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Low-power sensors</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Solar field node</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crop knowledge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Farmer language interface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Actuator safety interlocks</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I_o = crop water benefit / water + energy + failure risk</w:t>
            </w:r>
          </w:p>
        </w:tc>
      </w:tr>
    </w:tbl>
    <w:p>
      <w:pPr>
        <w:pStyle w:val="Heading2"/>
        <w:widowControl w:val="1"/>
      </w:pPr>
      <w:r>
        <w:t>BUILD LAB</w:t>
      </w:r>
    </w:p>
    <w:p>
      <w:pPr>
        <w:widowControl w:val="1"/>
      </w:pPr>
      <w:r>
        <w:t>Run the controller through sensor loss, cloudy solar days, blocked lines, and manual override. Measure water saved without increasing crop stress.</w:t>
      </w:r>
    </w:p>
    <w:p>
      <w:pPr>
        <w:pStyle w:val="SmallSans"/>
        <w:ind w:firstLine="0"/>
        <w:widowControl w:val="1"/>
      </w:pPr>
      <w:r>
        <w:rPr>
          <w:b/>
        </w:rPr>
        <w:t xml:space="preserve">Research trail: </w:t>
      </w:r>
      <w:r>
        <w:t>R13,R15,R16. See Research Notes and Sources.</w:t>
      </w:r>
    </w:p>
    <w:p>
      <w:pPr>
        <w:widowControl w:val="1"/>
      </w:pPr>
      <w:r>
        <w:br w:type="page"/>
      </w:r>
    </w:p>
    <w:p>
      <w:pPr>
        <w:pStyle w:val="MissionNumber"/>
        <w:widowControl w:val="1"/>
      </w:pPr>
      <w:r>
        <w:t>MISSION 25  /  THE FARM</w:t>
      </w:r>
    </w:p>
    <w:p>
      <w:pPr>
        <w:pStyle w:val="MissionTitle"/>
        <w:widowControl w:val="1"/>
      </w:pPr>
      <w:r>
        <w:t>Local Advisory in the Farmer’s Language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Advisory systems become useful when they understand local crops, units, seasons, market customs, and language. Offline access matters because the question often arises in the field, not beside a reliable connection.</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Package local extension knowledge, weather summaries, pest alerts, and market information into a searchable node. Provide speech and pictorial modes. Cite the source and date of every agronomic recommendation.</w:t>
      </w:r>
    </w:p>
    <w:p>
      <w:pPr>
        <w:pStyle w:val="Heading2"/>
        <w:pageBreakBefore/>
        <w:widowControl w:val="1"/>
      </w:pPr>
      <w:r>
        <w:t>THE FAILURE DRILL</w:t>
      </w:r>
    </w:p>
    <w:p>
      <w:pPr>
        <w:widowControl w:val="1"/>
      </w:pPr>
      <w:r>
        <w:t>Generic language models can invent treatments, ignore local restrictions, or translate technical words incorrectly. The system should distinguish local approved guidance from general model knowledge.</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Repairable local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Wi-Fi / mesh access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language corpus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Public-service apps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Consent and governance ledger</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A_f = locally valid answers × adoption × outcome improvement</w:t>
            </w:r>
          </w:p>
        </w:tc>
      </w:tr>
    </w:tbl>
    <w:p>
      <w:pPr>
        <w:pStyle w:val="Heading2"/>
        <w:widowControl w:val="1"/>
      </w:pPr>
      <w:r>
        <w:t>BUILD LAB</w:t>
      </w:r>
    </w:p>
    <w:p>
      <w:pPr>
        <w:widowControl w:val="1"/>
      </w:pPr>
      <w:r>
        <w:t>Ask farmers to test realistic questions in their own phrasing. Score actionability, trust, and source traceability rather than conversational fluency.</w:t>
      </w:r>
    </w:p>
    <w:p>
      <w:pPr>
        <w:pStyle w:val="SmallSans"/>
        <w:ind w:firstLine="0"/>
        <w:widowControl w:val="1"/>
      </w:pPr>
      <w:r>
        <w:rPr>
          <w:b/>
        </w:rPr>
        <w:t xml:space="preserve">Research trail: </w:t>
      </w:r>
      <w:r>
        <w:t>R13,R14,R22,R23. See Research Notes and Sources.</w:t>
      </w:r>
    </w:p>
    <w:p>
      <w:pPr>
        <w:widowControl w:val="1"/>
      </w:pPr>
      <w:r>
        <w:br w:type="page"/>
      </w:r>
    </w:p>
    <w:p>
      <w:pPr>
        <w:pStyle w:val="MissionNumber"/>
        <w:widowControl w:val="1"/>
      </w:pPr>
      <w:r>
        <w:t>MISSION 26  /  THE FARM</w:t>
      </w:r>
    </w:p>
    <w:p>
      <w:pPr>
        <w:pStyle w:val="MissionTitle"/>
        <w:widowControl w:val="1"/>
      </w:pPr>
      <w:r>
        <w:t>Cooperative Learning Without Centralizing the Farm</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Neighboring farms can benefit from shared disease signals, weather patterns, equipment faults, and market observations without surrendering all raw data to a distant platform.</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Create a cooperative edge node that accepts signed summaries, model updates, and consented examples. Define which data belongs to the farmer, cooperative, public authority, or research partner.</w:t>
      </w:r>
    </w:p>
    <w:p>
      <w:pPr>
        <w:pStyle w:val="Heading2"/>
        <w:pageBreakBefore/>
        <w:widowControl w:val="1"/>
      </w:pPr>
      <w:r>
        <w:t>THE FAILURE DRILL</w:t>
      </w:r>
    </w:p>
    <w:p>
      <w:pPr>
        <w:widowControl w:val="1"/>
      </w:pPr>
      <w:r>
        <w:t>Data asymmetry can let larger farms capture the benefit while smaller farms provide the diversity. Poor governance can turn advisory infrastructure into surveillance or price extraction.</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Low-power sensors</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Solar field node</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crop knowledge</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Farmer language interface</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Actuator safety interlocks</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B_c = shared benefit - extraction risk - exclusion cost</w:t>
            </w:r>
          </w:p>
        </w:tc>
      </w:tr>
    </w:tbl>
    <w:p>
      <w:pPr>
        <w:pStyle w:val="Heading2"/>
        <w:widowControl w:val="1"/>
      </w:pPr>
      <w:r>
        <w:t>BUILD LAB</w:t>
      </w:r>
    </w:p>
    <w:p>
      <w:pPr>
        <w:widowControl w:val="1"/>
      </w:pPr>
      <w:r>
        <w:t>Write a data-benefit agreement before training. Test withdrawal, correction, and deletion from the cooperative archive.</w:t>
      </w:r>
    </w:p>
    <w:p>
      <w:pPr>
        <w:pStyle w:val="SmallSans"/>
        <w:ind w:firstLine="0"/>
        <w:widowControl w:val="1"/>
      </w:pPr>
      <w:r>
        <w:rPr>
          <w:b/>
        </w:rPr>
        <w:t xml:space="preserve">Research trail: </w:t>
      </w:r>
      <w:r>
        <w:t>R14,R15,R25.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0"/>
      </w:tblGrid>
      <w:tr>
        <w:tc>
          <w:tcPr>
            <w:tcW w:type="dxa" w:w="8064"/>
            <w:shd w:fill="081522"/>
            <w:tcMar>
              <w:top w:w="700" w:type="dxa"/>
              <w:start w:w="260" w:type="dxa"/>
              <w:bottom w:w="700" w:type="dxa"/>
              <w:end w:w="260" w:type="dxa"/>
            </w:tcMar>
          </w:tcPr>
          <w:p>
            <w:pPr>
              <w:ind w:firstLine="0"/>
              <w:jc w:val="center"/>
            </w:pPr>
            <w:r>
              <w:rPr>
                <w:rFonts w:ascii="Noto Sans" w:hAnsi="Noto Sans"/>
                <w:b/>
                <w:color w:val="E8C75A"/>
                <w:sz w:val="20"/>
              </w:rPr>
              <w:t>EXPEDITION VI</w:t>
            </w:r>
          </w:p>
          <w:p>
            <w:pPr>
              <w:ind w:firstLine="0"/>
              <w:jc w:val="center"/>
            </w:pPr>
            <w:r>
              <w:rPr>
                <w:rFonts w:ascii="Noto Serif" w:hAnsi="Noto Serif"/>
                <w:b/>
                <w:color w:val="FFFFFF"/>
                <w:sz w:val="54"/>
              </w:rPr>
              <w:t>THE MOVING VEHICLE</w:t>
            </w:r>
          </w:p>
          <w:p>
            <w:pPr>
              <w:ind w:firstLine="0"/>
              <w:jc w:val="center"/>
            </w:pPr>
            <w:r>
              <w:rPr>
                <w:rFonts w:ascii="Noto Sans" w:hAnsi="Noto Sans"/>
                <w:color w:val="B8CAD2"/>
                <w:sz w:val="18"/>
              </w:rPr>
              <w:t>Real-time perception and risk systems that remain useful when networks, maps, and cooperative infrastructure disappear.</w:t>
            </w:r>
          </w:p>
        </w:tc>
      </w:tr>
    </w:tbl>
    <w:p>
      <w:pPr>
        <w:widowControl w:val="1"/>
      </w:pPr>
      <w:r>
        <w:br w:type="page"/>
      </w:r>
    </w:p>
    <w:p>
      <w:pPr>
        <w:pStyle w:val="MissionNumber"/>
        <w:widowControl w:val="1"/>
      </w:pPr>
      <w:r>
        <w:t>MISSION 27  /  THE MOVING VEHICLE</w:t>
      </w:r>
    </w:p>
    <w:p>
      <w:pPr>
        <w:pStyle w:val="MissionTitle"/>
        <w:widowControl w:val="1"/>
      </w:pPr>
      <w:r>
        <w:t>Perception When the Network Vanishes</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vehicle cannot wait for a cloud response to detect a pedestrian, fallen tree, animal, washed-out road, or stopped truck. Safety-critical perception must be local and bounded by known sensor and weather limits.</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Use redundant sensing, deterministic timing, health monitoring, and a local operational design domain. Cache maps and procedures, but treat them as evidence that can become stale.</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18" name="Picture 18" title="Figure 17" descr="Vehicle intelligence keeps perception and safety local while synchronizing selected fleet evidence."/>
            <wp:cNvGraphicFramePr>
              <a:graphicFrameLocks noChangeAspect="1"/>
            </wp:cNvGraphicFramePr>
            <a:graphic>
              <a:graphicData uri="http://schemas.openxmlformats.org/drawingml/2006/picture">
                <pic:pic>
                  <pic:nvPicPr>
                    <pic:cNvPr id="0" name="fig_vehicle.png"/>
                    <pic:cNvPicPr/>
                  </pic:nvPicPr>
                  <pic:blipFill>
                    <a:blip r:embed="rId27"/>
                    <a:stretch>
                      <a:fillRect/>
                    </a:stretch>
                  </pic:blipFill>
                  <pic:spPr>
                    <a:xfrm>
                      <a:off x="0" y="0"/>
                      <a:ext cx="5074920" cy="3075200"/>
                    </a:xfrm>
                    <a:prstGeom prst="rect"/>
                  </pic:spPr>
                </pic:pic>
              </a:graphicData>
            </a:graphic>
          </wp:inline>
        </w:drawing>
      </w:r>
    </w:p>
    <w:p>
      <w:pPr>
        <w:pStyle w:val="Caption"/>
        <w:keepLines/>
        <w:jc w:val="center"/>
        <w:widowControl w:val="1"/>
      </w:pPr>
      <w:r>
        <w:t>FIELD PLATE 17 — Vehicle intelligence keeps perception and safety local while synchronizing selected fleet evidence.</w:t>
      </w:r>
    </w:p>
    <w:p>
      <w:pPr>
        <w:pStyle w:val="Heading2"/>
        <w:pageBreakBefore/>
        <w:widowControl w:val="1"/>
      </w:pPr>
      <w:r>
        <w:t>THE FAILURE DRILL</w:t>
      </w:r>
    </w:p>
    <w:p>
      <w:pPr>
        <w:widowControl w:val="1"/>
      </w:pPr>
      <w:r>
        <w:t>Adverse weather, glare, mud, vibration, lens obstruction, and unfamiliar roads create distribution shift. The system must recognize degraded perception and reduce authority or request human control.</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Redundant sensors</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Real-time compute</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Cached maps and rules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Event recorder</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Fleet sync gateway</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P_v = hazards detected within deadline × calibrated confidence</w:t>
            </w:r>
          </w:p>
        </w:tc>
      </w:tr>
    </w:tbl>
    <w:p>
      <w:pPr>
        <w:pStyle w:val="Heading2"/>
        <w:widowControl w:val="1"/>
      </w:pPr>
      <w:r>
        <w:t>BUILD LAB</w:t>
      </w:r>
    </w:p>
    <w:p>
      <w:pPr>
        <w:widowControl w:val="1"/>
      </w:pPr>
      <w:r>
        <w:t>Drive a closed-course test with sensor contamination, map error, fog, and lost connectivity. Measure time to safe degradation.</w:t>
      </w:r>
    </w:p>
    <w:p>
      <w:pPr>
        <w:pStyle w:val="SmallSans"/>
        <w:ind w:firstLine="0"/>
        <w:widowControl w:val="1"/>
      </w:pPr>
      <w:r>
        <w:rPr>
          <w:b/>
        </w:rPr>
        <w:t xml:space="preserve">Research trail: </w:t>
      </w:r>
      <w:r>
        <w:t>R27,R28,R29. See Research Notes and Sources.</w:t>
      </w:r>
    </w:p>
    <w:p>
      <w:pPr>
        <w:widowControl w:val="1"/>
      </w:pPr>
      <w:r>
        <w:br w:type="page"/>
      </w:r>
    </w:p>
    <w:p>
      <w:pPr>
        <w:pStyle w:val="MissionNumber"/>
        <w:widowControl w:val="1"/>
      </w:pPr>
      <w:r>
        <w:t>MISSION 28  /  THE MOVING VEHICLE</w:t>
      </w:r>
    </w:p>
    <w:p>
      <w:pPr>
        <w:pStyle w:val="MissionTitle"/>
        <w:widowControl w:val="1"/>
      </w:pPr>
      <w:r>
        <w:t>Hazard Prediction and Driver Assistance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compact multimodal model can interpret road context, driver state, map geometry, and object trajectories to identify developing risk before a conventional threshold alarm fires.</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Keep the system in an advisory envelope unless it is certified for control. Produce short, prioritized warnings with location, time horizon, and recommended risk-reducing action.</w:t>
      </w:r>
    </w:p>
    <w:p>
      <w:pPr>
        <w:pStyle w:val="Heading2"/>
        <w:pageBreakBefore/>
        <w:widowControl w:val="1"/>
      </w:pPr>
      <w:r>
        <w:t>THE FAILURE DRILL</w:t>
      </w:r>
    </w:p>
    <w:p>
      <w:pPr>
        <w:widowControl w:val="1"/>
      </w:pPr>
      <w:r>
        <w:t>Verbose or frequent warnings can distract the driver. Vision-language models can produce persuasive explanations that exceed the evidence in the sensors.</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Redundant sensors</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Real-time compute</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Cached maps and rules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Event recorder</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Fleet sync gateway</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H_p = prevented risk - distraction - false intervention cost</w:t>
            </w:r>
          </w:p>
        </w:tc>
      </w:tr>
    </w:tbl>
    <w:p>
      <w:pPr>
        <w:pStyle w:val="Heading2"/>
        <w:widowControl w:val="1"/>
      </w:pPr>
      <w:r>
        <w:t>BUILD LAB</w:t>
      </w:r>
    </w:p>
    <w:p>
      <w:pPr>
        <w:widowControl w:val="1"/>
      </w:pPr>
      <w:r>
        <w:t>Test rare scenarios and measure whether warnings improve driver behavior without increasing workload or false reactions.</w:t>
      </w:r>
    </w:p>
    <w:p>
      <w:pPr>
        <w:pStyle w:val="SmallSans"/>
        <w:ind w:firstLine="0"/>
        <w:widowControl w:val="1"/>
      </w:pPr>
      <w:r>
        <w:rPr>
          <w:b/>
        </w:rPr>
        <w:t xml:space="preserve">Research trail: </w:t>
      </w:r>
      <w:r>
        <w:t>R27,R28. See Research Notes and Sources.</w:t>
      </w:r>
    </w:p>
    <w:p>
      <w:pPr>
        <w:widowControl w:val="1"/>
      </w:pPr>
      <w:r>
        <w:br w:type="page"/>
      </w:r>
    </w:p>
    <w:p>
      <w:pPr>
        <w:pStyle w:val="MissionNumber"/>
        <w:widowControl w:val="1"/>
      </w:pPr>
      <w:r>
        <w:t>MISSION 29  /  THE MOVING VEHICLE</w:t>
      </w:r>
    </w:p>
    <w:p>
      <w:pPr>
        <w:pStyle w:val="MissionTitle"/>
        <w:widowControl w:val="1"/>
      </w:pPr>
      <w:r>
        <w:t>Fleet Memory and Selective Synchronization</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Vehicles accumulate local maps, near-miss events, mechanical signatures, and route observations. Fleet learning is valuable, but raw continuous upload is expensive and sensitive.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Store event windows locally and summarize routine operation. Synchronize safety-relevant anomalies, map deltas, and model diagnostics according to priority and consent. Maintain a signed chain from event to fleet update.</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19" name="Picture 19" title="Figure 18" descr="Delay-tolerant synchronization moves high-value deltas before bulk artifacts and preserves conflicts."/>
            <wp:cNvGraphicFramePr>
              <a:graphicFrameLocks noChangeAspect="1"/>
            </wp:cNvGraphicFramePr>
            <a:graphic>
              <a:graphicData uri="http://schemas.openxmlformats.org/drawingml/2006/picture">
                <pic:pic>
                  <pic:nvPicPr>
                    <pic:cNvPr id="0" name="fig_sync.png"/>
                    <pic:cNvPicPr/>
                  </pic:nvPicPr>
                  <pic:blipFill>
                    <a:blip r:embed="rId21"/>
                    <a:stretch>
                      <a:fillRect/>
                    </a:stretch>
                  </pic:blipFill>
                  <pic:spPr>
                    <a:xfrm>
                      <a:off x="0" y="0"/>
                      <a:ext cx="5074920" cy="3075200"/>
                    </a:xfrm>
                    <a:prstGeom prst="rect"/>
                  </pic:spPr>
                </pic:pic>
              </a:graphicData>
            </a:graphic>
          </wp:inline>
        </w:drawing>
      </w:r>
    </w:p>
    <w:p>
      <w:pPr>
        <w:pStyle w:val="Caption"/>
        <w:keepLines/>
        <w:jc w:val="center"/>
        <w:widowControl w:val="1"/>
      </w:pPr>
      <w:r>
        <w:t>FIELD PLATE 18 — Delay-tolerant synchronization moves high-value deltas before bulk artifacts and preserves conflicts.</w:t>
      </w:r>
    </w:p>
    <w:p>
      <w:pPr>
        <w:pStyle w:val="Heading2"/>
        <w:pageBreakBefore/>
        <w:widowControl w:val="1"/>
      </w:pPr>
      <w:r>
        <w:t>THE FAILURE DRILL</w:t>
      </w:r>
    </w:p>
    <w:p>
      <w:pPr>
        <w:widowControl w:val="1"/>
      </w:pPr>
      <w:r>
        <w:t>A fleet can learn the wrong lesson from correlated sensors or a malicious vehicle. Rare local hazards may be averaged away by global training.</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Redundant sensors</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Real-time compute</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Cached maps and rules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Event recorder</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Fleet sync gateway</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F_m = fleet learning gain × rare-event retention - poisoning risk</w:t>
            </w:r>
          </w:p>
        </w:tc>
      </w:tr>
    </w:tbl>
    <w:p>
      <w:pPr>
        <w:pStyle w:val="Heading2"/>
        <w:widowControl w:val="1"/>
      </w:pPr>
      <w:r>
        <w:t>BUILD LAB</w:t>
      </w:r>
    </w:p>
    <w:p>
      <w:pPr>
        <w:widowControl w:val="1"/>
      </w:pPr>
      <w:r>
        <w:t>Introduce one poisoned update and one rare but valid hazard. Confirm that screening blocks the first and preserves the second.</w:t>
      </w:r>
    </w:p>
    <w:p>
      <w:pPr>
        <w:pStyle w:val="SmallSans"/>
        <w:ind w:firstLine="0"/>
        <w:widowControl w:val="1"/>
      </w:pPr>
      <w:r>
        <w:rPr>
          <w:b/>
        </w:rPr>
        <w:t xml:space="preserve">Research trail: </w:t>
      </w:r>
      <w:r>
        <w:t>R25,R26,R27. See Research Notes and Sources.</w:t>
      </w:r>
    </w:p>
    <w:p>
      <w:pPr>
        <w:widowControl w:val="1"/>
      </w:pPr>
      <w:r>
        <w:br w:type="page"/>
      </w:r>
    </w:p>
    <w:p>
      <w:pPr>
        <w:pStyle w:val="MissionNumber"/>
        <w:widowControl w:val="1"/>
      </w:pPr>
      <w:r>
        <w:t>MISSION 30  /  THE MOVING VEHICLE</w:t>
      </w:r>
    </w:p>
    <w:p>
      <w:pPr>
        <w:pStyle w:val="MissionTitle"/>
        <w:widowControl w:val="1"/>
      </w:pPr>
      <w:r>
        <w:t>Edge Vision-Language Models Without Unsafe Authority</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Vision-language models can connect perception with semantic context: “a child is approaching the road from behind a parked vehicle” rather than only bounding boxes. Their strength is interpretation; their risk is confident narrative.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Use VLMs as secondary hazard interpreters and evaluators behind real-time perception. Constrain outputs to a typed hazard vocabulary, evidence references, and time budgets.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20" name="Picture 20" title="Figure 19" descr="The model cascade uses the least expensive trustworthy component before invoking larger models."/>
            <wp:cNvGraphicFramePr>
              <a:graphicFrameLocks noChangeAspect="1"/>
            </wp:cNvGraphicFramePr>
            <a:graphic>
              <a:graphicData uri="http://schemas.openxmlformats.org/drawingml/2006/picture">
                <pic:pic>
                  <pic:nvPicPr>
                    <pic:cNvPr id="0" name="fig_cascade.png"/>
                    <pic:cNvPicPr/>
                  </pic:nvPicPr>
                  <pic:blipFill>
                    <a:blip r:embed="rId23"/>
                    <a:stretch>
                      <a:fillRect/>
                    </a:stretch>
                  </pic:blipFill>
                  <pic:spPr>
                    <a:xfrm>
                      <a:off x="0" y="0"/>
                      <a:ext cx="5074920" cy="3075200"/>
                    </a:xfrm>
                    <a:prstGeom prst="rect"/>
                  </pic:spPr>
                </pic:pic>
              </a:graphicData>
            </a:graphic>
          </wp:inline>
        </w:drawing>
      </w:r>
    </w:p>
    <w:p>
      <w:pPr>
        <w:pStyle w:val="Caption"/>
        <w:keepLines/>
        <w:jc w:val="center"/>
        <w:widowControl w:val="1"/>
      </w:pPr>
      <w:r>
        <w:t>FIELD PLATE 19 — The model cascade uses the least expensive trustworthy component before invoking larger models.</w:t>
      </w:r>
    </w:p>
    <w:p>
      <w:pPr>
        <w:pStyle w:val="Heading2"/>
        <w:pageBreakBefore/>
        <w:widowControl w:val="1"/>
      </w:pPr>
      <w:r>
        <w:t>THE FAILURE DRILL</w:t>
      </w:r>
    </w:p>
    <w:p>
      <w:pPr>
        <w:widowControl w:val="1"/>
      </w:pPr>
      <w:r>
        <w:t>A model may hallucinate intent, overlook geometry, or respond too slowly. Language should never be treated as a control signal without deterministic validation.</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Redundant sensors</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Real-time compute</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Cached maps and rules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Event recorder</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Fleet sync gateway</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V_l = contextual hazard gain - unsupported narrative risk</w:t>
            </w:r>
          </w:p>
        </w:tc>
      </w:tr>
    </w:tbl>
    <w:p>
      <w:pPr>
        <w:pStyle w:val="Heading2"/>
        <w:widowControl w:val="1"/>
      </w:pPr>
      <w:r>
        <w:t>BUILD LAB</w:t>
      </w:r>
    </w:p>
    <w:p>
      <w:pPr>
        <w:widowControl w:val="1"/>
      </w:pPr>
      <w:r>
        <w:t>Compare VLM hazard descriptions with raw sensor evidence and human annotations. Reject any output that cannot point to visible or measured support.</w:t>
      </w:r>
    </w:p>
    <w:p>
      <w:pPr>
        <w:pStyle w:val="SmallSans"/>
        <w:ind w:firstLine="0"/>
        <w:widowControl w:val="1"/>
      </w:pPr>
      <w:r>
        <w:rPr>
          <w:b/>
        </w:rPr>
        <w:t xml:space="preserve">Research trail: </w:t>
      </w:r>
      <w:r>
        <w:t>R27,R28,R29. See Research Notes and Sources.</w:t>
      </w:r>
    </w:p>
    <w:p>
      <w:pPr>
        <w:widowControl w:val="1"/>
      </w:pPr>
      <w:r>
        <w:br w:type="page"/>
      </w:r>
    </w:p>
    <w:p>
      <w:pPr>
        <w:pStyle w:val="MissionNumber"/>
        <w:widowControl w:val="1"/>
      </w:pPr>
      <w:r>
        <w:t>MISSION 31  /  THE MOVING VEHICLE</w:t>
      </w:r>
    </w:p>
    <w:p>
      <w:pPr>
        <w:pStyle w:val="MissionTitle"/>
        <w:widowControl w:val="1"/>
      </w:pPr>
      <w:r>
        <w:t>Maintenance, Energy, and Route Resilience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In rural fleets and emergency vehicles, a minor failure can remove an entire service. Local AI can combine diagnostics, battery health, road condition, spare parts, and mission priority to plan resilient routes and maintenance.</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Maintain a local digital log of faults, repairs, consumables, and route hazards. Use optimization to recommend actions while exposing assumptions and allowing a mechanic or dispatcher to override.</w:t>
      </w:r>
    </w:p>
    <w:p>
      <w:pPr>
        <w:pStyle w:val="Heading2"/>
        <w:pageBreakBefore/>
        <w:widowControl w:val="1"/>
      </w:pPr>
      <w:r>
        <w:t>THE FAILURE DRILL</w:t>
      </w:r>
    </w:p>
    <w:p>
      <w:pPr>
        <w:widowControl w:val="1"/>
      </w:pPr>
      <w:r>
        <w:t>Maintenance models trained on commercial fleets may not fit improvised repairs, mixed parts, or extreme duty cycles. Optimization can prefer efficiency over service equity.</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Redundant sensors</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Real-time compute</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Cached maps and rules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Event recorder</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Fleet sync gateway</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R_f = missions completed / energy + downtime + inequity penalty</w:t>
            </w:r>
          </w:p>
        </w:tc>
      </w:tr>
    </w:tbl>
    <w:p>
      <w:pPr>
        <w:pStyle w:val="Heading2"/>
        <w:widowControl w:val="1"/>
      </w:pPr>
      <w:r>
        <w:t>BUILD LAB</w:t>
      </w:r>
    </w:p>
    <w:p>
      <w:pPr>
        <w:widowControl w:val="1"/>
      </w:pPr>
      <w:r>
        <w:t>Test a scenario with one failing vehicle, blocked road, scarce fuel, and two critical destinations. Audit why the system chose its route.</w:t>
      </w:r>
    </w:p>
    <w:p>
      <w:pPr>
        <w:pStyle w:val="SmallSans"/>
        <w:ind w:firstLine="0"/>
        <w:widowControl w:val="1"/>
      </w:pPr>
      <w:r>
        <w:rPr>
          <w:b/>
        </w:rPr>
        <w:t xml:space="preserve">Research trail: </w:t>
      </w:r>
      <w:r>
        <w:t>R25,R29.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0"/>
      </w:tblGrid>
      <w:tr>
        <w:tc>
          <w:tcPr>
            <w:tcW w:type="dxa" w:w="8064"/>
            <w:shd w:fill="081522"/>
            <w:tcMar>
              <w:top w:w="700" w:type="dxa"/>
              <w:start w:w="260" w:type="dxa"/>
              <w:bottom w:w="700" w:type="dxa"/>
              <w:end w:w="260" w:type="dxa"/>
            </w:tcMar>
          </w:tcPr>
          <w:p>
            <w:pPr>
              <w:ind w:firstLine="0"/>
              <w:jc w:val="center"/>
            </w:pPr>
            <w:r>
              <w:rPr>
                <w:rFonts w:ascii="Noto Sans" w:hAnsi="Noto Sans"/>
                <w:b/>
                <w:color w:val="8172D8"/>
                <w:sz w:val="20"/>
              </w:rPr>
              <w:t>EXPEDITION VII</w:t>
            </w:r>
          </w:p>
          <w:p>
            <w:pPr>
              <w:ind w:firstLine="0"/>
              <w:jc w:val="center"/>
            </w:pPr>
            <w:r>
              <w:rPr>
                <w:rFonts w:ascii="Noto Serif" w:hAnsi="Noto Serif"/>
                <w:b/>
                <w:color w:val="FFFFFF"/>
                <w:sz w:val="54"/>
              </w:rPr>
              <w:t>THE DISCONNECTED COMMUNITY</w:t>
            </w:r>
          </w:p>
          <w:p>
            <w:pPr>
              <w:ind w:firstLine="0"/>
              <w:jc w:val="center"/>
            </w:pPr>
            <w:r>
              <w:rPr>
                <w:rFonts w:ascii="Noto Sans" w:hAnsi="Noto Sans"/>
                <w:color w:val="B8CAD2"/>
                <w:sz w:val="18"/>
              </w:rPr>
              <w:t>Community-scale intelligence for language, education, markets, public services, and self-determined data governance.</w:t>
            </w:r>
          </w:p>
        </w:tc>
      </w:tr>
    </w:tbl>
    <w:p>
      <w:pPr>
        <w:widowControl w:val="1"/>
      </w:pPr>
      <w:r>
        <w:br w:type="page"/>
      </w:r>
    </w:p>
    <w:p>
      <w:pPr>
        <w:pStyle w:val="MissionNumber"/>
        <w:widowControl w:val="1"/>
      </w:pPr>
      <w:r>
        <w:t>MISSION 32  /  THE DISCONNECTED COMMUNITY</w:t>
      </w:r>
    </w:p>
    <w:p>
      <w:pPr>
        <w:pStyle w:val="MissionTitle"/>
        <w:widowControl w:val="1"/>
      </w:pPr>
      <w:r>
        <w:t>The Village Knowledge Node</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community node is a small local server or cluster that stores public information, local language resources, educational materials, service workflows, and selected models. It can serve phones and terminals over local Wi-Fi even when the wider internet is absent.</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Build it as community infrastructure: replaceable hardware, open formats, local backups, clear administration, and a visible content-update process. Separate public knowledge from sensitive records.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21" name="Picture 21" title="Figure 20" descr="A community node offers local language and public services with community-controlled governance."/>
            <wp:cNvGraphicFramePr>
              <a:graphicFrameLocks noChangeAspect="1"/>
            </wp:cNvGraphicFramePr>
            <a:graphic>
              <a:graphicData uri="http://schemas.openxmlformats.org/drawingml/2006/picture">
                <pic:pic>
                  <pic:nvPicPr>
                    <pic:cNvPr id="0" name="fig_community.png"/>
                    <pic:cNvPicPr/>
                  </pic:nvPicPr>
                  <pic:blipFill>
                    <a:blip r:embed="rId28"/>
                    <a:stretch>
                      <a:fillRect/>
                    </a:stretch>
                  </pic:blipFill>
                  <pic:spPr>
                    <a:xfrm>
                      <a:off x="0" y="0"/>
                      <a:ext cx="5074920" cy="3075200"/>
                    </a:xfrm>
                    <a:prstGeom prst="rect"/>
                  </pic:spPr>
                </pic:pic>
              </a:graphicData>
            </a:graphic>
          </wp:inline>
        </w:drawing>
      </w:r>
    </w:p>
    <w:p>
      <w:pPr>
        <w:pStyle w:val="Caption"/>
        <w:keepLines/>
        <w:jc w:val="center"/>
        <w:widowControl w:val="1"/>
      </w:pPr>
      <w:r>
        <w:t>FIELD PLATE 20 — A community node offers local language and public services with community-controlled governance.</w:t>
      </w:r>
    </w:p>
    <w:p>
      <w:pPr>
        <w:pStyle w:val="Heading2"/>
        <w:pageBreakBefore/>
        <w:widowControl w:val="1"/>
      </w:pPr>
      <w:r>
        <w:t>THE FAILURE DRILL</w:t>
      </w:r>
    </w:p>
    <w:p>
      <w:pPr>
        <w:widowControl w:val="1"/>
      </w:pPr>
      <w:r>
        <w:t>A donated server can become an abandoned appliance when storage fills, batteries fail, or no one can update it. Technical ownership must be matched by local training and budget.</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Repairable local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Wi-Fi / mesh access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language corpus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Public-service apps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Consent and governance ledger</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K_n = locally useful services × uptime × local stewardship</w:t>
            </w:r>
          </w:p>
        </w:tc>
      </w:tr>
    </w:tbl>
    <w:p>
      <w:pPr>
        <w:pStyle w:val="Heading2"/>
        <w:widowControl w:val="1"/>
      </w:pPr>
      <w:r>
        <w:t>BUILD LAB</w:t>
      </w:r>
    </w:p>
    <w:p>
      <w:pPr>
        <w:widowControl w:val="1"/>
      </w:pPr>
      <w:r>
        <w:t>Operate the node for a month without outside support. Track who can repair it, restore it, explain it, and decide what it contains.</w:t>
      </w:r>
    </w:p>
    <w:p>
      <w:pPr>
        <w:pStyle w:val="SmallSans"/>
        <w:ind w:firstLine="0"/>
        <w:widowControl w:val="1"/>
      </w:pPr>
      <w:r>
        <w:rPr>
          <w:b/>
        </w:rPr>
        <w:t xml:space="preserve">Research trail: </w:t>
      </w:r>
      <w:r>
        <w:t>R6,R13,R30. See Research Notes and Sources.</w:t>
      </w:r>
    </w:p>
    <w:p>
      <w:pPr>
        <w:widowControl w:val="1"/>
      </w:pPr>
      <w:r>
        <w:br w:type="page"/>
      </w:r>
    </w:p>
    <w:p>
      <w:pPr>
        <w:pStyle w:val="MissionNumber"/>
        <w:widowControl w:val="1"/>
      </w:pPr>
      <w:r>
        <w:t>MISSION 33  /  THE DISCONNECTED COMMUNITY</w:t>
      </w:r>
    </w:p>
    <w:p>
      <w:pPr>
        <w:pStyle w:val="MissionTitle"/>
        <w:widowControl w:val="1"/>
      </w:pPr>
      <w:r>
        <w:t>Offline Education and Translation</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Local AI can provide tutoring, reading support, translation, speech practice, and curriculum search where cloud services are unaffordable or inaccessible. The system should strengthen teachers and local language, not replace them.</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Use curriculum-bound knowledge packs, offline speech models, and teacher-controlled lesson plans. Store learner progress locally with consent and export only necessary aggregates.</w:t>
      </w:r>
    </w:p>
    <w:p>
      <w:pPr>
        <w:pStyle w:val="Heading2"/>
        <w:pageBreakBefore/>
        <w:widowControl w:val="1"/>
      </w:pPr>
      <w:r>
        <w:t>THE FAILURE DRILL</w:t>
      </w:r>
    </w:p>
    <w:p>
      <w:pPr>
        <w:widowControl w:val="1"/>
      </w:pPr>
      <w:r>
        <w:t>A fluent tutor can teach wrong content, erase local history, or reward students for adapting to model bias. Devices may also concentrate access in a few households.</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Repairable local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Wi-Fi / mesh access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language corpus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Public-service apps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Consent and governance ledger</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L_e = learning gain × inclusion - misinformation - teacher displacement</w:t>
            </w:r>
          </w:p>
        </w:tc>
      </w:tr>
    </w:tbl>
    <w:p>
      <w:pPr>
        <w:pStyle w:val="Heading2"/>
        <w:widowControl w:val="1"/>
      </w:pPr>
      <w:r>
        <w:t>BUILD LAB</w:t>
      </w:r>
    </w:p>
    <w:p>
      <w:pPr>
        <w:widowControl w:val="1"/>
      </w:pPr>
      <w:r>
        <w:t>Run lessons with teachers observing. Measure learning, correction burden, language quality, and equitable access across students.</w:t>
      </w:r>
    </w:p>
    <w:p>
      <w:pPr>
        <w:pStyle w:val="SmallSans"/>
        <w:ind w:firstLine="0"/>
        <w:widowControl w:val="1"/>
      </w:pPr>
      <w:r>
        <w:rPr>
          <w:b/>
        </w:rPr>
        <w:t xml:space="preserve">Research trail: </w:t>
      </w:r>
      <w:r>
        <w:t>R22,R23,R30. See Research Notes and Sources.</w:t>
      </w:r>
    </w:p>
    <w:p>
      <w:pPr>
        <w:widowControl w:val="1"/>
      </w:pPr>
      <w:r>
        <w:br w:type="page"/>
      </w:r>
    </w:p>
    <w:p>
      <w:pPr>
        <w:pStyle w:val="MissionNumber"/>
        <w:widowControl w:val="1"/>
      </w:pPr>
      <w:r>
        <w:t>MISSION 34  /  THE DISCONNECTED COMMUNITY</w:t>
      </w:r>
    </w:p>
    <w:p>
      <w:pPr>
        <w:pStyle w:val="MissionTitle"/>
        <w:widowControl w:val="1"/>
      </w:pPr>
      <w:r>
        <w:t>Local Governance and Community Data</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Community-scale AI affects land, benefits, public safety, health, markets, and identity. Governance cannot be an afterthought added after the node is deployed.</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Create a local data charter covering collection, consent, access, retention, benefit, redress, and prohibited uses. Use a consent ledger and public audit summaries.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22" name="Picture 22" title="Figure 21" descr="The authority envelope separates automation, recommendation, escalation, and prohibition."/>
            <wp:cNvGraphicFramePr>
              <a:graphicFrameLocks noChangeAspect="1"/>
            </wp:cNvGraphicFramePr>
            <a:graphic>
              <a:graphicData uri="http://schemas.openxmlformats.org/drawingml/2006/picture">
                <pic:pic>
                  <pic:nvPicPr>
                    <pic:cNvPr id="0" name="fig_human.png"/>
                    <pic:cNvPicPr/>
                  </pic:nvPicPr>
                  <pic:blipFill>
                    <a:blip r:embed="rId16"/>
                    <a:stretch>
                      <a:fillRect/>
                    </a:stretch>
                  </pic:blipFill>
                  <pic:spPr>
                    <a:xfrm>
                      <a:off x="0" y="0"/>
                      <a:ext cx="5074920" cy="3075200"/>
                    </a:xfrm>
                    <a:prstGeom prst="rect"/>
                  </pic:spPr>
                </pic:pic>
              </a:graphicData>
            </a:graphic>
          </wp:inline>
        </w:drawing>
      </w:r>
    </w:p>
    <w:p>
      <w:pPr>
        <w:pStyle w:val="Caption"/>
        <w:keepLines/>
        <w:jc w:val="center"/>
        <w:widowControl w:val="1"/>
      </w:pPr>
      <w:r>
        <w:t>FIELD PLATE 21 — The authority envelope separates automation, recommendation, escalation, and prohibition.</w:t>
      </w:r>
    </w:p>
    <w:p>
      <w:pPr>
        <w:pStyle w:val="Heading2"/>
        <w:pageBreakBefore/>
        <w:widowControl w:val="1"/>
      </w:pPr>
      <w:r>
        <w:t>THE FAILURE DRILL</w:t>
      </w:r>
    </w:p>
    <w:p>
      <w:pPr>
        <w:widowControl w:val="1"/>
      </w:pPr>
      <w:r>
        <w:t>Technically anonymized data can remain socially identifiable in small communities. An outside operator may possess practical control despite formal local ownership.</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Repairable local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Wi-Fi / mesh access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language corpus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Public-service apps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Consent and governance ledger</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D_g = legitimate community benefit × consent quality / reidentification risk</w:t>
            </w:r>
          </w:p>
        </w:tc>
      </w:tr>
    </w:tbl>
    <w:p>
      <w:pPr>
        <w:pStyle w:val="Heading2"/>
        <w:widowControl w:val="1"/>
      </w:pPr>
      <w:r>
        <w:t>BUILD LAB</w:t>
      </w:r>
    </w:p>
    <w:p>
      <w:pPr>
        <w:widowControl w:val="1"/>
      </w:pPr>
      <w:r>
        <w:t>Choose one dataset and conduct a community threat model: who could infer what, who benefits, and how a person can challenge the system.</w:t>
      </w:r>
    </w:p>
    <w:p>
      <w:pPr>
        <w:pStyle w:val="SmallSans"/>
        <w:ind w:firstLine="0"/>
        <w:widowControl w:val="1"/>
      </w:pPr>
      <w:r>
        <w:rPr>
          <w:b/>
        </w:rPr>
        <w:t xml:space="preserve">Research trail: </w:t>
      </w:r>
      <w:r>
        <w:t>R25,R26,R30. See Research Notes and Sources.</w:t>
      </w:r>
    </w:p>
    <w:p>
      <w:pPr>
        <w:widowControl w:val="1"/>
      </w:pPr>
      <w:r>
        <w:br w:type="page"/>
      </w:r>
    </w:p>
    <w:p>
      <w:pPr>
        <w:pStyle w:val="MissionNumber"/>
        <w:widowControl w:val="1"/>
      </w:pPr>
      <w:r>
        <w:t>MISSION 35  /  THE DISCONNECTED COMMUNITY</w:t>
      </w:r>
    </w:p>
    <w:p>
      <w:pPr>
        <w:pStyle w:val="MissionTitle"/>
        <w:widowControl w:val="1"/>
      </w:pPr>
      <w:r>
        <w:t>Microgrids, Markets, and Public Services</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A community node can coordinate solar generation, water pumps, cold storage, transport, local markets, and public notices. These systems become valuable when they share state without sharing unlimited authority.</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Use event-driven local services with clear priorities for health, water, communications, and food preservation. AI forecasts demand and anomalies; deterministic controllers enforce physical safety and allocation rules approved by governance.</w:t>
      </w:r>
    </w:p>
    <w:p>
      <w:pPr>
        <w:pStyle w:val="Heading2"/>
        <w:pageBreakBefore/>
        <w:widowControl w:val="1"/>
      </w:pPr>
      <w:r>
        <w:t>THE FAILURE DRILL</w:t>
      </w:r>
    </w:p>
    <w:p>
      <w:pPr>
        <w:widowControl w:val="1"/>
      </w:pPr>
      <w:r>
        <w:t>Optimization can hide political choices. A mathematically efficient allocation may disadvantage remote households or informal workers. The system must show tradeoffs and preserve an appeal path.</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Repairable local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Wi-Fi / mesh access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language corpus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Public-service apps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Consent and governance ledger</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P_s = essential service continuity - inequity - opaque control</w:t>
            </w:r>
          </w:p>
        </w:tc>
      </w:tr>
    </w:tbl>
    <w:p>
      <w:pPr>
        <w:pStyle w:val="Heading2"/>
        <w:widowControl w:val="1"/>
      </w:pPr>
      <w:r>
        <w:t>BUILD LAB</w:t>
      </w:r>
    </w:p>
    <w:p>
      <w:pPr>
        <w:widowControl w:val="1"/>
      </w:pPr>
      <w:r>
        <w:t>Simulate a power shortage. Ask the system to explain curtailment choices and let community representatives alter the policy.</w:t>
      </w:r>
    </w:p>
    <w:p>
      <w:pPr>
        <w:pStyle w:val="SmallSans"/>
        <w:ind w:firstLine="0"/>
        <w:widowControl w:val="1"/>
      </w:pPr>
      <w:r>
        <w:rPr>
          <w:b/>
        </w:rPr>
        <w:t xml:space="preserve">Research trail: </w:t>
      </w:r>
      <w:r>
        <w:t>R7,R13,R25. See Research Notes and Sources.</w:t>
      </w:r>
    </w:p>
    <w:p>
      <w:pPr>
        <w:widowControl w:val="1"/>
      </w:pPr>
      <w:r>
        <w:br w:type="page"/>
      </w:r>
    </w:p>
    <w:p>
      <w:pPr>
        <w:pStyle w:val="MissionNumber"/>
        <w:widowControl w:val="1"/>
      </w:pPr>
      <w:r>
        <w:t>MISSION 36  /  THE DISCONNECTED COMMUNITY</w:t>
      </w:r>
    </w:p>
    <w:p>
      <w:pPr>
        <w:pStyle w:val="MissionTitle"/>
        <w:widowControl w:val="1"/>
      </w:pPr>
      <w:r>
        <w:t>A Right to Intelligence Without Connectivity</w:t>
      </w:r>
    </w:p>
    <w:p>
      <w:pPr>
        <w:pStyle w:val="FieldSubtitle"/>
        <w:widowControl w:val="1"/>
      </w:pPr>
      <w:r>
        <w:t>A field dispatch, architecture pattern, and failure drill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8F0F1"/>
            <w:tcMar>
              <w:top w:w="150" w:type="dxa"/>
              <w:start w:w="190" w:type="dxa"/>
              <w:bottom w:w="150" w:type="dxa"/>
              <w:end w:w="190" w:type="dxa"/>
            </w:tcMar>
          </w:tcPr>
          <w:p>
            <w:pPr>
              <w:ind w:firstLine="0"/>
            </w:pPr>
            <w:r>
              <w:rPr>
                <w:rFonts w:ascii="Noto Sans" w:hAnsi="Noto Sans"/>
                <w:b/>
                <w:color w:val="10283A"/>
                <w:sz w:val="17"/>
              </w:rPr>
              <w:t>FIELD DISPATCH</w:t>
              <w:br/>
            </w:r>
            <w:r>
              <w:rPr>
                <w:rFonts w:ascii="Noto Serif" w:hAnsi="Noto Serif"/>
                <w:color w:val="17232C"/>
                <w:sz w:val="21"/>
              </w:rPr>
              <w:t>The final edge architecture is not a smaller copy of the cloud. It is a different social contract: people should retain useful tools, knowledge, and agency even when they cannot purchase bandwidth or expose their data to a distant platform.</w:t>
            </w:r>
          </w:p>
        </w:tc>
      </w:tr>
    </w:tbl>
    <w:p>
      <w:pPr>
        <w:pStyle w:val="Heading2"/>
        <w:widowControl w:val="1"/>
      </w:pPr>
      <w:r>
        <w:t>THE TERRAIN</w:t>
      </w:r>
    </w:p>
    <w:p>
      <w:pPr>
        <w:widowControl w:val="1"/>
      </w:pPr>
      <w:r>
        <w:t>The engineering terrain is defined by consequence, not by device class. In this mission the team must decide which observations are trustworthy, how long knowledge remains fresh, who is allowed to act, and what continues when power or connectivity falls away. The architecture must also fit the local workflow: a system that requires extra documentation, unfamiliar terminology, or constant troubleshooting transfers its cost to the very people it was meant to assist.</w:t>
      </w:r>
    </w:p>
    <w:p>
      <w:pPr>
        <w:widowControl w:val="1"/>
      </w:pPr>
      <w:r>
        <w:t>Design for local ownership, inspectable models, exportable data, language inclusion, repairability, and a path to outside expertise without permanent dependence. Measure success by capability retained locally.</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23" name="Picture 23" title="Figure 22" descr="The edge-world atlas organizes six environments around a local intelligence core."/>
            <wp:cNvGraphicFramePr>
              <a:graphicFrameLocks noChangeAspect="1"/>
            </wp:cNvGraphicFramePr>
            <a:graphic>
              <a:graphicData uri="http://schemas.openxmlformats.org/drawingml/2006/picture">
                <pic:pic>
                  <pic:nvPicPr>
                    <pic:cNvPr id="0" name="fig_world.png"/>
                    <pic:cNvPicPr/>
                  </pic:nvPicPr>
                  <pic:blipFill>
                    <a:blip r:embed="rId12"/>
                    <a:stretch>
                      <a:fillRect/>
                    </a:stretch>
                  </pic:blipFill>
                  <pic:spPr>
                    <a:xfrm>
                      <a:off x="0" y="0"/>
                      <a:ext cx="5074920" cy="3075200"/>
                    </a:xfrm>
                    <a:prstGeom prst="rect"/>
                  </pic:spPr>
                </pic:pic>
              </a:graphicData>
            </a:graphic>
          </wp:inline>
        </w:drawing>
      </w:r>
    </w:p>
    <w:p>
      <w:pPr>
        <w:pStyle w:val="Caption"/>
        <w:keepLines/>
        <w:jc w:val="center"/>
        <w:widowControl w:val="1"/>
      </w:pPr>
      <w:r>
        <w:t>FIELD PLATE 22 — The edge-world atlas organizes six environments around a local intelligence core.</w:t>
      </w:r>
    </w:p>
    <w:p>
      <w:pPr>
        <w:pStyle w:val="Heading2"/>
        <w:pageBreakBefore/>
        <w:widowControl w:val="1"/>
      </w:pPr>
      <w:r>
        <w:t>THE FAILURE DRILL</w:t>
      </w:r>
    </w:p>
    <w:p>
      <w:pPr>
        <w:widowControl w:val="1"/>
      </w:pPr>
      <w:r>
        <w:t>Edge AI can still reproduce centralized extraction if models, updates, keys, and governance remain controlled elsewhere. Offline operation alone does not create autonomy.</w:t>
      </w:r>
    </w:p>
    <w:p>
      <w:pPr>
        <w:widowControl w:val="1"/>
      </w:pPr>
      <w:r>
        <w:t>The failure drill should be performed in shadow mode before the system receives authority. Operators must see the degraded state, know which data is stale or missing, and be able to continue with a manual or deterministic process. Every failure produces an artifact: the triggering condition, the system response, the human decision, and the evidence needed to redesign the control.</w:t>
      </w:r>
    </w:p>
    <w:p>
      <w:pPr>
        <w:pStyle w:val="Heading2"/>
        <w:widowControl w:val="1"/>
      </w:pPr>
      <w:r>
        <w:t>FIELD LOADOUT</w:t>
      </w:r>
    </w:p>
    <w:tbl>
      <w:tblPr>
        <w:tblStyle w:val="TableGrid"/>
        <w:tblW w:type="auto" w:w="0"/>
        <w:jc w:val="center"/>
        <w:tblLayout w:type="fixed"/>
        <w:tblLook w:firstColumn="1" w:firstRow="1" w:lastColumn="0" w:lastRow="0" w:noHBand="0" w:noVBand="1" w:val="04A0"/>
      </w:tblPr>
      <w:tblGrid>
        <w:gridCol w:w="2232"/>
        <w:gridCol w:w="5472"/>
      </w:tblGrid>
      <w:tr>
        <w:trPr>
          <w:cantSplit w:val="1"/>
        </w:trPr>
        <w:tc>
          <w:tcPr>
            <w:tcW w:type="dxa" w:w="4032"/>
            <w:shd w:fill="081522"/>
          </w:tcPr>
          <w:p>
            <w:r>
              <w:rPr>
                <w:rFonts w:ascii="Noto Sans" w:hAnsi="Noto Sans"/>
                <w:b/>
                <w:color w:val="FFFFFF"/>
                <w:sz w:val="16"/>
              </w:rPr>
              <w:t>COMPONENT</w:t>
            </w:r>
          </w:p>
        </w:tc>
        <w:tc>
          <w:tcPr>
            <w:tcW w:type="dxa" w:w="4032"/>
            <w:shd w:fill="081522"/>
          </w:tcPr>
          <w:p>
            <w:r>
              <w:rPr>
                <w:rFonts w:ascii="Noto Sans" w:hAnsi="Noto Sans"/>
                <w:b/>
                <w:color w:val="FFFFFF"/>
                <w:sz w:val="16"/>
              </w:rPr>
              <w:t>FIELD REQUIREMENT</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Repairable local server</w:t>
            </w:r>
          </w:p>
        </w:tc>
        <w:tc>
          <w:tcPr>
            <w:tcW w:type="dxa" w:w="5472"/>
            <w:tcMar>
              <w:top w:w="70" w:type="dxa"/>
              <w:start w:w="90" w:type="dxa"/>
              <w:bottom w:w="70" w:type="dxa"/>
              <w:end w:w="90" w:type="dxa"/>
            </w:tcMar>
          </w:tcPr>
          <w:p>
            <w:pPr>
              <w:spacing w:after="20"/>
              <w:ind w:firstLine="0"/>
            </w:pPr>
            <w:r>
              <w:rPr>
                <w:rFonts w:ascii="Noto Serif" w:hAnsi="Noto Serif"/>
                <w:sz w:val="16"/>
              </w:rPr>
              <w:t>Must remain useful without a wide-area link.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Wi-Fi / mesh access</w:t>
            </w:r>
          </w:p>
        </w:tc>
        <w:tc>
          <w:tcPr>
            <w:tcW w:type="dxa" w:w="5472"/>
            <w:tcMar>
              <w:top w:w="70" w:type="dxa"/>
              <w:start w:w="90" w:type="dxa"/>
              <w:bottom w:w="70" w:type="dxa"/>
              <w:end w:w="90" w:type="dxa"/>
            </w:tcMar>
          </w:tcPr>
          <w:p>
            <w:pPr>
              <w:spacing w:after="20"/>
              <w:ind w:firstLine="0"/>
            </w:pPr>
            <w:r>
              <w:rPr>
                <w:rFonts w:ascii="Noto Serif" w:hAnsi="Noto Serif"/>
                <w:sz w:val="16"/>
              </w:rPr>
              <w:t>Must expose version, health, and provenance.</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Local language corpus</w:t>
            </w:r>
          </w:p>
        </w:tc>
        <w:tc>
          <w:tcPr>
            <w:tcW w:type="dxa" w:w="5472"/>
            <w:tcMar>
              <w:top w:w="70" w:type="dxa"/>
              <w:start w:w="90" w:type="dxa"/>
              <w:bottom w:w="70" w:type="dxa"/>
              <w:end w:w="90" w:type="dxa"/>
            </w:tcMar>
          </w:tcPr>
          <w:p>
            <w:pPr>
              <w:spacing w:after="20"/>
              <w:ind w:firstLine="0"/>
            </w:pPr>
            <w:r>
              <w:rPr>
                <w:rFonts w:ascii="Noto Serif" w:hAnsi="Noto Serif"/>
                <w:sz w:val="16"/>
              </w:rPr>
              <w:t>Must have a deterministic or manual fallback.</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Public-service apps</w:t>
            </w:r>
          </w:p>
        </w:tc>
        <w:tc>
          <w:tcPr>
            <w:tcW w:type="dxa" w:w="5472"/>
            <w:tcMar>
              <w:top w:w="70" w:type="dxa"/>
              <w:start w:w="90" w:type="dxa"/>
              <w:bottom w:w="70" w:type="dxa"/>
              <w:end w:w="90" w:type="dxa"/>
            </w:tcMar>
          </w:tcPr>
          <w:p>
            <w:pPr>
              <w:spacing w:after="20"/>
              <w:ind w:firstLine="0"/>
            </w:pPr>
            <w:r>
              <w:rPr>
                <w:rFonts w:ascii="Noto Serif" w:hAnsi="Noto Serif"/>
                <w:sz w:val="16"/>
              </w:rPr>
              <w:t>Must be replaceable or repairable with available skills.</w:t>
            </w:r>
          </w:p>
        </w:tc>
      </w:tr>
      <w:tr>
        <w:trPr>
          <w:cantSplit w:val="1"/>
        </w:trPr>
        <w:tc>
          <w:tcPr>
            <w:tcW w:type="dxa" w:w="2232"/>
            <w:tcMar>
              <w:top w:w="70" w:type="dxa"/>
              <w:start w:w="90" w:type="dxa"/>
              <w:bottom w:w="70" w:type="dxa"/>
              <w:end w:w="90" w:type="dxa"/>
            </w:tcMar>
          </w:tcPr>
          <w:p>
            <w:pPr>
              <w:spacing w:after="20"/>
              <w:ind w:firstLine="0"/>
            </w:pPr>
            <w:r>
              <w:rPr>
                <w:rFonts w:ascii="Noto Sans" w:hAnsi="Noto Sans"/>
                <w:sz w:val="16"/>
              </w:rPr>
              <w:t>Consent and governance ledger</w:t>
            </w:r>
          </w:p>
        </w:tc>
        <w:tc>
          <w:tcPr>
            <w:tcW w:type="dxa" w:w="5472"/>
            <w:tcMar>
              <w:top w:w="70" w:type="dxa"/>
              <w:start w:w="90" w:type="dxa"/>
              <w:bottom w:w="70" w:type="dxa"/>
              <w:end w:w="90" w:type="dxa"/>
            </w:tcMar>
          </w:tcPr>
          <w:p>
            <w:pPr>
              <w:spacing w:after="20"/>
              <w:ind w:firstLine="0"/>
            </w:pPr>
            <w:r>
              <w:rPr>
                <w:rFonts w:ascii="Noto Serif" w:hAnsi="Noto Serif"/>
                <w:sz w:val="16"/>
              </w:rPr>
              <w:t>Must produce an auditable event when it changes a decision.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rPr>
          <w:cantSplit w:val="1"/>
        </w:trPr>
        <w:tc>
          <w:tcPr>
            <w:tcW w:type="dxa" w:w="8064"/>
            <w:shd w:fill="081522"/>
            <w:tcMar>
              <w:top w:w="150" w:type="dxa"/>
              <w:start w:w="190" w:type="dxa"/>
              <w:bottom w:w="150" w:type="dxa"/>
              <w:end w:w="190" w:type="dxa"/>
            </w:tcMar>
          </w:tcPr>
          <w:p>
            <w:pPr>
              <w:ind w:firstLine="0"/>
              <w:jc w:val="center"/>
            </w:pPr>
            <w:r>
              <w:rPr>
                <w:rFonts w:ascii="Noto Sans" w:hAnsi="Noto Sans"/>
                <w:b/>
                <w:color w:val="F09A4A"/>
                <w:sz w:val="16"/>
              </w:rPr>
              <w:t>FIELD EQUATION</w:t>
              <w:br/>
            </w:r>
            <w:r>
              <w:rPr>
                <w:rFonts w:ascii="DejaVu Sans" w:hAnsi="DejaVu Sans"/>
                <w:b/>
                <w:color w:val="FFFFFF"/>
                <w:sz w:val="21"/>
              </w:rPr>
              <w:t>J = intelligence access × local agency × durability / dependency concentration</w:t>
            </w:r>
          </w:p>
        </w:tc>
      </w:tr>
    </w:tbl>
    <w:p>
      <w:pPr>
        <w:pStyle w:val="Heading2"/>
        <w:widowControl w:val="1"/>
      </w:pPr>
      <w:r>
        <w:t>BUILD LAB</w:t>
      </w:r>
    </w:p>
    <w:p>
      <w:pPr>
        <w:widowControl w:val="1"/>
      </w:pPr>
      <w:r>
        <w:t>Write a field constitution for one deployment. Include the right to manual service, the right to explanation, the right to leave, and the right to keep essential capability after a vendor exits.</w:t>
      </w:r>
    </w:p>
    <w:p>
      <w:pPr>
        <w:pStyle w:val="SmallSans"/>
        <w:ind w:firstLine="0"/>
        <w:widowControl w:val="1"/>
      </w:pPr>
      <w:r>
        <w:rPr>
          <w:b/>
        </w:rPr>
        <w:t xml:space="preserve">Research trail: </w:t>
      </w:r>
      <w:r>
        <w:t>R6,R13,R25,R30. See Research Notes and Sources.</w:t>
      </w:r>
    </w:p>
    <w:p>
      <w:pPr>
        <w:widowControl w:val="1"/>
      </w:pPr>
      <w:r>
        <w:br w:type="page"/>
      </w:r>
    </w:p>
    <w:p>
      <w:pPr>
        <w:pStyle w:val="ExpeditionLabel"/>
        <w:jc w:val="center"/>
        <w:widowControl w:val="1"/>
      </w:pPr>
      <w:r>
        <w:t>ANNEX A</w:t>
      </w:r>
    </w:p>
    <w:p>
      <w:pPr>
        <w:pStyle w:val="MissionTitle"/>
        <w:jc w:val="center"/>
        <w:widowControl w:val="1"/>
      </w:pPr>
      <w:r>
        <w:t>HARDWARE TIERS AND REFERENCE LOADOUTS</w:t>
      </w:r>
    </w:p>
    <w:p>
      <w:pPr>
        <w:keepNext/>
        <w:spacing w:before="100" w:after="40"/>
        <w:ind w:firstLine="0"/>
        <w:jc w:val="center"/>
        <w:widowControl w:val="1"/>
      </w:pPr>
      <w:r>
        <w:drawing>
          <wp:inline xmlns:a="http://schemas.openxmlformats.org/drawingml/2006/main" xmlns:pic="http://schemas.openxmlformats.org/drawingml/2006/picture">
            <wp:extent cx="3657600" cy="2216360"/>
            <wp:docPr id="24" name="Picture 24" title="Figure 23" descr="Five tiers of rugged edge AI hardware."/>
            <wp:cNvGraphicFramePr>
              <a:graphicFrameLocks noChangeAspect="1"/>
            </wp:cNvGraphicFramePr>
            <a:graphic>
              <a:graphicData uri="http://schemas.openxmlformats.org/drawingml/2006/picture">
                <pic:pic>
                  <pic:nvPicPr>
                    <pic:cNvPr id="0" name="fig_hardware.png"/>
                    <pic:cNvPicPr/>
                  </pic:nvPicPr>
                  <pic:blipFill>
                    <a:blip r:embed="rId29"/>
                    <a:stretch>
                      <a:fillRect/>
                    </a:stretch>
                  </pic:blipFill>
                  <pic:spPr>
                    <a:xfrm>
                      <a:off x="0" y="0"/>
                      <a:ext cx="3657600" cy="2216360"/>
                    </a:xfrm>
                    <a:prstGeom prst="rect"/>
                  </pic:spPr>
                </pic:pic>
              </a:graphicData>
            </a:graphic>
          </wp:inline>
        </w:drawing>
      </w:r>
    </w:p>
    <w:p>
      <w:pPr>
        <w:pStyle w:val="Caption"/>
        <w:keepLines/>
        <w:jc w:val="center"/>
        <w:widowControl w:val="1"/>
      </w:pPr>
      <w:r>
        <w:t>FIELD PLATE 23 — Five hardware tiers span sensor intelligence through local micro-clusters.</w:t>
      </w:r>
    </w:p>
    <w:p>
      <w:pPr>
        <w:widowControl w:val="1"/>
      </w:pPr>
      <w:r>
        <w:t>Hardware selection begins with the mission deadline, evidence type, power source, ambient temperature, dust or salt exposure, repair skills, and replacement supply. A benchmark score without enclosure, storage, radio, display, and idle-power measurements is not a deployable specification.</w:t>
      </w:r>
    </w:p>
    <w:p>
      <w:pPr>
        <w:widowControl w:val="1"/>
      </w:pPr>
      <w:r>
        <w:t>Tier 0 sensors perform thresholding, anomaly detection, and wake-up functions with tiny energy budgets. Tier 1 pocket devices support speech, image capture, forms, and compact models. Tier 2 field nodes provide local knowledge, databases, and multi-user service. Tier 3 rugged accelerators run multimodal models or dense perception. Tier 4 micro-clusters serve clinics, ships, bases, cooperatives, and communities.</w:t>
      </w:r>
    </w:p>
    <w:tbl>
      <w:tblPr>
        <w:tblStyle w:val="TableGrid"/>
        <w:tblW w:type="auto" w:w="0"/>
        <w:jc w:val="center"/>
        <w:tblLook w:firstColumn="1" w:firstRow="1" w:lastColumn="0" w:lastRow="0" w:noHBand="0" w:noVBand="1" w:val="04A0"/>
      </w:tblPr>
      <w:tblGrid>
        <w:gridCol w:w="1613"/>
        <w:gridCol w:w="1613"/>
        <w:gridCol w:w="1613"/>
        <w:gridCol w:w="1613"/>
        <w:gridCol w:w="1613"/>
      </w:tblGrid>
      <w:tr>
        <w:tc>
          <w:tcPr>
            <w:tcW w:type="dxa" w:w="1613"/>
            <w:shd w:fill="081522"/>
            <w:tcMar>
              <w:top w:w="25" w:type="dxa"/>
              <w:start w:w="45" w:type="dxa"/>
              <w:bottom w:w="25" w:type="dxa"/>
              <w:end w:w="45" w:type="dxa"/>
            </w:tcMar>
          </w:tcPr>
          <w:p>
            <w:r>
              <w:rPr>
                <w:rFonts w:ascii="Noto Sans" w:hAnsi="Noto Sans"/>
                <w:b/>
                <w:color w:val="FFFFFF"/>
                <w:sz w:val="13"/>
              </w:rPr>
              <w:t>TIER</w:t>
            </w:r>
          </w:p>
        </w:tc>
        <w:tc>
          <w:tcPr>
            <w:tcW w:type="dxa" w:w="1613"/>
            <w:shd w:fill="081522"/>
            <w:tcMar>
              <w:top w:w="25" w:type="dxa"/>
              <w:start w:w="45" w:type="dxa"/>
              <w:bottom w:w="25" w:type="dxa"/>
              <w:end w:w="45" w:type="dxa"/>
            </w:tcMar>
          </w:tcPr>
          <w:p>
            <w:r>
              <w:rPr>
                <w:rFonts w:ascii="Noto Sans" w:hAnsi="Noto Sans"/>
                <w:b/>
                <w:color w:val="FFFFFF"/>
                <w:sz w:val="13"/>
              </w:rPr>
              <w:t>PLATFORM</w:t>
            </w:r>
          </w:p>
        </w:tc>
        <w:tc>
          <w:tcPr>
            <w:tcW w:type="dxa" w:w="1613"/>
            <w:shd w:fill="081522"/>
            <w:tcMar>
              <w:top w:w="25" w:type="dxa"/>
              <w:start w:w="45" w:type="dxa"/>
              <w:bottom w:w="25" w:type="dxa"/>
              <w:end w:w="45" w:type="dxa"/>
            </w:tcMar>
          </w:tcPr>
          <w:p>
            <w:r>
              <w:rPr>
                <w:rFonts w:ascii="Noto Sans" w:hAnsi="Noto Sans"/>
                <w:b/>
                <w:color w:val="FFFFFF"/>
                <w:sz w:val="13"/>
              </w:rPr>
              <w:t>MEMORY</w:t>
            </w:r>
          </w:p>
        </w:tc>
        <w:tc>
          <w:tcPr>
            <w:tcW w:type="dxa" w:w="1613"/>
            <w:shd w:fill="081522"/>
            <w:tcMar>
              <w:top w:w="25" w:type="dxa"/>
              <w:start w:w="45" w:type="dxa"/>
              <w:bottom w:w="25" w:type="dxa"/>
              <w:end w:w="45" w:type="dxa"/>
            </w:tcMar>
          </w:tcPr>
          <w:p>
            <w:r>
              <w:rPr>
                <w:rFonts w:ascii="Noto Sans" w:hAnsi="Noto Sans"/>
                <w:b/>
                <w:color w:val="FFFFFF"/>
                <w:sz w:val="13"/>
              </w:rPr>
              <w:t>POWER</w:t>
            </w:r>
          </w:p>
        </w:tc>
        <w:tc>
          <w:tcPr>
            <w:tcW w:type="dxa" w:w="1613"/>
            <w:shd w:fill="081522"/>
            <w:tcMar>
              <w:top w:w="25" w:type="dxa"/>
              <w:start w:w="45" w:type="dxa"/>
              <w:bottom w:w="25" w:type="dxa"/>
              <w:end w:w="45" w:type="dxa"/>
            </w:tcMar>
          </w:tcPr>
          <w:p>
            <w:r>
              <w:rPr>
                <w:rFonts w:ascii="Noto Sans" w:hAnsi="Noto Sans"/>
                <w:b/>
                <w:color w:val="FFFFFF"/>
                <w:sz w:val="13"/>
              </w:rPr>
              <w:t>BEST USE</w:t>
            </w:r>
          </w:p>
        </w:tc>
      </w:tr>
      <w:tr>
        <w:tc>
          <w:tcPr>
            <w:tcW w:type="dxa" w:w="1613"/>
            <w:tcMar>
              <w:top w:w="25" w:type="dxa"/>
              <w:start w:w="45" w:type="dxa"/>
              <w:bottom w:w="25" w:type="dxa"/>
              <w:end w:w="45" w:type="dxa"/>
            </w:tcMar>
          </w:tcPr>
          <w:p>
            <w:pPr>
              <w:ind w:firstLine="0"/>
            </w:pPr>
            <w:r>
              <w:rPr>
                <w:rFonts w:ascii="Noto Sans" w:hAnsi="Noto Sans"/>
                <w:sz w:val="13"/>
              </w:rPr>
              <w:t>Tier 0</w:t>
            </w:r>
          </w:p>
        </w:tc>
        <w:tc>
          <w:tcPr>
            <w:tcW w:type="dxa" w:w="1613"/>
            <w:tcMar>
              <w:top w:w="25" w:type="dxa"/>
              <w:start w:w="45" w:type="dxa"/>
              <w:bottom w:w="25" w:type="dxa"/>
              <w:end w:w="45" w:type="dxa"/>
            </w:tcMar>
          </w:tcPr>
          <w:p>
            <w:pPr>
              <w:ind w:firstLine="0"/>
            </w:pPr>
            <w:r>
              <w:rPr>
                <w:rFonts w:ascii="Noto Sans" w:hAnsi="Noto Sans"/>
                <w:sz w:val="13"/>
              </w:rPr>
              <w:t>MCU / sensor</w:t>
            </w:r>
          </w:p>
        </w:tc>
        <w:tc>
          <w:tcPr>
            <w:tcW w:type="dxa" w:w="1613"/>
            <w:tcMar>
              <w:top w:w="25" w:type="dxa"/>
              <w:start w:w="45" w:type="dxa"/>
              <w:bottom w:w="25" w:type="dxa"/>
              <w:end w:w="45" w:type="dxa"/>
            </w:tcMar>
          </w:tcPr>
          <w:p>
            <w:pPr>
              <w:ind w:firstLine="0"/>
            </w:pPr>
            <w:r>
              <w:rPr>
                <w:rFonts w:ascii="Noto Sans" w:hAnsi="Noto Sans"/>
                <w:sz w:val="13"/>
              </w:rPr>
              <w:t>&lt;1 MB RAM</w:t>
            </w:r>
          </w:p>
        </w:tc>
        <w:tc>
          <w:tcPr>
            <w:tcW w:type="dxa" w:w="1613"/>
            <w:tcMar>
              <w:top w:w="25" w:type="dxa"/>
              <w:start w:w="45" w:type="dxa"/>
              <w:bottom w:w="25" w:type="dxa"/>
              <w:end w:w="45" w:type="dxa"/>
            </w:tcMar>
          </w:tcPr>
          <w:p>
            <w:pPr>
              <w:ind w:firstLine="0"/>
            </w:pPr>
            <w:r>
              <w:rPr>
                <w:rFonts w:ascii="Noto Sans" w:hAnsi="Noto Sans"/>
                <w:sz w:val="13"/>
              </w:rPr>
              <w:t>µW–mW</w:t>
            </w:r>
          </w:p>
        </w:tc>
        <w:tc>
          <w:tcPr>
            <w:tcW w:type="dxa" w:w="1613"/>
            <w:tcMar>
              <w:top w:w="25" w:type="dxa"/>
              <w:start w:w="45" w:type="dxa"/>
              <w:bottom w:w="25" w:type="dxa"/>
              <w:end w:w="45" w:type="dxa"/>
            </w:tcMar>
          </w:tcPr>
          <w:p>
            <w:pPr>
              <w:ind w:firstLine="0"/>
            </w:pPr>
            <w:r>
              <w:rPr>
                <w:rFonts w:ascii="Noto Sans" w:hAnsi="Noto Sans"/>
                <w:sz w:val="13"/>
              </w:rPr>
              <w:t>Wake words, anomaly, threshold</w:t>
            </w:r>
          </w:p>
        </w:tc>
      </w:tr>
      <w:tr>
        <w:tc>
          <w:tcPr>
            <w:tcW w:type="dxa" w:w="1613"/>
            <w:tcMar>
              <w:top w:w="25" w:type="dxa"/>
              <w:start w:w="45" w:type="dxa"/>
              <w:bottom w:w="25" w:type="dxa"/>
              <w:end w:w="45" w:type="dxa"/>
            </w:tcMar>
          </w:tcPr>
          <w:p>
            <w:pPr>
              <w:ind w:firstLine="0"/>
            </w:pPr>
            <w:r>
              <w:rPr>
                <w:rFonts w:ascii="Noto Sans" w:hAnsi="Noto Sans"/>
                <w:sz w:val="13"/>
              </w:rPr>
              <w:t>Tier 1</w:t>
            </w:r>
          </w:p>
        </w:tc>
        <w:tc>
          <w:tcPr>
            <w:tcW w:type="dxa" w:w="1613"/>
            <w:tcMar>
              <w:top w:w="25" w:type="dxa"/>
              <w:start w:w="45" w:type="dxa"/>
              <w:bottom w:w="25" w:type="dxa"/>
              <w:end w:w="45" w:type="dxa"/>
            </w:tcMar>
          </w:tcPr>
          <w:p>
            <w:pPr>
              <w:ind w:firstLine="0"/>
            </w:pPr>
            <w:r>
              <w:rPr>
                <w:rFonts w:ascii="Noto Sans" w:hAnsi="Noto Sans"/>
                <w:sz w:val="13"/>
              </w:rPr>
              <w:t>Phone / tablet</w:t>
            </w:r>
          </w:p>
        </w:tc>
        <w:tc>
          <w:tcPr>
            <w:tcW w:type="dxa" w:w="1613"/>
            <w:tcMar>
              <w:top w:w="25" w:type="dxa"/>
              <w:start w:w="45" w:type="dxa"/>
              <w:bottom w:w="25" w:type="dxa"/>
              <w:end w:w="45" w:type="dxa"/>
            </w:tcMar>
          </w:tcPr>
          <w:p>
            <w:pPr>
              <w:ind w:firstLine="0"/>
            </w:pPr>
            <w:r>
              <w:rPr>
                <w:rFonts w:ascii="Noto Sans" w:hAnsi="Noto Sans"/>
                <w:sz w:val="13"/>
              </w:rPr>
              <w:t>4–16 GB</w:t>
            </w:r>
          </w:p>
        </w:tc>
        <w:tc>
          <w:tcPr>
            <w:tcW w:type="dxa" w:w="1613"/>
            <w:tcMar>
              <w:top w:w="25" w:type="dxa"/>
              <w:start w:w="45" w:type="dxa"/>
              <w:bottom w:w="25" w:type="dxa"/>
              <w:end w:w="45" w:type="dxa"/>
            </w:tcMar>
          </w:tcPr>
          <w:p>
            <w:pPr>
              <w:ind w:firstLine="0"/>
            </w:pPr>
            <w:r>
              <w:rPr>
                <w:rFonts w:ascii="Noto Sans" w:hAnsi="Noto Sans"/>
                <w:sz w:val="13"/>
              </w:rPr>
              <w:t>2–15 W</w:t>
            </w:r>
          </w:p>
        </w:tc>
        <w:tc>
          <w:tcPr>
            <w:tcW w:type="dxa" w:w="1613"/>
            <w:tcMar>
              <w:top w:w="25" w:type="dxa"/>
              <w:start w:w="45" w:type="dxa"/>
              <w:bottom w:w="25" w:type="dxa"/>
              <w:end w:w="45" w:type="dxa"/>
            </w:tcMar>
          </w:tcPr>
          <w:p>
            <w:pPr>
              <w:ind w:firstLine="0"/>
            </w:pPr>
            <w:r>
              <w:rPr>
                <w:rFonts w:ascii="Noto Sans" w:hAnsi="Noto Sans"/>
                <w:sz w:val="13"/>
              </w:rPr>
              <w:t>Speech, forms, compact vision</w:t>
            </w:r>
          </w:p>
        </w:tc>
      </w:tr>
      <w:tr>
        <w:tc>
          <w:tcPr>
            <w:tcW w:type="dxa" w:w="1613"/>
            <w:tcMar>
              <w:top w:w="25" w:type="dxa"/>
              <w:start w:w="45" w:type="dxa"/>
              <w:bottom w:w="25" w:type="dxa"/>
              <w:end w:w="45" w:type="dxa"/>
            </w:tcMar>
          </w:tcPr>
          <w:p>
            <w:pPr>
              <w:ind w:firstLine="0"/>
            </w:pPr>
            <w:r>
              <w:rPr>
                <w:rFonts w:ascii="Noto Sans" w:hAnsi="Noto Sans"/>
                <w:sz w:val="13"/>
              </w:rPr>
              <w:t>Tier 2</w:t>
            </w:r>
          </w:p>
        </w:tc>
        <w:tc>
          <w:tcPr>
            <w:tcW w:type="dxa" w:w="1613"/>
            <w:tcMar>
              <w:top w:w="25" w:type="dxa"/>
              <w:start w:w="45" w:type="dxa"/>
              <w:bottom w:w="25" w:type="dxa"/>
              <w:end w:w="45" w:type="dxa"/>
            </w:tcMar>
          </w:tcPr>
          <w:p>
            <w:pPr>
              <w:ind w:firstLine="0"/>
            </w:pPr>
            <w:r>
              <w:rPr>
                <w:rFonts w:ascii="Noto Sans" w:hAnsi="Noto Sans"/>
                <w:sz w:val="13"/>
              </w:rPr>
              <w:t>SBC / mini PC</w:t>
            </w:r>
          </w:p>
        </w:tc>
        <w:tc>
          <w:tcPr>
            <w:tcW w:type="dxa" w:w="1613"/>
            <w:tcMar>
              <w:top w:w="25" w:type="dxa"/>
              <w:start w:w="45" w:type="dxa"/>
              <w:bottom w:w="25" w:type="dxa"/>
              <w:end w:w="45" w:type="dxa"/>
            </w:tcMar>
          </w:tcPr>
          <w:p>
            <w:pPr>
              <w:ind w:firstLine="0"/>
            </w:pPr>
            <w:r>
              <w:rPr>
                <w:rFonts w:ascii="Noto Sans" w:hAnsi="Noto Sans"/>
                <w:sz w:val="13"/>
              </w:rPr>
              <w:t>8–64 GB</w:t>
            </w:r>
          </w:p>
        </w:tc>
        <w:tc>
          <w:tcPr>
            <w:tcW w:type="dxa" w:w="1613"/>
            <w:tcMar>
              <w:top w:w="25" w:type="dxa"/>
              <w:start w:w="45" w:type="dxa"/>
              <w:bottom w:w="25" w:type="dxa"/>
              <w:end w:w="45" w:type="dxa"/>
            </w:tcMar>
          </w:tcPr>
          <w:p>
            <w:pPr>
              <w:ind w:firstLine="0"/>
            </w:pPr>
            <w:r>
              <w:rPr>
                <w:rFonts w:ascii="Noto Sans" w:hAnsi="Noto Sans"/>
                <w:sz w:val="13"/>
              </w:rPr>
              <w:t>10–80 W</w:t>
            </w:r>
          </w:p>
        </w:tc>
        <w:tc>
          <w:tcPr>
            <w:tcW w:type="dxa" w:w="1613"/>
            <w:tcMar>
              <w:top w:w="25" w:type="dxa"/>
              <w:start w:w="45" w:type="dxa"/>
              <w:bottom w:w="25" w:type="dxa"/>
              <w:end w:w="45" w:type="dxa"/>
            </w:tcMar>
          </w:tcPr>
          <w:p>
            <w:pPr>
              <w:ind w:firstLine="0"/>
            </w:pPr>
            <w:r>
              <w:rPr>
                <w:rFonts w:ascii="Noto Sans" w:hAnsi="Noto Sans"/>
                <w:sz w:val="13"/>
              </w:rPr>
              <w:t>Local RAG, records, multi-user</w:t>
            </w:r>
          </w:p>
        </w:tc>
      </w:tr>
      <w:tr>
        <w:tc>
          <w:tcPr>
            <w:tcW w:type="dxa" w:w="1613"/>
            <w:tcMar>
              <w:top w:w="25" w:type="dxa"/>
              <w:start w:w="45" w:type="dxa"/>
              <w:bottom w:w="25" w:type="dxa"/>
              <w:end w:w="45" w:type="dxa"/>
            </w:tcMar>
          </w:tcPr>
          <w:p>
            <w:pPr>
              <w:ind w:firstLine="0"/>
            </w:pPr>
            <w:r>
              <w:rPr>
                <w:rFonts w:ascii="Noto Sans" w:hAnsi="Noto Sans"/>
                <w:sz w:val="13"/>
              </w:rPr>
              <w:t>Tier 3</w:t>
            </w:r>
          </w:p>
        </w:tc>
        <w:tc>
          <w:tcPr>
            <w:tcW w:type="dxa" w:w="1613"/>
            <w:tcMar>
              <w:top w:w="25" w:type="dxa"/>
              <w:start w:w="45" w:type="dxa"/>
              <w:bottom w:w="25" w:type="dxa"/>
              <w:end w:w="45" w:type="dxa"/>
            </w:tcMar>
          </w:tcPr>
          <w:p>
            <w:pPr>
              <w:ind w:firstLine="0"/>
            </w:pPr>
            <w:r>
              <w:rPr>
                <w:rFonts w:ascii="Noto Sans" w:hAnsi="Noto Sans"/>
                <w:sz w:val="13"/>
              </w:rPr>
              <w:t>Rugged GPU / NPU</w:t>
            </w:r>
          </w:p>
        </w:tc>
        <w:tc>
          <w:tcPr>
            <w:tcW w:type="dxa" w:w="1613"/>
            <w:tcMar>
              <w:top w:w="25" w:type="dxa"/>
              <w:start w:w="45" w:type="dxa"/>
              <w:bottom w:w="25" w:type="dxa"/>
              <w:end w:w="45" w:type="dxa"/>
            </w:tcMar>
          </w:tcPr>
          <w:p>
            <w:pPr>
              <w:ind w:firstLine="0"/>
            </w:pPr>
            <w:r>
              <w:rPr>
                <w:rFonts w:ascii="Noto Sans" w:hAnsi="Noto Sans"/>
                <w:sz w:val="13"/>
              </w:rPr>
              <w:t>16–128 GB</w:t>
            </w:r>
          </w:p>
        </w:tc>
        <w:tc>
          <w:tcPr>
            <w:tcW w:type="dxa" w:w="1613"/>
            <w:tcMar>
              <w:top w:w="25" w:type="dxa"/>
              <w:start w:w="45" w:type="dxa"/>
              <w:bottom w:w="25" w:type="dxa"/>
              <w:end w:w="45" w:type="dxa"/>
            </w:tcMar>
          </w:tcPr>
          <w:p>
            <w:pPr>
              <w:ind w:firstLine="0"/>
            </w:pPr>
            <w:r>
              <w:rPr>
                <w:rFonts w:ascii="Noto Sans" w:hAnsi="Noto Sans"/>
                <w:sz w:val="13"/>
              </w:rPr>
              <w:t>50–500 W</w:t>
            </w:r>
          </w:p>
        </w:tc>
        <w:tc>
          <w:tcPr>
            <w:tcW w:type="dxa" w:w="1613"/>
            <w:tcMar>
              <w:top w:w="25" w:type="dxa"/>
              <w:start w:w="45" w:type="dxa"/>
              <w:bottom w:w="25" w:type="dxa"/>
              <w:end w:w="45" w:type="dxa"/>
            </w:tcMar>
          </w:tcPr>
          <w:p>
            <w:pPr>
              <w:ind w:firstLine="0"/>
            </w:pPr>
            <w:r>
              <w:rPr>
                <w:rFonts w:ascii="Noto Sans" w:hAnsi="Noto Sans"/>
                <w:sz w:val="13"/>
              </w:rPr>
              <w:t>VLM, mapping, perception</w:t>
            </w:r>
          </w:p>
        </w:tc>
      </w:tr>
      <w:tr>
        <w:tc>
          <w:tcPr>
            <w:tcW w:type="dxa" w:w="1613"/>
            <w:tcMar>
              <w:top w:w="25" w:type="dxa"/>
              <w:start w:w="45" w:type="dxa"/>
              <w:bottom w:w="25" w:type="dxa"/>
              <w:end w:w="45" w:type="dxa"/>
            </w:tcMar>
          </w:tcPr>
          <w:p>
            <w:pPr>
              <w:ind w:firstLine="0"/>
            </w:pPr>
            <w:r>
              <w:rPr>
                <w:rFonts w:ascii="Noto Sans" w:hAnsi="Noto Sans"/>
                <w:sz w:val="13"/>
              </w:rPr>
              <w:t>Tier 4</w:t>
            </w:r>
          </w:p>
        </w:tc>
        <w:tc>
          <w:tcPr>
            <w:tcW w:type="dxa" w:w="1613"/>
            <w:tcMar>
              <w:top w:w="25" w:type="dxa"/>
              <w:start w:w="45" w:type="dxa"/>
              <w:bottom w:w="25" w:type="dxa"/>
              <w:end w:w="45" w:type="dxa"/>
            </w:tcMar>
          </w:tcPr>
          <w:p>
            <w:pPr>
              <w:ind w:firstLine="0"/>
            </w:pPr>
            <w:r>
              <w:rPr>
                <w:rFonts w:ascii="Noto Sans" w:hAnsi="Noto Sans"/>
                <w:sz w:val="13"/>
              </w:rPr>
              <w:t>Micro-cluster</w:t>
            </w:r>
          </w:p>
        </w:tc>
        <w:tc>
          <w:tcPr>
            <w:tcW w:type="dxa" w:w="1613"/>
            <w:tcMar>
              <w:top w:w="25" w:type="dxa"/>
              <w:start w:w="45" w:type="dxa"/>
              <w:bottom w:w="25" w:type="dxa"/>
              <w:end w:w="45" w:type="dxa"/>
            </w:tcMar>
          </w:tcPr>
          <w:p>
            <w:pPr>
              <w:ind w:firstLine="0"/>
            </w:pPr>
            <w:r>
              <w:rPr>
                <w:rFonts w:ascii="Noto Sans" w:hAnsi="Noto Sans"/>
                <w:sz w:val="13"/>
              </w:rPr>
              <w:t>100+ GB</w:t>
            </w:r>
          </w:p>
        </w:tc>
        <w:tc>
          <w:tcPr>
            <w:tcW w:type="dxa" w:w="1613"/>
            <w:tcMar>
              <w:top w:w="25" w:type="dxa"/>
              <w:start w:w="45" w:type="dxa"/>
              <w:bottom w:w="25" w:type="dxa"/>
              <w:end w:w="45" w:type="dxa"/>
            </w:tcMar>
          </w:tcPr>
          <w:p>
            <w:pPr>
              <w:ind w:firstLine="0"/>
            </w:pPr>
            <w:r>
              <w:rPr>
                <w:rFonts w:ascii="Noto Sans" w:hAnsi="Noto Sans"/>
                <w:sz w:val="13"/>
              </w:rPr>
              <w:t>0.5–5 kW</w:t>
            </w:r>
          </w:p>
        </w:tc>
        <w:tc>
          <w:tcPr>
            <w:tcW w:type="dxa" w:w="1613"/>
            <w:tcMar>
              <w:top w:w="25" w:type="dxa"/>
              <w:start w:w="45" w:type="dxa"/>
              <w:bottom w:w="25" w:type="dxa"/>
              <w:end w:w="45" w:type="dxa"/>
            </w:tcMar>
          </w:tcPr>
          <w:p>
            <w:pPr>
              <w:ind w:firstLine="0"/>
            </w:pPr>
            <w:r>
              <w:rPr>
                <w:rFonts w:ascii="Noto Sans" w:hAnsi="Noto Sans"/>
                <w:sz w:val="13"/>
              </w:rPr>
              <w:t>Community or ship service</w:t>
            </w:r>
          </w:p>
        </w:tc>
      </w:tr>
    </w:tbl>
    <w:p>
      <w:pPr>
        <w:widowControl w:val="1"/>
      </w:pPr>
      <w:r>
        <w:br w:type="page"/>
      </w:r>
    </w:p>
    <w:p>
      <w:pPr>
        <w:pStyle w:val="ExpeditionLabel"/>
        <w:jc w:val="center"/>
        <w:widowControl w:val="1"/>
      </w:pPr>
      <w:r>
        <w:t>ANNEX B</w:t>
      </w:r>
    </w:p>
    <w:p>
      <w:pPr>
        <w:pStyle w:val="MissionTitle"/>
        <w:jc w:val="center"/>
        <w:widowControl w:val="1"/>
      </w:pPr>
      <w:r>
        <w:t>MODEL OPTIMIZATION AND COMPILATION</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25" name="Picture 25" title="Figure 24" descr="A cascade from deterministic rules to remote experts."/>
            <wp:cNvGraphicFramePr>
              <a:graphicFrameLocks noChangeAspect="1"/>
            </wp:cNvGraphicFramePr>
            <a:graphic>
              <a:graphicData uri="http://schemas.openxmlformats.org/drawingml/2006/picture">
                <pic:pic>
                  <pic:nvPicPr>
                    <pic:cNvPr id="0" name="fig_cascade.png"/>
                    <pic:cNvPicPr/>
                  </pic:nvPicPr>
                  <pic:blipFill>
                    <a:blip r:embed="rId23"/>
                    <a:stretch>
                      <a:fillRect/>
                    </a:stretch>
                  </pic:blipFill>
                  <pic:spPr>
                    <a:xfrm>
                      <a:off x="0" y="0"/>
                      <a:ext cx="5074920" cy="3075200"/>
                    </a:xfrm>
                    <a:prstGeom prst="rect"/>
                  </pic:spPr>
                </pic:pic>
              </a:graphicData>
            </a:graphic>
          </wp:inline>
        </w:drawing>
      </w:r>
    </w:p>
    <w:p>
      <w:pPr>
        <w:pStyle w:val="Caption"/>
        <w:keepLines/>
        <w:jc w:val="center"/>
        <w:widowControl w:val="1"/>
      </w:pPr>
      <w:r>
        <w:t>FIELD PLATE 24 — A model cascade avoids spending large-model energy on every event.</w:t>
      </w:r>
    </w:p>
    <w:p>
      <w:pPr>
        <w:pStyle w:val="Heading2"/>
        <w:widowControl w:val="1"/>
      </w:pPr>
      <w:r>
        <w:t>1. Start with task boundaries</w:t>
      </w:r>
    </w:p>
    <w:p>
      <w:pPr>
        <w:widowControl w:val="1"/>
      </w:pPr>
      <w:r>
        <w:t>Specify input sensors, output schema, deadline, false-positive cost, false-negative cost, operating domain, and refusal behavior before selecting a model.</w:t>
      </w:r>
    </w:p>
    <w:p>
      <w:pPr>
        <w:pStyle w:val="Heading2"/>
        <w:widowControl w:val="1"/>
      </w:pPr>
      <w:r>
        <w:t>2. Compress with evidence</w:t>
      </w:r>
    </w:p>
    <w:p>
      <w:pPr>
        <w:widowControl w:val="1"/>
      </w:pPr>
      <w:r>
        <w:t>Quantization, pruning, distillation, low-rank adaptation, smaller input resolution, and early-exit networks can reduce cost. Every optimization must be reevaluated on field distributions, calibration, and rare cases.</w:t>
      </w:r>
    </w:p>
    <w:p>
      <w:pPr>
        <w:pStyle w:val="Heading2"/>
        <w:widowControl w:val="1"/>
      </w:pPr>
      <w:r>
        <w:t>3. Compile for the real target</w:t>
      </w:r>
    </w:p>
    <w:p>
      <w:pPr>
        <w:widowControl w:val="1"/>
      </w:pPr>
      <w:r>
        <w:t>Use the actual runtime, operators, memory limits, and thermal envelope. Measure cold start, steady-state latency, idle power, radio cost, and recovery after interruption.</w:t>
      </w:r>
    </w:p>
    <w:p>
      <w:pPr>
        <w:pStyle w:val="Heading2"/>
        <w:widowControl w:val="1"/>
      </w:pPr>
      <w:r>
        <w:t>4. Separate interpretation from control</w:t>
      </w:r>
    </w:p>
    <w:p>
      <w:pPr>
        <w:widowControl w:val="1"/>
      </w:pPr>
      <w:r>
        <w:t>Generative or multimodal models may explain and contextualize. Deterministic validators enforce schemas, limits, and safety interlocks.</w:t>
      </w:r>
    </w:p>
    <w:p>
      <w:pPr>
        <w:pStyle w:val="Heading2"/>
        <w:widowControl w:val="1"/>
      </w:pPr>
      <w:r>
        <w:t>5. Preserve rollback</w:t>
      </w:r>
    </w:p>
    <w:p>
      <w:pPr>
        <w:widowControl w:val="1"/>
      </w:pPr>
      <w:r>
        <w:t>Ship signed model bundles with compatibility metadata, known limitations, benchmark results, and a tested rollback path that does not require the failed network.</w:t>
      </w:r>
    </w:p>
    <w:p>
      <w:pPr>
        <w:pStyle w:val="Heading2"/>
        <w:widowControl w:val="1"/>
      </w:pPr>
      <w:r>
        <w:t>FIELD RELEASE CHECKLIST</w:t>
      </w:r>
    </w:p>
    <w:p>
      <w:pPr>
        <w:spacing w:after="40"/>
        <w:ind w:left="259" w:hanging="259"/>
        <w:widowControl w:val="1"/>
      </w:pPr>
      <w:r>
        <w:t>□  Benchmark on the actual target at hot and cold operating temperatures.</w:t>
      </w:r>
    </w:p>
    <w:p>
      <w:pPr>
        <w:spacing w:after="40"/>
        <w:ind w:left="259" w:hanging="259"/>
        <w:widowControl w:val="1"/>
      </w:pPr>
      <w:r>
        <w:t>□  Measure calibration and rare-case behavior after every compression step.</w:t>
      </w:r>
    </w:p>
    <w:p>
      <w:pPr>
        <w:spacing w:after="40"/>
        <w:ind w:left="259" w:hanging="259"/>
        <w:widowControl w:val="1"/>
      </w:pPr>
      <w:r>
        <w:t>□  Sign model, tokenizer, policy, runtime, and compatibility metadata as one bundle.</w:t>
      </w:r>
    </w:p>
    <w:p>
      <w:pPr>
        <w:spacing w:after="40"/>
        <w:ind w:left="259" w:hanging="259"/>
        <w:widowControl w:val="1"/>
      </w:pPr>
      <w:r>
        <w:t>□  Run a no-network install, rollback, and recovery exercise with field operators.</w:t>
      </w:r>
    </w:p>
    <w:p>
      <w:pPr>
        <w:spacing w:after="40"/>
        <w:ind w:left="259" w:hanging="259"/>
        <w:widowControl w:val="1"/>
      </w:pPr>
      <w:r>
        <w:t>□  Record the authority envelope and refusal conditions beside the performance score.</w:t>
      </w:r>
    </w:p>
    <w:p>
      <w:pPr>
        <w:widowControl w:val="1"/>
      </w:pPr>
      <w:r>
        <w:br w:type="page"/>
      </w:r>
    </w:p>
    <w:p>
      <w:pPr>
        <w:pStyle w:val="ExpeditionLabel"/>
        <w:jc w:val="center"/>
        <w:widowControl w:val="1"/>
      </w:pPr>
      <w:r>
        <w:t>ANNEX C</w:t>
      </w:r>
    </w:p>
    <w:p>
      <w:pPr>
        <w:pStyle w:val="MissionTitle"/>
        <w:jc w:val="center"/>
        <w:widowControl w:val="1"/>
      </w:pPr>
      <w:r>
        <w:t>SYNCHRONIZATION AND UPDATE PROTOCOLS</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26" name="Picture 26" title="Figure 25" descr="A five-step delay-tolerant synchronization protocol."/>
            <wp:cNvGraphicFramePr>
              <a:graphicFrameLocks noChangeAspect="1"/>
            </wp:cNvGraphicFramePr>
            <a:graphic>
              <a:graphicData uri="http://schemas.openxmlformats.org/drawingml/2006/picture">
                <pic:pic>
                  <pic:nvPicPr>
                    <pic:cNvPr id="0" name="fig_sync.png"/>
                    <pic:cNvPicPr/>
                  </pic:nvPicPr>
                  <pic:blipFill>
                    <a:blip r:embed="rId21"/>
                    <a:stretch>
                      <a:fillRect/>
                    </a:stretch>
                  </pic:blipFill>
                  <pic:spPr>
                    <a:xfrm>
                      <a:off x="0" y="0"/>
                      <a:ext cx="5074920" cy="3075200"/>
                    </a:xfrm>
                    <a:prstGeom prst="rect"/>
                  </pic:spPr>
                </pic:pic>
              </a:graphicData>
            </a:graphic>
          </wp:inline>
        </w:drawing>
      </w:r>
    </w:p>
    <w:p>
      <w:pPr>
        <w:pStyle w:val="Caption"/>
        <w:keepLines/>
        <w:jc w:val="center"/>
        <w:widowControl w:val="1"/>
      </w:pPr>
      <w:r>
        <w:t>FIELD PLATE 25 — The synchronization order protects urgent facts and auditability under brief connections.</w:t>
      </w:r>
    </w:p>
    <w:p>
      <w:pPr>
        <w:widowControl w:val="1"/>
      </w:pPr>
      <w:r>
        <w:t>Every node maintains an append-only local event log, a content-addressed object store, and a manifest of model, knowledge, policy, and data versions. Synchronization begins by exchanging manifests and clocks. Nodes then transfer safety alerts, revocations, identity corrections, and small knowledge deltas before bulk media.</w:t>
      </w:r>
    </w:p>
    <w:p>
      <w:pPr>
        <w:widowControl w:val="1"/>
      </w:pPr>
      <w:r>
        <w:t>Conflicts are typed. Routine cache conflicts can use automatic merge rules. Clinical facts, safety events, consent records, and governance decisions remain as parallel versions until an authorized resolver acts. The reconciliation result points to both inputs and the person or policy that selected the outcome.</w:t>
      </w:r>
    </w:p>
    <w:p>
      <w:pPr>
        <w:widowControl w:val="1"/>
      </w:pPr>
      <w:r>
        <w:t>Updates are staged: download, verify signature, check compatibility, run local self-tests, enter shadow mode, promote, and retain rollback. A node should never discover that an update requires more memory or changes an input schema after replacing the only working version.</w:t>
      </w:r>
    </w:p>
    <w:p>
      <w:pPr>
        <w:widowControl w:val="1"/>
      </w:pPr>
      <w:r>
        <w:br w:type="page"/>
      </w:r>
    </w:p>
    <w:p>
      <w:pPr>
        <w:pStyle w:val="ExpeditionLabel"/>
        <w:jc w:val="center"/>
        <w:widowControl w:val="1"/>
      </w:pPr>
      <w:r>
        <w:t>ANNEX D</w:t>
      </w:r>
    </w:p>
    <w:p>
      <w:pPr>
        <w:pStyle w:val="MissionTitle"/>
        <w:jc w:val="center"/>
        <w:widowControl w:val="1"/>
      </w:pPr>
      <w:r>
        <w:t>SAFETY-CASE AND FAILURE-DRILL TEMPLATES</w:t>
      </w:r>
    </w:p>
    <w:p>
      <w:pPr>
        <w:keepNext/>
        <w:spacing w:before="100" w:after="40"/>
        <w:ind w:firstLine="0"/>
        <w:jc w:val="center"/>
        <w:widowControl w:val="1"/>
      </w:pPr>
      <w:r>
        <w:drawing>
          <wp:inline xmlns:a="http://schemas.openxmlformats.org/drawingml/2006/main" xmlns:pic="http://schemas.openxmlformats.org/drawingml/2006/picture">
            <wp:extent cx="5074920" cy="4384371"/>
            <wp:docPr id="27" name="Picture 27" title="Figure 26" descr="Heat map of failure drill priority across edge environments."/>
            <wp:cNvGraphicFramePr>
              <a:graphicFrameLocks noChangeAspect="1"/>
            </wp:cNvGraphicFramePr>
            <a:graphic>
              <a:graphicData uri="http://schemas.openxmlformats.org/drawingml/2006/picture">
                <pic:pic>
                  <pic:nvPicPr>
                    <pic:cNvPr id="0" name="fig_failure_matrix.png"/>
                    <pic:cNvPicPr/>
                  </pic:nvPicPr>
                  <pic:blipFill>
                    <a:blip r:embed="rId25"/>
                    <a:stretch>
                      <a:fillRect/>
                    </a:stretch>
                  </pic:blipFill>
                  <pic:spPr>
                    <a:xfrm>
                      <a:off x="0" y="0"/>
                      <a:ext cx="5074920" cy="4384371"/>
                    </a:xfrm>
                    <a:prstGeom prst="rect"/>
                  </pic:spPr>
                </pic:pic>
              </a:graphicData>
            </a:graphic>
          </wp:inline>
        </w:drawing>
      </w:r>
    </w:p>
    <w:p>
      <w:pPr>
        <w:pStyle w:val="Caption"/>
        <w:keepLines/>
        <w:jc w:val="center"/>
        <w:widowControl w:val="1"/>
      </w:pPr>
      <w:r>
        <w:t>FIELD PLATE 26 — A cross-theater matrix helps teams prioritize failure drills by consequence.</w:t>
      </w:r>
    </w:p>
    <w:tbl>
      <w:tblPr>
        <w:tblStyle w:val="TableGrid"/>
        <w:tblW w:type="auto" w:w="0"/>
        <w:jc w:val="center"/>
        <w:tblLook w:firstColumn="1" w:firstRow="1" w:lastColumn="0" w:lastRow="0" w:noHBand="0" w:noVBand="1" w:val="04A0"/>
      </w:tblPr>
      <w:tblGrid>
        <w:gridCol w:w="4032"/>
        <w:gridCol w:w="4032"/>
      </w:tblGrid>
      <w:tr>
        <w:tc>
          <w:tcPr>
            <w:tcW w:type="dxa" w:w="4032"/>
            <w:shd w:fill="081522"/>
          </w:tcPr>
          <w:p>
            <w:r>
              <w:rPr>
                <w:rFonts w:ascii="Noto Sans" w:hAnsi="Noto Sans"/>
                <w:b/>
                <w:color w:val="FFFFFF"/>
                <w:sz w:val="16"/>
              </w:rPr>
              <w:t>SAFETY-CASE FIELD</w:t>
            </w:r>
          </w:p>
        </w:tc>
        <w:tc>
          <w:tcPr>
            <w:tcW w:type="dxa" w:w="4032"/>
            <w:shd w:fill="081522"/>
          </w:tcPr>
          <w:p>
            <w:r>
              <w:rPr>
                <w:rFonts w:ascii="Noto Sans" w:hAnsi="Noto Sans"/>
                <w:b/>
                <w:color w:val="FFFFFF"/>
                <w:sz w:val="16"/>
              </w:rPr>
              <w:t>REQUIRED CONTENT</w:t>
            </w:r>
          </w:p>
        </w:tc>
      </w:tr>
      <w:tr>
        <w:tc>
          <w:tcPr>
            <w:tcW w:type="dxa" w:w="4032"/>
            <w:tcMar>
              <w:top w:w="75" w:type="dxa"/>
              <w:start w:w="90" w:type="dxa"/>
              <w:bottom w:w="75" w:type="dxa"/>
              <w:end w:w="90" w:type="dxa"/>
            </w:tcMar>
          </w:tcPr>
          <w:p>
            <w:pPr>
              <w:ind w:firstLine="0"/>
            </w:pPr>
            <w:r>
              <w:rPr>
                <w:rFonts w:ascii="Noto Sans" w:hAnsi="Noto Sans"/>
                <w:sz w:val="17"/>
              </w:rPr>
              <w:t>Mission claim</w:t>
            </w:r>
          </w:p>
        </w:tc>
        <w:tc>
          <w:tcPr>
            <w:tcW w:type="dxa" w:w="4032"/>
            <w:tcMar>
              <w:top w:w="75" w:type="dxa"/>
              <w:start w:w="90" w:type="dxa"/>
              <w:bottom w:w="75" w:type="dxa"/>
              <w:end w:w="90" w:type="dxa"/>
            </w:tcMar>
          </w:tcPr>
          <w:p>
            <w:pPr>
              <w:ind w:firstLine="0"/>
            </w:pPr>
            <w:r>
              <w:rPr>
                <w:rFonts w:ascii="Noto Serif" w:hAnsi="Noto Serif"/>
                <w:sz w:val="17"/>
              </w:rPr>
              <w:t>What capability is being claimed, for whom, in what operating domain?</w:t>
            </w:r>
          </w:p>
        </w:tc>
      </w:tr>
      <w:tr>
        <w:tc>
          <w:tcPr>
            <w:tcW w:type="dxa" w:w="4032"/>
            <w:tcMar>
              <w:top w:w="75" w:type="dxa"/>
              <w:start w:w="90" w:type="dxa"/>
              <w:bottom w:w="75" w:type="dxa"/>
              <w:end w:w="90" w:type="dxa"/>
            </w:tcMar>
          </w:tcPr>
          <w:p>
            <w:pPr>
              <w:ind w:firstLine="0"/>
            </w:pPr>
            <w:r>
              <w:rPr>
                <w:rFonts w:ascii="Noto Sans" w:hAnsi="Noto Sans"/>
                <w:sz w:val="17"/>
              </w:rPr>
              <w:t>Evidence</w:t>
            </w:r>
          </w:p>
        </w:tc>
        <w:tc>
          <w:tcPr>
            <w:tcW w:type="dxa" w:w="4032"/>
            <w:tcMar>
              <w:top w:w="75" w:type="dxa"/>
              <w:start w:w="90" w:type="dxa"/>
              <w:bottom w:w="75" w:type="dxa"/>
              <w:end w:w="90" w:type="dxa"/>
            </w:tcMar>
          </w:tcPr>
          <w:p>
            <w:pPr>
              <w:ind w:firstLine="0"/>
            </w:pPr>
            <w:r>
              <w:rPr>
                <w:rFonts w:ascii="Noto Serif" w:hAnsi="Noto Serif"/>
                <w:sz w:val="17"/>
              </w:rPr>
              <w:t>Which tests, field observations, standards, and expert reviews support the claim?</w:t>
            </w:r>
          </w:p>
        </w:tc>
      </w:tr>
      <w:tr>
        <w:tc>
          <w:tcPr>
            <w:tcW w:type="dxa" w:w="4032"/>
            <w:tcMar>
              <w:top w:w="75" w:type="dxa"/>
              <w:start w:w="90" w:type="dxa"/>
              <w:bottom w:w="75" w:type="dxa"/>
              <w:end w:w="90" w:type="dxa"/>
            </w:tcMar>
          </w:tcPr>
          <w:p>
            <w:pPr>
              <w:ind w:firstLine="0"/>
            </w:pPr>
            <w:r>
              <w:rPr>
                <w:rFonts w:ascii="Noto Sans" w:hAnsi="Noto Sans"/>
                <w:sz w:val="17"/>
              </w:rPr>
              <w:t>Hazards</w:t>
            </w:r>
          </w:p>
        </w:tc>
        <w:tc>
          <w:tcPr>
            <w:tcW w:type="dxa" w:w="4032"/>
            <w:tcMar>
              <w:top w:w="75" w:type="dxa"/>
              <w:start w:w="90" w:type="dxa"/>
              <w:bottom w:w="75" w:type="dxa"/>
              <w:end w:w="90" w:type="dxa"/>
            </w:tcMar>
          </w:tcPr>
          <w:p>
            <w:pPr>
              <w:ind w:firstLine="0"/>
            </w:pPr>
            <w:r>
              <w:rPr>
                <w:rFonts w:ascii="Noto Serif" w:hAnsi="Noto Serif"/>
                <w:sz w:val="17"/>
              </w:rPr>
              <w:t>What can fail physically, computationally, socially, or procedurally?</w:t>
            </w:r>
          </w:p>
        </w:tc>
      </w:tr>
      <w:tr>
        <w:tc>
          <w:tcPr>
            <w:tcW w:type="dxa" w:w="4032"/>
            <w:tcMar>
              <w:top w:w="75" w:type="dxa"/>
              <w:start w:w="90" w:type="dxa"/>
              <w:bottom w:w="75" w:type="dxa"/>
              <w:end w:w="90" w:type="dxa"/>
            </w:tcMar>
          </w:tcPr>
          <w:p>
            <w:pPr>
              <w:ind w:firstLine="0"/>
            </w:pPr>
            <w:r>
              <w:rPr>
                <w:rFonts w:ascii="Noto Sans" w:hAnsi="Noto Sans"/>
                <w:sz w:val="17"/>
              </w:rPr>
              <w:t>Controls</w:t>
            </w:r>
          </w:p>
        </w:tc>
        <w:tc>
          <w:tcPr>
            <w:tcW w:type="dxa" w:w="4032"/>
            <w:tcMar>
              <w:top w:w="75" w:type="dxa"/>
              <w:start w:w="90" w:type="dxa"/>
              <w:bottom w:w="75" w:type="dxa"/>
              <w:end w:w="90" w:type="dxa"/>
            </w:tcMar>
          </w:tcPr>
          <w:p>
            <w:pPr>
              <w:ind w:firstLine="0"/>
            </w:pPr>
            <w:r>
              <w:rPr>
                <w:rFonts w:ascii="Noto Serif" w:hAnsi="Noto Serif"/>
                <w:sz w:val="17"/>
              </w:rPr>
              <w:t>Which independent controls prevent, detect, limit, and recover from each hazard?</w:t>
            </w:r>
          </w:p>
        </w:tc>
      </w:tr>
      <w:tr>
        <w:tc>
          <w:tcPr>
            <w:tcW w:type="dxa" w:w="4032"/>
            <w:tcMar>
              <w:top w:w="75" w:type="dxa"/>
              <w:start w:w="90" w:type="dxa"/>
              <w:bottom w:w="75" w:type="dxa"/>
              <w:end w:w="90" w:type="dxa"/>
            </w:tcMar>
          </w:tcPr>
          <w:p>
            <w:pPr>
              <w:ind w:firstLine="0"/>
            </w:pPr>
            <w:r>
              <w:rPr>
                <w:rFonts w:ascii="Noto Sans" w:hAnsi="Noto Sans"/>
                <w:sz w:val="17"/>
              </w:rPr>
              <w:t>Authority</w:t>
            </w:r>
          </w:p>
        </w:tc>
        <w:tc>
          <w:tcPr>
            <w:tcW w:type="dxa" w:w="4032"/>
            <w:tcMar>
              <w:top w:w="75" w:type="dxa"/>
              <w:start w:w="90" w:type="dxa"/>
              <w:bottom w:w="75" w:type="dxa"/>
              <w:end w:w="90" w:type="dxa"/>
            </w:tcMar>
          </w:tcPr>
          <w:p>
            <w:pPr>
              <w:ind w:firstLine="0"/>
            </w:pPr>
            <w:r>
              <w:rPr>
                <w:rFonts w:ascii="Noto Serif" w:hAnsi="Noto Serif"/>
                <w:sz w:val="17"/>
              </w:rPr>
              <w:t>Who may approve, override, stop, and restart the system?</w:t>
            </w:r>
          </w:p>
        </w:tc>
      </w:tr>
      <w:tr>
        <w:tc>
          <w:tcPr>
            <w:tcW w:type="dxa" w:w="4032"/>
            <w:tcMar>
              <w:top w:w="75" w:type="dxa"/>
              <w:start w:w="90" w:type="dxa"/>
              <w:bottom w:w="75" w:type="dxa"/>
              <w:end w:w="90" w:type="dxa"/>
            </w:tcMar>
          </w:tcPr>
          <w:p>
            <w:pPr>
              <w:ind w:firstLine="0"/>
            </w:pPr>
            <w:r>
              <w:rPr>
                <w:rFonts w:ascii="Noto Sans" w:hAnsi="Noto Sans"/>
                <w:sz w:val="17"/>
              </w:rPr>
              <w:t>Residual risk</w:t>
            </w:r>
          </w:p>
        </w:tc>
        <w:tc>
          <w:tcPr>
            <w:tcW w:type="dxa" w:w="4032"/>
            <w:tcMar>
              <w:top w:w="75" w:type="dxa"/>
              <w:start w:w="90" w:type="dxa"/>
              <w:bottom w:w="75" w:type="dxa"/>
              <w:end w:w="90" w:type="dxa"/>
            </w:tcMar>
          </w:tcPr>
          <w:p>
            <w:pPr>
              <w:ind w:firstLine="0"/>
            </w:pPr>
            <w:r>
              <w:rPr>
                <w:rFonts w:ascii="Noto Serif" w:hAnsi="Noto Serif"/>
                <w:sz w:val="17"/>
              </w:rPr>
              <w:t>What remains uncertain, and who has accepted that uncertainty?</w:t>
            </w:r>
          </w:p>
        </w:tc>
      </w:tr>
      <w:tr>
        <w:tc>
          <w:tcPr>
            <w:tcW w:type="dxa" w:w="4032"/>
            <w:tcMar>
              <w:top w:w="75" w:type="dxa"/>
              <w:start w:w="90" w:type="dxa"/>
              <w:bottom w:w="75" w:type="dxa"/>
              <w:end w:w="90" w:type="dxa"/>
            </w:tcMar>
          </w:tcPr>
          <w:p>
            <w:pPr>
              <w:ind w:firstLine="0"/>
            </w:pPr>
            <w:r>
              <w:rPr>
                <w:rFonts w:ascii="Noto Sans" w:hAnsi="Noto Sans"/>
                <w:sz w:val="17"/>
              </w:rPr>
              <w:t>Monitoring</w:t>
            </w:r>
          </w:p>
        </w:tc>
        <w:tc>
          <w:tcPr>
            <w:tcW w:type="dxa" w:w="4032"/>
            <w:tcMar>
              <w:top w:w="75" w:type="dxa"/>
              <w:start w:w="90" w:type="dxa"/>
              <w:bottom w:w="75" w:type="dxa"/>
              <w:end w:w="90" w:type="dxa"/>
            </w:tcMar>
          </w:tcPr>
          <w:p>
            <w:pPr>
              <w:ind w:firstLine="0"/>
            </w:pPr>
            <w:r>
              <w:rPr>
                <w:rFonts w:ascii="Noto Serif" w:hAnsi="Noto Serif"/>
                <w:sz w:val="17"/>
              </w:rPr>
              <w:t>Which indicators reveal drift, misuse, inequity, or degraded hardware after deployment?</w:t>
            </w:r>
          </w:p>
        </w:tc>
      </w:tr>
    </w:tbl>
    <w:p>
      <w:pPr>
        <w:pStyle w:val="Heading2"/>
        <w:widowControl w:val="1"/>
      </w:pPr>
      <w:r>
        <w:t>FAILURE-DRILL CYCLE</w:t>
      </w:r>
    </w:p>
    <w:p>
      <w:pPr>
        <w:spacing w:after="40"/>
        <w:ind w:firstLine="0"/>
        <w:widowControl w:val="1"/>
      </w:pPr>
      <w:r>
        <w:rPr>
          <w:rFonts w:ascii="Noto Sans" w:hAnsi="Noto Sans"/>
          <w:b/>
          <w:color w:val="4FD4D8"/>
        </w:rPr>
        <w:t xml:space="preserve">Inject: </w:t>
      </w:r>
      <w:r>
        <w:t>Remove or corrupt one dependency without warning the operator.</w:t>
      </w:r>
    </w:p>
    <w:p>
      <w:pPr>
        <w:spacing w:after="40"/>
        <w:ind w:firstLine="0"/>
        <w:widowControl w:val="1"/>
      </w:pPr>
      <w:r>
        <w:rPr>
          <w:rFonts w:ascii="Noto Sans" w:hAnsi="Noto Sans"/>
          <w:b/>
          <w:color w:val="4FD4D8"/>
        </w:rPr>
        <w:t xml:space="preserve">Observe: </w:t>
      </w:r>
      <w:r>
        <w:t>Capture system state, human interpretation, workarounds, and unequal service loss.</w:t>
      </w:r>
    </w:p>
    <w:p>
      <w:pPr>
        <w:spacing w:after="40"/>
        <w:ind w:firstLine="0"/>
        <w:widowControl w:val="1"/>
      </w:pPr>
      <w:r>
        <w:rPr>
          <w:rFonts w:ascii="Noto Sans" w:hAnsi="Noto Sans"/>
          <w:b/>
          <w:color w:val="4FD4D8"/>
        </w:rPr>
        <w:t xml:space="preserve">Recover: </w:t>
      </w:r>
      <w:r>
        <w:t>Restore service through the documented fallback, then preserve the evidence needed to redesign the system.</w:t>
      </w:r>
    </w:p>
    <w:p>
      <w:pPr>
        <w:spacing w:after="40"/>
        <w:ind w:firstLine="0"/>
        <w:widowControl w:val="1"/>
      </w:pPr>
      <w:r>
        <w:rPr>
          <w:rFonts w:ascii="Noto Sans" w:hAnsi="Noto Sans"/>
          <w:b/>
          <w:color w:val="4FD4D8"/>
        </w:rPr>
        <w:t xml:space="preserve">Reauthorize: </w:t>
      </w:r>
      <w:r>
        <w:t>Do not return automated authority until the changed control has been retested in shadow mode.</w:t>
      </w:r>
    </w:p>
    <w:p>
      <w:pPr>
        <w:widowControl w:val="1"/>
      </w:pPr>
      <w:r>
        <w:br w:type="page"/>
      </w:r>
    </w:p>
    <w:p>
      <w:pPr>
        <w:pStyle w:val="ExpeditionLabel"/>
        <w:jc w:val="center"/>
        <w:widowControl w:val="1"/>
      </w:pPr>
      <w:r>
        <w:t>ANNEX E</w:t>
      </w:r>
    </w:p>
    <w:p>
      <w:pPr>
        <w:pStyle w:val="MissionTitle"/>
        <w:jc w:val="center"/>
        <w:widowControl w:val="1"/>
      </w:pPr>
      <w:r>
        <w:t>A 90-DAY PILOT AND COST ARCHITECTURE</w:t>
      </w:r>
    </w:p>
    <w:p>
      <w:pPr>
        <w:keepNext/>
        <w:spacing w:before="100" w:after="40"/>
        <w:ind w:firstLine="0"/>
        <w:jc w:val="center"/>
        <w:widowControl w:val="1"/>
      </w:pPr>
      <w:r>
        <w:drawing>
          <wp:inline xmlns:a="http://schemas.openxmlformats.org/drawingml/2006/main" xmlns:pic="http://schemas.openxmlformats.org/drawingml/2006/picture">
            <wp:extent cx="5074920" cy="3075200"/>
            <wp:docPr id="28" name="Picture 28" title="Figure 27" descr="A ninety-day edge AI pilot roadmap."/>
            <wp:cNvGraphicFramePr>
              <a:graphicFrameLocks noChangeAspect="1"/>
            </wp:cNvGraphicFramePr>
            <a:graphic>
              <a:graphicData uri="http://schemas.openxmlformats.org/drawingml/2006/picture">
                <pic:pic>
                  <pic:nvPicPr>
                    <pic:cNvPr id="0" name="fig_roadmap.png"/>
                    <pic:cNvPicPr/>
                  </pic:nvPicPr>
                  <pic:blipFill>
                    <a:blip r:embed="rId30"/>
                    <a:stretch>
                      <a:fillRect/>
                    </a:stretch>
                  </pic:blipFill>
                  <pic:spPr>
                    <a:xfrm>
                      <a:off x="0" y="0"/>
                      <a:ext cx="5074920" cy="3075200"/>
                    </a:xfrm>
                    <a:prstGeom prst="rect"/>
                  </pic:spPr>
                </pic:pic>
              </a:graphicData>
            </a:graphic>
          </wp:inline>
        </w:drawing>
      </w:r>
    </w:p>
    <w:p>
      <w:pPr>
        <w:pStyle w:val="Caption"/>
        <w:keepLines/>
        <w:jc w:val="center"/>
        <w:widowControl w:val="1"/>
      </w:pPr>
      <w:r>
        <w:t>FIELD PLATE 27 — The pilot moves from observation to shadow mode, deliberate failure, limited authority, and independent audit.</w:t>
      </w:r>
    </w:p>
    <w:p>
      <w:pPr>
        <w:widowControl w:val="1"/>
      </w:pPr>
      <w:r>
        <w:t>A serious pilot budgets for workflow research, local data preparation, hardware spares, enclosure and power engineering, field training, security review, domain validation, travel, repair, and post-pilot maintenance. The model license or accelerator is often not the largest cost.</w:t>
      </w:r>
    </w:p>
    <w:p>
      <w:pPr>
        <w:widowControl w:val="1"/>
      </w:pPr>
      <w:r>
        <w:t>Days 1–15 document the current service and failure modes. Days 16–30 run the system in shadow mode. Days 31–50 perform power, link, sensor, and compromise drills. Days 51–70 permit narrowly bounded actions with human approval. Days 71–90 commission an independent audit and a community or operator review before deciding whether to scale.</w:t>
      </w:r>
    </w:p>
    <w:p>
      <w:pPr>
        <w:widowControl w:val="1"/>
      </w:pPr>
      <w:r>
        <w:t>Cost estimates should be expressed as ranges and lifecycle obligations. A pocket pilot may begin with several thousand dollars; a rugged multimodal deployment can require tens or hundreds of thousands once sensing, integration, validation, and support are counted. High-stakes systems should not use consumer prototype costs as deployment forecasts.</w:t>
      </w:r>
    </w:p>
    <w:p>
      <w:pPr>
        <w:widowControl w:val="1"/>
      </w:pPr>
      <w:r>
        <w:br w:type="page"/>
      </w:r>
    </w:p>
    <w:p>
      <w:pPr>
        <w:pStyle w:val="ExpeditionLabel"/>
        <w:jc w:val="center"/>
        <w:widowControl w:val="1"/>
      </w:pPr>
      <w:r>
        <w:t>ANNEX F</w:t>
      </w:r>
    </w:p>
    <w:p>
      <w:pPr>
        <w:pStyle w:val="MissionTitle"/>
        <w:jc w:val="center"/>
        <w:widowControl w:val="1"/>
      </w:pPr>
      <w:r>
        <w:t>THE EDGE INTELLIGENCE CONSTITUTION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I. Essential capability remains local</w:t>
              <w:br/>
            </w:r>
            <w:r>
              <w:rPr>
                <w:rFonts w:ascii="Noto Serif" w:hAnsi="Noto Serif"/>
                <w:color w:val="17232C"/>
                <w:sz w:val="20"/>
              </w:rPr>
              <w:t>A loss of connectivity may reduce convenience and scale, but it must not erase the minimum mission service promised to the community or operator.</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II. Authority is explicit</w:t>
              <w:br/>
            </w:r>
            <w:r>
              <w:rPr>
                <w:rFonts w:ascii="Noto Serif" w:hAnsi="Noto Serif"/>
                <w:color w:val="17232C"/>
                <w:sz w:val="20"/>
              </w:rPr>
              <w:t>Every automated action belongs to a declared authority zone with a human owner, evidence requirement, and tested override.</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III. Refusal is a capability</w:t>
              <w:br/>
            </w:r>
            <w:r>
              <w:rPr>
                <w:rFonts w:ascii="Noto Serif" w:hAnsi="Noto Serif"/>
                <w:color w:val="17232C"/>
                <w:sz w:val="20"/>
              </w:rPr>
              <w:t>The system may state that evidence, power, sensor quality, knowledge freshness, or authority is insufficient. It may never hide the refusal behind fluent output.</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IV. Data stays proportionate</w:t>
              <w:br/>
            </w:r>
            <w:r>
              <w:rPr>
                <w:rFonts w:ascii="Noto Serif" w:hAnsi="Noto Serif"/>
                <w:color w:val="17232C"/>
                <w:sz w:val="20"/>
              </w:rPr>
              <w:t>Collect and retain only what the mission requires. Sensitive records remain local unless a lawful, consented, and technically protected transfer is necessary.</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V. Communities are not test environments</w:t>
              <w:br/>
            </w:r>
            <w:r>
              <w:rPr>
                <w:rFonts w:ascii="Noto Serif" w:hAnsi="Noto Serif"/>
                <w:color w:val="17232C"/>
                <w:sz w:val="20"/>
              </w:rPr>
              <w:t>Local people participate in requirements, language, evaluation, governance, benefit, and the decision to continue or remove the system.</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VI. Repair is part of intelligence</w:t>
              <w:br/>
            </w:r>
            <w:r>
              <w:rPr>
                <w:rFonts w:ascii="Noto Serif" w:hAnsi="Noto Serif"/>
                <w:color w:val="17232C"/>
                <w:sz w:val="20"/>
              </w:rPr>
              <w:t>A system that cannot be maintained with available skills, tools, energy, and supply chains is not a successful edge system.</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VII. Updates preserve continuity</w:t>
              <w:br/>
            </w:r>
            <w:r>
              <w:rPr>
                <w:rFonts w:ascii="Noto Serif" w:hAnsi="Noto Serif"/>
                <w:color w:val="17232C"/>
                <w:sz w:val="20"/>
              </w:rPr>
              <w:t>No update may silently remove offline capability, exceed hardware resources, change authority, or prevent rollback.</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VIII. Every decision leaves evidence</w:t>
              <w:br/>
            </w:r>
            <w:r>
              <w:rPr>
                <w:rFonts w:ascii="Noto Serif" w:hAnsi="Noto Serif"/>
                <w:color w:val="17232C"/>
                <w:sz w:val="20"/>
              </w:rPr>
              <w:t>High-consequence recommendations and actions retain model, data, sensor, policy, time, operator, and outcome provenance.</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IX. Equity is measured under failure</w:t>
              <w:br/>
            </w:r>
            <w:r>
              <w:rPr>
                <w:rFonts w:ascii="Noto Serif" w:hAnsi="Noto Serif"/>
                <w:color w:val="17232C"/>
                <w:sz w:val="20"/>
              </w:rPr>
              <w:t>The system is evaluated for who loses service first when bandwidth, power, staff, or hardware becomes scarce.</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EBE4D5"/>
            <w:tcMar>
              <w:top w:w="120" w:type="dxa"/>
              <w:start w:w="160" w:type="dxa"/>
              <w:bottom w:w="120" w:type="dxa"/>
              <w:end w:w="160" w:type="dxa"/>
            </w:tcMar>
          </w:tcPr>
          <w:p>
            <w:pPr>
              <w:ind w:firstLine="0"/>
            </w:pPr>
            <w:r>
              <w:rPr>
                <w:rFonts w:ascii="Noto Sans" w:hAnsi="Noto Sans"/>
                <w:b/>
                <w:color w:val="10283A"/>
                <w:sz w:val="18"/>
              </w:rPr>
              <w:t>X. Exit is designed on day one</w:t>
              <w:br/>
            </w:r>
            <w:r>
              <w:rPr>
                <w:rFonts w:ascii="Noto Serif" w:hAnsi="Noto Serif"/>
                <w:color w:val="17232C"/>
                <w:sz w:val="20"/>
              </w:rPr>
              <w:t>The operator or community can export data, preserve essential knowledge, replace components, and continue service when a vendor or project leaves.</w:t>
            </w:r>
          </w:p>
        </w:tc>
      </w:tr>
    </w:tbl>
    <w:p>
      <w:pPr>
        <w:spacing w:after="20"/>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tblGrid>
      <w:tr>
        <w:tc>
          <w:tcPr>
            <w:tcW w:type="dxa" w:w="8064"/>
            <w:shd w:fill="081522"/>
            <w:tcMar>
              <w:top w:w="170" w:type="dxa"/>
              <w:start w:w="190" w:type="dxa"/>
              <w:bottom w:w="170" w:type="dxa"/>
              <w:end w:w="190" w:type="dxa"/>
            </w:tcMar>
          </w:tcPr>
          <w:p>
            <w:pPr>
              <w:ind w:firstLine="0"/>
              <w:jc w:val="center"/>
            </w:pPr>
            <w:r>
              <w:rPr>
                <w:rFonts w:ascii="Noto Sans" w:hAnsi="Noto Sans"/>
                <w:b/>
                <w:color w:val="F09A4A"/>
                <w:sz w:val="17"/>
              </w:rPr>
              <w:t>CONSTITUTION ADOPTION TEST</w:t>
              <w:br/>
            </w:r>
            <w:r>
              <w:rPr>
                <w:rFonts w:ascii="Noto Sans" w:hAnsi="Noto Sans"/>
                <w:b/>
                <w:color w:val="F09A4A"/>
                <w:sz w:val="17"/>
              </w:rPr>
              <w:t>CONSTITUTION ADOPTION TEST</w:t>
              <w:br/>
            </w:r>
            <w:r>
              <w:rPr>
                <w:rFonts w:ascii="Noto Serif" w:hAnsi="Noto Serif"/>
                <w:color w:val="FFFFFF"/>
                <w:sz w:val="22"/>
              </w:rPr>
              <w:t>Can a local operator explain every article, demonstrate the fallback it protects, and preserve essential service after the project team leaves?</w:t>
            </w:r>
          </w:p>
        </w:tc>
      </w:tr>
    </w:tbl>
    <w:p>
      <w:pPr>
        <w:widowControl w:val="1"/>
      </w:pPr>
      <w:r>
        <w:br w:type="page"/>
      </w:r>
    </w:p>
    <w:p>
      <w:pPr>
        <w:pStyle w:val="MissionTitle"/>
        <w:jc w:val="center"/>
        <w:widowControl w:val="1"/>
      </w:pPr>
      <w:r>
        <w:t>GLOSSARY</w:t>
      </w:r>
    </w:p>
    <w:p>
      <w:pPr>
        <w:ind w:firstLine="0"/>
        <w:widowControl w:val="1"/>
      </w:pPr>
      <w:r>
        <w:rPr>
          <w:rFonts w:ascii="Noto Sans" w:hAnsi="Noto Sans"/>
          <w:b/>
          <w:color w:val="8172D8"/>
          <w:sz w:val="18"/>
        </w:rPr>
        <w:t xml:space="preserve">Air-gapped mode. </w:t>
      </w:r>
      <w:r>
        <w:rPr>
          <w:rFonts w:ascii="Noto Serif" w:hAnsi="Noto Serif"/>
          <w:sz w:val="20"/>
        </w:rPr>
        <w:t>Operation with no network path to outside systems; updates and exports require controlled physical transfer.</w:t>
      </w:r>
    </w:p>
    <w:p>
      <w:pPr>
        <w:ind w:firstLine="0"/>
        <w:widowControl w:val="1"/>
      </w:pPr>
      <w:r>
        <w:rPr>
          <w:rFonts w:ascii="Noto Sans" w:hAnsi="Noto Sans"/>
          <w:b/>
          <w:color w:val="8172D8"/>
          <w:sz w:val="18"/>
        </w:rPr>
        <w:t xml:space="preserve">Authority envelope. </w:t>
      </w:r>
      <w:r>
        <w:rPr>
          <w:rFonts w:ascii="Noto Serif" w:hAnsi="Noto Serif"/>
          <w:sz w:val="20"/>
        </w:rPr>
        <w:t>The explicit boundary between actions that may be automated, recommended, escalated, or prohibited.</w:t>
      </w:r>
    </w:p>
    <w:p>
      <w:pPr>
        <w:ind w:firstLine="0"/>
        <w:widowControl w:val="1"/>
      </w:pPr>
      <w:r>
        <w:rPr>
          <w:rFonts w:ascii="Noto Sans" w:hAnsi="Noto Sans"/>
          <w:b/>
          <w:color w:val="8172D8"/>
          <w:sz w:val="18"/>
        </w:rPr>
        <w:t xml:space="preserve">Delay-tolerant synchronization. </w:t>
      </w:r>
      <w:r>
        <w:rPr>
          <w:rFonts w:ascii="Noto Serif" w:hAnsi="Noto Serif"/>
          <w:sz w:val="20"/>
        </w:rPr>
        <w:t>Synchronization designed for long outages, short contacts, reordering, and conflict preservation.</w:t>
      </w:r>
    </w:p>
    <w:p>
      <w:pPr>
        <w:ind w:firstLine="0"/>
        <w:widowControl w:val="1"/>
      </w:pPr>
      <w:r>
        <w:rPr>
          <w:rFonts w:ascii="Noto Sans" w:hAnsi="Noto Sans"/>
          <w:b/>
          <w:color w:val="8172D8"/>
          <w:sz w:val="18"/>
        </w:rPr>
        <w:t xml:space="preserve">Edge node. </w:t>
      </w:r>
      <w:r>
        <w:rPr>
          <w:rFonts w:ascii="Noto Serif" w:hAnsi="Noto Serif"/>
          <w:sz w:val="20"/>
        </w:rPr>
        <w:t>A computing system located near users, sensors, or actuators that can complete useful local work.</w:t>
      </w:r>
    </w:p>
    <w:p>
      <w:pPr>
        <w:ind w:firstLine="0"/>
        <w:widowControl w:val="1"/>
      </w:pPr>
      <w:r>
        <w:rPr>
          <w:rFonts w:ascii="Noto Sans" w:hAnsi="Noto Sans"/>
          <w:b/>
          <w:color w:val="8172D8"/>
          <w:sz w:val="18"/>
        </w:rPr>
        <w:t xml:space="preserve">Graceful degradation. </w:t>
      </w:r>
      <w:r>
        <w:rPr>
          <w:rFonts w:ascii="Noto Serif" w:hAnsi="Noto Serif"/>
          <w:sz w:val="20"/>
        </w:rPr>
        <w:t>Planned reduction of optional capability while preserving essential service and visible system state.</w:t>
      </w:r>
    </w:p>
    <w:p>
      <w:pPr>
        <w:ind w:firstLine="0"/>
        <w:widowControl w:val="1"/>
      </w:pPr>
      <w:r>
        <w:rPr>
          <w:rFonts w:ascii="Noto Sans" w:hAnsi="Noto Sans"/>
          <w:b/>
          <w:color w:val="8172D8"/>
          <w:sz w:val="18"/>
        </w:rPr>
        <w:t xml:space="preserve">Knowledge bundle. </w:t>
      </w:r>
      <w:r>
        <w:rPr>
          <w:rFonts w:ascii="Noto Serif" w:hAnsi="Noto Serif"/>
          <w:sz w:val="20"/>
        </w:rPr>
        <w:t>A signed, versioned package of rules, documents, models, indexes, policies, and limitations for local use.</w:t>
      </w:r>
    </w:p>
    <w:p>
      <w:pPr>
        <w:ind w:firstLine="0"/>
        <w:widowControl w:val="1"/>
      </w:pPr>
      <w:r>
        <w:rPr>
          <w:rFonts w:ascii="Noto Sans" w:hAnsi="Noto Sans"/>
          <w:b/>
          <w:color w:val="8172D8"/>
          <w:sz w:val="18"/>
        </w:rPr>
        <w:t xml:space="preserve">Local-first. </w:t>
      </w:r>
      <w:r>
        <w:rPr>
          <w:rFonts w:ascii="Noto Serif" w:hAnsi="Noto Serif"/>
          <w:sz w:val="20"/>
        </w:rPr>
        <w:t>A design in which the local copy and workflow remain primary while remote services synchronize or augment them.</w:t>
      </w:r>
    </w:p>
    <w:p>
      <w:pPr>
        <w:ind w:firstLine="0"/>
        <w:widowControl w:val="1"/>
      </w:pPr>
      <w:r>
        <w:rPr>
          <w:rFonts w:ascii="Noto Sans" w:hAnsi="Noto Sans"/>
          <w:b/>
          <w:color w:val="8172D8"/>
          <w:sz w:val="18"/>
        </w:rPr>
        <w:t xml:space="preserve">Operational design domain. </w:t>
      </w:r>
      <w:r>
        <w:rPr>
          <w:rFonts w:ascii="Noto Serif" w:hAnsi="Noto Serif"/>
          <w:sz w:val="20"/>
        </w:rPr>
        <w:t>The environmental, sensor, traffic, population, or workflow conditions in which a capability is validated.</w:t>
      </w:r>
    </w:p>
    <w:p>
      <w:pPr>
        <w:ind w:firstLine="0"/>
        <w:widowControl w:val="1"/>
      </w:pPr>
      <w:r>
        <w:rPr>
          <w:rFonts w:ascii="Noto Sans" w:hAnsi="Noto Sans"/>
          <w:b/>
          <w:color w:val="8172D8"/>
          <w:sz w:val="18"/>
        </w:rPr>
        <w:t xml:space="preserve">Shadow mode. </w:t>
      </w:r>
      <w:r>
        <w:rPr>
          <w:rFonts w:ascii="Noto Serif" w:hAnsi="Noto Serif"/>
          <w:sz w:val="20"/>
        </w:rPr>
        <w:t>A deployment stage in which the AI produces outputs for evaluation but does not influence operations.</w:t>
      </w:r>
    </w:p>
    <w:p>
      <w:pPr>
        <w:ind w:firstLine="0"/>
        <w:widowControl w:val="1"/>
      </w:pPr>
      <w:r>
        <w:rPr>
          <w:rFonts w:ascii="Noto Sans" w:hAnsi="Noto Sans"/>
          <w:b/>
          <w:color w:val="8172D8"/>
          <w:sz w:val="18"/>
        </w:rPr>
        <w:t xml:space="preserve">Store-carry-forward. </w:t>
      </w:r>
      <w:r>
        <w:rPr>
          <w:rFonts w:ascii="Noto Serif" w:hAnsi="Noto Serif"/>
          <w:sz w:val="20"/>
        </w:rPr>
        <w:t>A networking method in which devices retain bundles and physically or wirelessly relay them when paths appear.</w:t>
      </w:r>
    </w:p>
    <w:p>
      <w:pPr>
        <w:ind w:firstLine="0"/>
        <w:widowControl w:val="1"/>
      </w:pPr>
      <w:r>
        <w:rPr>
          <w:rFonts w:ascii="Noto Sans" w:hAnsi="Noto Sans"/>
          <w:b/>
          <w:color w:val="8172D8"/>
          <w:sz w:val="18"/>
        </w:rPr>
        <w:t xml:space="preserve">TinyML. </w:t>
      </w:r>
      <w:r>
        <w:rPr>
          <w:rFonts w:ascii="Noto Serif" w:hAnsi="Noto Serif"/>
          <w:sz w:val="20"/>
        </w:rPr>
        <w:t>Machine learning on highly constrained microcontrollers or low-power devices, often near the sensor.</w:t>
      </w:r>
    </w:p>
    <w:p>
      <w:pPr>
        <w:ind w:firstLine="0"/>
        <w:widowControl w:val="1"/>
      </w:pPr>
      <w:r>
        <w:rPr>
          <w:rFonts w:ascii="Noto Sans" w:hAnsi="Noto Sans"/>
          <w:b/>
          <w:color w:val="8172D8"/>
          <w:sz w:val="18"/>
        </w:rPr>
        <w:t xml:space="preserve">Zero-trust edge. </w:t>
      </w:r>
      <w:r>
        <w:rPr>
          <w:rFonts w:ascii="Noto Serif" w:hAnsi="Noto Serif"/>
          <w:sz w:val="20"/>
        </w:rPr>
        <w:t>A security posture that does not grant trust based on network location and continuously verifies identity, device, policy, and action.</w:t>
      </w:r>
    </w:p>
    <w:p>
      <w:pPr>
        <w:widowControl w:val="1"/>
      </w:pPr>
      <w:r>
        <w:br w:type="page"/>
      </w:r>
    </w:p>
    <w:p>
      <w:pPr>
        <w:pStyle w:val="MissionTitle"/>
        <w:jc w:val="center"/>
        <w:widowControl w:val="1"/>
      </w:pPr>
      <w:r>
        <w:t>RESEARCH NOTES AND SOURCES</w:t>
      </w:r>
    </w:p>
    <w:p>
      <w:pPr>
        <w:widowControl w:val="1"/>
      </w:pPr>
      <w:r>
        <w:t>The book combines official guidance and primary technical research with proposed architecture. Composite field scenes and equations are authorial design instruments, not claims of specific deployed outcomes. Hardware, regulations, software, and standards change rapidly; implementation teams should consult current primary documentation and qualified domain professionals.</w:t>
      </w:r>
    </w:p>
    <w:p>
      <w:pPr>
        <w:widowControl w:val="1"/>
      </w:pPr>
      <w:r>
        <w:t>The source trail emphasizes software-neutral clinical logic, emergency telecommunications, disaster drones and mesh networking, smallholder digital services, autonomous-shipping safety, energy-aware TinyML benchmarking, federated learning, offline speech, vehicle hazard reasoning, and risk governance.</w:t>
      </w:r>
    </w:p>
    <w:p>
      <w:pPr>
        <w:pStyle w:val="SmallSans"/>
        <w:ind w:left="360" w:hanging="360"/>
        <w:widowControl w:val="1"/>
      </w:pPr>
      <w:r>
        <w:rPr>
          <w:b/>
          <w:color w:val="F09A4A"/>
        </w:rPr>
        <w:t xml:space="preserve">R1  </w:t>
      </w:r>
      <w:r>
        <w:t xml:space="preserve">World Health Organization. Artificial Intelligence for Health (2024). </w:t>
      </w:r>
      <w:hyperlink r:id="rId31">
        <w:r>
          <w:rPr>
            <w:color w:val="3B6F86"/>
            <w:u w:val="single"/>
          </w:rPr>
          <w:t>Source</w:t>
        </w:r>
      </w:hyperlink>
    </w:p>
    <w:p>
      <w:pPr>
        <w:pStyle w:val="SmallSans"/>
        <w:ind w:left="360" w:hanging="360"/>
        <w:widowControl w:val="1"/>
      </w:pPr>
      <w:r>
        <w:rPr>
          <w:b/>
          <w:color w:val="F09A4A"/>
        </w:rPr>
        <w:t xml:space="preserve">R2  </w:t>
      </w:r>
      <w:r>
        <w:t xml:space="preserve">World Health Organization. Digital adaptation kit for child health in humanitarian emergencies (2024). </w:t>
      </w:r>
      <w:hyperlink r:id="rId32">
        <w:r>
          <w:rPr>
            <w:color w:val="3B6F86"/>
            <w:u w:val="single"/>
          </w:rPr>
          <w:t>Source</w:t>
        </w:r>
      </w:hyperlink>
    </w:p>
    <w:p>
      <w:pPr>
        <w:pStyle w:val="SmallSans"/>
        <w:ind w:left="360" w:hanging="360"/>
        <w:widowControl w:val="1"/>
      </w:pPr>
      <w:r>
        <w:rPr>
          <w:b/>
          <w:color w:val="F09A4A"/>
        </w:rPr>
        <w:t xml:space="preserve">R3  </w:t>
      </w:r>
      <w:r>
        <w:t xml:space="preserve">World Health Organization. Digital adaptation kit for immunizations (2025). </w:t>
      </w:r>
      <w:hyperlink r:id="rId33">
        <w:r>
          <w:rPr>
            <w:color w:val="3B6F86"/>
            <w:u w:val="single"/>
          </w:rPr>
          <w:t>Source</w:t>
        </w:r>
      </w:hyperlink>
    </w:p>
    <w:p>
      <w:pPr>
        <w:pStyle w:val="SmallSans"/>
        <w:ind w:left="360" w:hanging="360"/>
        <w:widowControl w:val="1"/>
      </w:pPr>
      <w:r>
        <w:rPr>
          <w:b/>
          <w:color w:val="F09A4A"/>
        </w:rPr>
        <w:t xml:space="preserve">R4  </w:t>
      </w:r>
      <w:r>
        <w:t xml:space="preserve">World Health Organization. Digital transformation handbook for primary health care (2024). </w:t>
      </w:r>
      <w:hyperlink r:id="rId34">
        <w:r>
          <w:rPr>
            <w:color w:val="3B6F86"/>
            <w:u w:val="single"/>
          </w:rPr>
          <w:t>Source</w:t>
        </w:r>
      </w:hyperlink>
    </w:p>
    <w:p>
      <w:pPr>
        <w:pStyle w:val="SmallSans"/>
        <w:ind w:left="360" w:hanging="360"/>
        <w:widowControl w:val="1"/>
      </w:pPr>
      <w:r>
        <w:rPr>
          <w:b/>
          <w:color w:val="F09A4A"/>
        </w:rPr>
        <w:t xml:space="preserve">R5  </w:t>
      </w:r>
      <w:r>
        <w:t xml:space="preserve">World Health Organization. Recommendations on digital interventions for health system strengthening. </w:t>
      </w:r>
      <w:hyperlink r:id="rId35">
        <w:r>
          <w:rPr>
            <w:color w:val="3B6F86"/>
            <w:u w:val="single"/>
          </w:rPr>
          <w:t>Source</w:t>
        </w:r>
      </w:hyperlink>
    </w:p>
    <w:p>
      <w:pPr>
        <w:pStyle w:val="SmallSans"/>
        <w:ind w:left="360" w:hanging="360"/>
        <w:widowControl w:val="1"/>
      </w:pPr>
      <w:r>
        <w:rPr>
          <w:b/>
          <w:color w:val="F09A4A"/>
        </w:rPr>
        <w:t xml:space="preserve">R6  </w:t>
      </w:r>
      <w:r>
        <w:t xml:space="preserve">UNICEF. HealthConnekt: connected health workers and service-delivery points (2024). </w:t>
      </w:r>
      <w:hyperlink r:id="rId36">
        <w:r>
          <w:rPr>
            <w:color w:val="3B6F86"/>
            <w:u w:val="single"/>
          </w:rPr>
          <w:t>Source</w:t>
        </w:r>
      </w:hyperlink>
    </w:p>
    <w:p>
      <w:pPr>
        <w:pStyle w:val="SmallSans"/>
        <w:ind w:left="360" w:hanging="360"/>
        <w:widowControl w:val="1"/>
      </w:pPr>
      <w:r>
        <w:rPr>
          <w:b/>
          <w:color w:val="F09A4A"/>
        </w:rPr>
        <w:t xml:space="preserve">R7  </w:t>
      </w:r>
      <w:r>
        <w:t xml:space="preserve">International Telecommunication Union. When Digital Systems Fail: The Hidden Risks of Our Digital World (2026). </w:t>
      </w:r>
      <w:hyperlink r:id="rId37">
        <w:r>
          <w:rPr>
            <w:color w:val="3B6F86"/>
            <w:u w:val="single"/>
          </w:rPr>
          <w:t>Source</w:t>
        </w:r>
      </w:hyperlink>
    </w:p>
    <w:p>
      <w:pPr>
        <w:pStyle w:val="SmallSans"/>
        <w:ind w:left="360" w:hanging="360"/>
        <w:widowControl w:val="1"/>
      </w:pPr>
      <w:r>
        <w:rPr>
          <w:b/>
          <w:color w:val="F09A4A"/>
        </w:rPr>
        <w:t xml:space="preserve">R8  </w:t>
      </w:r>
      <w:r>
        <w:t xml:space="preserve">International Telecommunication Union. The use of telecommunications/ICTs for disaster risk reduction and management (2025). </w:t>
      </w:r>
      <w:hyperlink r:id="rId38">
        <w:r>
          <w:rPr>
            <w:color w:val="3B6F86"/>
            <w:u w:val="single"/>
          </w:rPr>
          <w:t>Source</w:t>
        </w:r>
      </w:hyperlink>
    </w:p>
    <w:p>
      <w:pPr>
        <w:pStyle w:val="SmallSans"/>
        <w:ind w:left="360" w:hanging="360"/>
        <w:widowControl w:val="1"/>
      </w:pPr>
      <w:r>
        <w:rPr>
          <w:b/>
          <w:color w:val="F09A4A"/>
        </w:rPr>
        <w:t xml:space="preserve">R9  </w:t>
      </w:r>
      <w:r>
        <w:t xml:space="preserve">International Telecommunication Union. Leveraging AI to Enhance Multi-Hazard Early Warning Systems (2026). </w:t>
      </w:r>
      <w:hyperlink r:id="rId39">
        <w:r>
          <w:rPr>
            <w:color w:val="3B6F86"/>
            <w:u w:val="single"/>
          </w:rPr>
          <w:t>Source</w:t>
        </w:r>
      </w:hyperlink>
    </w:p>
    <w:p>
      <w:pPr>
        <w:pStyle w:val="SmallSans"/>
        <w:ind w:left="360" w:hanging="360"/>
        <w:widowControl w:val="1"/>
      </w:pPr>
      <w:r>
        <w:rPr>
          <w:b/>
          <w:color w:val="F09A4A"/>
        </w:rPr>
        <w:t xml:space="preserve">R10  </w:t>
      </w:r>
      <w:r>
        <w:t xml:space="preserve">World Food Programme. WFP Drones: mapping, response, and emergency connectivity. </w:t>
      </w:r>
      <w:hyperlink r:id="rId40">
        <w:r>
          <w:rPr>
            <w:color w:val="3B6F86"/>
            <w:u w:val="single"/>
          </w:rPr>
          <w:t>Source</w:t>
        </w:r>
      </w:hyperlink>
    </w:p>
    <w:p>
      <w:pPr>
        <w:pStyle w:val="SmallSans"/>
        <w:ind w:left="360" w:hanging="360"/>
        <w:widowControl w:val="1"/>
      </w:pPr>
      <w:r>
        <w:rPr>
          <w:b/>
          <w:color w:val="F09A4A"/>
        </w:rPr>
        <w:t xml:space="preserve">R11  </w:t>
      </w:r>
      <w:r>
        <w:t xml:space="preserve">International Maritime Organization. International Code of Safety for Maritime Autonomous Surface Ships adopted in 2026. </w:t>
      </w:r>
      <w:hyperlink r:id="rId41">
        <w:r>
          <w:rPr>
            <w:color w:val="3B6F86"/>
            <w:u w:val="single"/>
          </w:rPr>
          <w:t>Source</w:t>
        </w:r>
      </w:hyperlink>
    </w:p>
    <w:p>
      <w:pPr>
        <w:pStyle w:val="SmallSans"/>
        <w:ind w:left="360" w:hanging="360"/>
        <w:widowControl w:val="1"/>
      </w:pPr>
      <w:r>
        <w:rPr>
          <w:b/>
          <w:color w:val="F09A4A"/>
        </w:rPr>
        <w:t xml:space="preserve">R12  </w:t>
      </w:r>
      <w:r>
        <w:t xml:space="preserve">International Maritime Organization. Autonomous shipping FAQ and MASS operating principles (2026). </w:t>
      </w:r>
      <w:hyperlink r:id="rId42">
        <w:r>
          <w:rPr>
            <w:color w:val="3B6F86"/>
            <w:u w:val="single"/>
          </w:rPr>
          <w:t>Source</w:t>
        </w:r>
      </w:hyperlink>
    </w:p>
    <w:p>
      <w:pPr>
        <w:pStyle w:val="SmallSans"/>
        <w:ind w:left="360" w:hanging="360"/>
        <w:widowControl w:val="1"/>
      </w:pPr>
      <w:r>
        <w:rPr>
          <w:b/>
          <w:color w:val="F09A4A"/>
        </w:rPr>
        <w:t xml:space="preserve">R13  </w:t>
      </w:r>
      <w:r>
        <w:t xml:space="preserve">Food and Agriculture Organization. Digital Services Portfolio and DSP-in-a-Box for limited-connectivity agriculture. </w:t>
      </w:r>
      <w:hyperlink r:id="rId43">
        <w:r>
          <w:rPr>
            <w:color w:val="3B6F86"/>
            <w:u w:val="single"/>
          </w:rPr>
          <w:t>Source</w:t>
        </w:r>
      </w:hyperlink>
    </w:p>
    <w:p>
      <w:pPr>
        <w:pStyle w:val="SmallSans"/>
        <w:ind w:left="360" w:hanging="360"/>
        <w:widowControl w:val="1"/>
      </w:pPr>
      <w:r>
        <w:rPr>
          <w:b/>
          <w:color w:val="F09A4A"/>
        </w:rPr>
        <w:t xml:space="preserve">R14  </w:t>
      </w:r>
      <w:r>
        <w:t xml:space="preserve">Food and Agriculture Organization. Digital Agriculture and AI Innovation Roadmap. </w:t>
      </w:r>
      <w:hyperlink r:id="rId44">
        <w:r>
          <w:rPr>
            <w:color w:val="3B6F86"/>
            <w:u w:val="single"/>
          </w:rPr>
          <w:t>Source</w:t>
        </w:r>
      </w:hyperlink>
    </w:p>
    <w:p>
      <w:pPr>
        <w:pStyle w:val="SmallSans"/>
        <w:ind w:left="360" w:hanging="360"/>
        <w:widowControl w:val="1"/>
      </w:pPr>
      <w:r>
        <w:rPr>
          <w:b/>
          <w:color w:val="F09A4A"/>
        </w:rPr>
        <w:t xml:space="preserve">R15  </w:t>
      </w:r>
      <w:r>
        <w:t xml:space="preserve">FAO / UNDP. Precision Agriculture for Smallholder Farmers. </w:t>
      </w:r>
      <w:hyperlink r:id="rId45">
        <w:r>
          <w:rPr>
            <w:color w:val="3B6F86"/>
            <w:u w:val="single"/>
          </w:rPr>
          <w:t>Source</w:t>
        </w:r>
      </w:hyperlink>
    </w:p>
    <w:p>
      <w:pPr>
        <w:pStyle w:val="SmallSans"/>
        <w:ind w:left="360" w:hanging="360"/>
        <w:widowControl w:val="1"/>
      </w:pPr>
      <w:r>
        <w:rPr>
          <w:b/>
          <w:color w:val="F09A4A"/>
        </w:rPr>
        <w:t xml:space="preserve">R16  </w:t>
      </w:r>
      <w:r>
        <w:t xml:space="preserve">Batistatos et al.. AGRARIAN: A Hybrid AI-Driven Architecture for Smart Agriculture (2025). </w:t>
      </w:r>
      <w:hyperlink r:id="rId46">
        <w:r>
          <w:rPr>
            <w:color w:val="3B6F86"/>
            <w:u w:val="single"/>
          </w:rPr>
          <w:t>Source</w:t>
        </w:r>
      </w:hyperlink>
    </w:p>
    <w:p>
      <w:pPr>
        <w:pStyle w:val="SmallSans"/>
        <w:ind w:left="360" w:hanging="360"/>
        <w:widowControl w:val="1"/>
      </w:pPr>
      <w:r>
        <w:rPr>
          <w:b/>
          <w:color w:val="F09A4A"/>
        </w:rPr>
        <w:t xml:space="preserve">R17  </w:t>
      </w:r>
      <w:r>
        <w:t xml:space="preserve">Fabila et al.. Democratizing AI in Africa: Federated Learning for Low-Resource Edge Devices (2024). </w:t>
      </w:r>
      <w:hyperlink r:id="rId47">
        <w:r>
          <w:rPr>
            <w:color w:val="3B6F86"/>
            <w:u w:val="single"/>
          </w:rPr>
          <w:t>Source</w:t>
        </w:r>
      </w:hyperlink>
    </w:p>
    <w:p>
      <w:pPr>
        <w:pStyle w:val="SmallSans"/>
        <w:ind w:left="360" w:hanging="360"/>
        <w:widowControl w:val="1"/>
      </w:pPr>
      <w:r>
        <w:rPr>
          <w:b/>
          <w:color w:val="F09A4A"/>
        </w:rPr>
        <w:t xml:space="preserve">R18  </w:t>
      </w:r>
      <w:r>
        <w:t xml:space="preserve">Aminifar et al.. Privacy-Preserving Edge Federated Learning for Intelligent Mobile-Health Systems (2024). </w:t>
      </w:r>
      <w:hyperlink r:id="rId48">
        <w:r>
          <w:rPr>
            <w:color w:val="3B6F86"/>
            <w:u w:val="single"/>
          </w:rPr>
          <w:t>Source</w:t>
        </w:r>
      </w:hyperlink>
    </w:p>
    <w:p>
      <w:pPr>
        <w:pStyle w:val="SmallSans"/>
        <w:ind w:left="360" w:hanging="360"/>
        <w:widowControl w:val="1"/>
      </w:pPr>
      <w:r>
        <w:rPr>
          <w:b/>
          <w:color w:val="F09A4A"/>
        </w:rPr>
        <w:t xml:space="preserve">R19  </w:t>
      </w:r>
      <w:r>
        <w:t xml:space="preserve">Jankovic et al.. UAV-Assisted Real-Time Disaster Detection Using an Optimized Transformer Model (2025). </w:t>
      </w:r>
      <w:hyperlink r:id="rId49">
        <w:r>
          <w:rPr>
            <w:color w:val="3B6F86"/>
            <w:u w:val="single"/>
          </w:rPr>
          <w:t>Source</w:t>
        </w:r>
      </w:hyperlink>
    </w:p>
    <w:p>
      <w:pPr>
        <w:pStyle w:val="SmallSans"/>
        <w:ind w:left="360" w:hanging="360"/>
        <w:widowControl w:val="1"/>
      </w:pPr>
      <w:r>
        <w:rPr>
          <w:b/>
          <w:color w:val="F09A4A"/>
        </w:rPr>
        <w:t xml:space="preserve">R20  </w:t>
      </w:r>
      <w:r>
        <w:t xml:space="preserve">Liu et al.. MapMesh: Scalable Routing in a City-Scale Wi-Fi Network for Disaster Recovery (2025). </w:t>
      </w:r>
      <w:hyperlink r:id="rId50">
        <w:r>
          <w:rPr>
            <w:color w:val="3B6F86"/>
            <w:u w:val="single"/>
          </w:rPr>
          <w:t>Source</w:t>
        </w:r>
      </w:hyperlink>
    </w:p>
    <w:p>
      <w:pPr>
        <w:pStyle w:val="SmallSans"/>
        <w:ind w:left="360" w:hanging="360"/>
        <w:widowControl w:val="1"/>
      </w:pPr>
      <w:r>
        <w:rPr>
          <w:b/>
          <w:color w:val="F09A4A"/>
        </w:rPr>
        <w:t xml:space="preserve">R21  </w:t>
      </w:r>
      <w:r>
        <w:t xml:space="preserve">Papyan et al.. AI-Based Drone Assisted Human Rescue in Disaster Environments (2024). </w:t>
      </w:r>
      <w:hyperlink r:id="rId51">
        <w:r>
          <w:rPr>
            <w:color w:val="3B6F86"/>
            <w:u w:val="single"/>
          </w:rPr>
          <w:t>Source</w:t>
        </w:r>
      </w:hyperlink>
    </w:p>
    <w:p>
      <w:pPr>
        <w:pStyle w:val="SmallSans"/>
        <w:ind w:left="360" w:hanging="360"/>
        <w:widowControl w:val="1"/>
      </w:pPr>
      <w:r>
        <w:rPr>
          <w:b/>
          <w:color w:val="F09A4A"/>
        </w:rPr>
        <w:t xml:space="preserve">R22  </w:t>
      </w:r>
      <w:r>
        <w:t xml:space="preserve">Koneru et al.. KIT Offline Speech Translation and Instruction Following, IWSLT 2025. </w:t>
      </w:r>
      <w:hyperlink r:id="rId52">
        <w:r>
          <w:rPr>
            <w:color w:val="3B6F86"/>
            <w:u w:val="single"/>
          </w:rPr>
          <w:t>Source</w:t>
        </w:r>
      </w:hyperlink>
    </w:p>
    <w:p>
      <w:pPr>
        <w:pStyle w:val="SmallSans"/>
        <w:ind w:left="360" w:hanging="360"/>
        <w:widowControl w:val="1"/>
      </w:pPr>
      <w:r>
        <w:rPr>
          <w:b/>
          <w:color w:val="F09A4A"/>
        </w:rPr>
        <w:t xml:space="preserve">R23  </w:t>
      </w:r>
      <w:r>
        <w:t xml:space="preserve">Mbonimpa et al.. Edge-Based Speech Transcription and Synthesis for Kinyarwanda and Swahili (2025). </w:t>
      </w:r>
      <w:hyperlink r:id="rId53">
        <w:r>
          <w:rPr>
            <w:color w:val="3B6F86"/>
            <w:u w:val="single"/>
          </w:rPr>
          <w:t>Source</w:t>
        </w:r>
      </w:hyperlink>
    </w:p>
    <w:p>
      <w:pPr>
        <w:pStyle w:val="SmallSans"/>
        <w:ind w:left="360" w:hanging="360"/>
        <w:widowControl w:val="1"/>
      </w:pPr>
      <w:r>
        <w:rPr>
          <w:b/>
          <w:color w:val="F09A4A"/>
        </w:rPr>
        <w:t xml:space="preserve">R24  </w:t>
      </w:r>
      <w:r>
        <w:t xml:space="preserve">MLCommons. MLPerf Tiny benchmark and energy-aware edge inference methodology. </w:t>
      </w:r>
      <w:hyperlink r:id="rId54">
        <w:r>
          <w:rPr>
            <w:color w:val="3B6F86"/>
            <w:u w:val="single"/>
          </w:rPr>
          <w:t>Source</w:t>
        </w:r>
      </w:hyperlink>
    </w:p>
    <w:p>
      <w:pPr>
        <w:pStyle w:val="SmallSans"/>
        <w:ind w:left="360" w:hanging="360"/>
        <w:widowControl w:val="1"/>
      </w:pPr>
      <w:r>
        <w:rPr>
          <w:b/>
          <w:color w:val="F09A4A"/>
        </w:rPr>
        <w:t xml:space="preserve">R25  </w:t>
      </w:r>
      <w:r>
        <w:t xml:space="preserve">National Institute of Standards and Technology. AI Risk Management Framework and Generative AI Profile. </w:t>
      </w:r>
      <w:hyperlink r:id="rId55">
        <w:r>
          <w:rPr>
            <w:color w:val="3B6F86"/>
            <w:u w:val="single"/>
          </w:rPr>
          <w:t>Source</w:t>
        </w:r>
      </w:hyperlink>
    </w:p>
    <w:p>
      <w:pPr>
        <w:pStyle w:val="SmallSans"/>
        <w:ind w:left="360" w:hanging="360"/>
        <w:widowControl w:val="1"/>
      </w:pPr>
      <w:r>
        <w:rPr>
          <w:b/>
          <w:color w:val="F09A4A"/>
        </w:rPr>
        <w:t xml:space="preserve">R26  </w:t>
      </w:r>
      <w:r>
        <w:t xml:space="preserve">National Institute of Standards and Technology. Implementing a Zero Trust Architecture. </w:t>
      </w:r>
      <w:hyperlink r:id="rId56">
        <w:r>
          <w:rPr>
            <w:color w:val="3B6F86"/>
            <w:u w:val="single"/>
          </w:rPr>
          <w:t>Source</w:t>
        </w:r>
      </w:hyperlink>
    </w:p>
    <w:p>
      <w:pPr>
        <w:pStyle w:val="SmallSans"/>
        <w:ind w:left="360" w:hanging="360"/>
        <w:widowControl w:val="1"/>
      </w:pPr>
      <w:r>
        <w:rPr>
          <w:b/>
          <w:color w:val="F09A4A"/>
        </w:rPr>
        <w:t xml:space="preserve">R27  </w:t>
      </w:r>
      <w:r>
        <w:t xml:space="preserve">Yang et al.. REACT: Real-Time Edge-AI V2X Framework for Accident Avoidance (2025). </w:t>
      </w:r>
      <w:hyperlink r:id="rId57">
        <w:r>
          <w:rPr>
            <w:color w:val="3B6F86"/>
            <w:u w:val="single"/>
          </w:rPr>
          <w:t>Source</w:t>
        </w:r>
      </w:hyperlink>
    </w:p>
    <w:p>
      <w:pPr>
        <w:pStyle w:val="SmallSans"/>
        <w:ind w:left="360" w:hanging="360"/>
        <w:widowControl w:val="1"/>
      </w:pPr>
      <w:r>
        <w:rPr>
          <w:b/>
          <w:color w:val="F09A4A"/>
        </w:rPr>
        <w:t xml:space="preserve">R28  </w:t>
      </w:r>
      <w:r>
        <w:t xml:space="preserve">Chen et al.. INSIGHT: Vision-Language Models for Context-Aware Hazard Detection (2025). </w:t>
      </w:r>
      <w:hyperlink r:id="rId58">
        <w:r>
          <w:rPr>
            <w:color w:val="3B6F86"/>
            <w:u w:val="single"/>
          </w:rPr>
          <w:t>Source</w:t>
        </w:r>
      </w:hyperlink>
    </w:p>
    <w:p>
      <w:pPr>
        <w:pStyle w:val="SmallSans"/>
        <w:ind w:left="360" w:hanging="360"/>
        <w:widowControl w:val="1"/>
      </w:pPr>
      <w:r>
        <w:rPr>
          <w:b/>
          <w:color w:val="F09A4A"/>
        </w:rPr>
        <w:t xml:space="preserve">R29  </w:t>
      </w:r>
      <w:r>
        <w:t xml:space="preserve">Rahmati. Edge AI Decision-Making for Autonomous Vehicles in Adverse Weather (2025). </w:t>
      </w:r>
      <w:hyperlink r:id="rId59">
        <w:r>
          <w:rPr>
            <w:color w:val="3B6F86"/>
            <w:u w:val="single"/>
          </w:rPr>
          <w:t>Source</w:t>
        </w:r>
      </w:hyperlink>
    </w:p>
    <w:p>
      <w:pPr>
        <w:pStyle w:val="SmallSans"/>
        <w:ind w:left="360" w:hanging="360"/>
        <w:widowControl w:val="1"/>
      </w:pPr>
      <w:r>
        <w:rPr>
          <w:b/>
          <w:color w:val="F09A4A"/>
        </w:rPr>
        <w:t xml:space="preserve">R30  </w:t>
      </w:r>
      <w:r>
        <w:t xml:space="preserve">UNESCO. AI and the Future of Education: Disruptions, Dilemmas and Directions (2025). </w:t>
      </w:r>
      <w:hyperlink r:id="rId60">
        <w:r>
          <w:rPr>
            <w:color w:val="3B6F86"/>
            <w:u w:val="single"/>
          </w:rPr>
          <w:t>Source</w:t>
        </w:r>
      </w:hyperlink>
    </w:p>
    <w:p>
      <w:pPr>
        <w:widowControl w:val="1"/>
      </w:pPr>
      <w:r>
        <w:br w:type="page"/>
      </w:r>
    </w:p>
    <w:p>
      <w:pPr>
        <w:spacing w:before="3000"/>
        <w:ind w:firstLine="0"/>
        <w:jc w:val="center"/>
        <w:widowControl w:val="1"/>
      </w:pPr>
      <w:r>
        <w:rPr>
          <w:rFonts w:ascii="Noto Serif" w:hAnsi="Noto Serif"/>
          <w:b/>
          <w:color w:val="17232C"/>
          <w:sz w:val="50"/>
        </w:rPr>
        <w:t>THE EDGE OF THE WORLD</w:t>
        <w:br/>
        <w:t>IS NOT THE EDGE OF INTELLIGENCE.</w:t>
      </w:r>
    </w:p>
    <w:p>
      <w:pPr>
        <w:spacing w:before="600"/>
        <w:ind w:firstLine="0"/>
        <w:jc w:val="center"/>
        <w:widowControl w:val="1"/>
      </w:pPr>
      <w:r>
        <w:rPr>
          <w:rFonts w:ascii="Noto Sans" w:hAnsi="Noto Sans"/>
          <w:b/>
          <w:color w:val="F09A4A"/>
          <w:sz w:val="20"/>
        </w:rPr>
        <w:t>GRAYLAN JANULIS</w:t>
      </w:r>
    </w:p>
    <w:sectPr w:rsidR="00FC693F" w:rsidRPr="0006063C" w:rsidSect="00034616">
      <w:headerReference w:type="default" r:id="rId13"/>
      <w:footerReference w:type="default" r:id="rId14"/>
      <w:pgSz w:w="10080" w:h="14400"/>
      <w:pgMar w:top="1008" w:right="950" w:bottom="979" w:left="1066" w:header="346"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b/>
        <w:color w:val="6F8494"/>
        <w:sz w:val="14"/>
      </w:rPr>
      <w:t>INFERENCE AT THE EDGE OF THE WORLD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ind w:firstLine="288"/>
      <w:jc w:val="both"/>
    </w:pPr>
    <w:rPr>
      <w:rFonts w:ascii="Noto Serif" w:hAnsi="Noto Serif" w:eastAsia="Noto Serif"/>
      <w:color w:val="1723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Noto Serif" w:hAnsi="Noto Serif" w:eastAsia="Noto Serif"/>
      <w:b/>
      <w:bCs/>
      <w:color w:val="17232C"/>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eastAsia="Noto Sans"/>
      <w:b/>
      <w:bCs/>
      <w:color w:val="4FD4D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Noto Sans"/>
      <w:b/>
      <w:bCs/>
      <w:color w:val="F09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Noto Serif" w:hAnsi="Noto Serif" w:eastAsia="Noto Serif"/>
      <w:color w:val="FFFFF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pPr>
    <w:rPr>
      <w:rFonts w:asciiTheme="majorHAnsi" w:eastAsiaTheme="majorEastAsia" w:hAnsiTheme="majorHAnsi" w:cstheme="majorBidi" w:ascii="Noto Sans" w:hAnsi="Noto Sans" w:eastAsia="Noto Sans"/>
      <w:i/>
      <w:iCs/>
      <w:color w:val="D9E5E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Noto Sans" w:hAnsi="Noto Sans" w:eastAsia="Noto Sans"/>
      <w:b w:val="0"/>
      <w:bCs/>
      <w:i w:val="0"/>
      <w:color w:val="6F786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peditionLabel">
    <w:name w:val="Expedition Label"/>
    <w:basedOn w:val="Normal"/>
    <w:pPr>
      <w:spacing w:after="80"/>
      <w:ind w:firstLine="0"/>
    </w:pPr>
    <w:rPr>
      <w:rFonts w:ascii="Noto Sans" w:hAnsi="Noto Sans" w:eastAsia="Noto Sans"/>
      <w:b/>
      <w:i w:val="0"/>
      <w:color w:val="4FD4D8"/>
      <w:sz w:val="20"/>
    </w:rPr>
  </w:style>
  <w:style w:type="paragraph" w:customStyle="1" w:styleId="MissionNumber">
    <w:name w:val="Mission Number"/>
    <w:basedOn w:val="Normal"/>
    <w:pPr>
      <w:spacing w:after="80"/>
      <w:ind w:firstLine="0"/>
    </w:pPr>
    <w:rPr>
      <w:rFonts w:ascii="Noto Sans" w:hAnsi="Noto Sans" w:eastAsia="Noto Sans"/>
      <w:b/>
      <w:i w:val="0"/>
      <w:color w:val="F09A4A"/>
      <w:sz w:val="21"/>
    </w:rPr>
  </w:style>
  <w:style w:type="paragraph" w:customStyle="1" w:styleId="MissionTitle">
    <w:name w:val="Mission Title"/>
    <w:basedOn w:val="Normal"/>
    <w:pPr>
      <w:spacing w:after="80"/>
      <w:ind w:firstLine="0"/>
      <w:jc w:val="left"/>
    </w:pPr>
    <w:rPr>
      <w:rFonts w:ascii="Noto Serif" w:hAnsi="Noto Serif" w:eastAsia="Noto Serif"/>
      <w:b/>
      <w:i w:val="0"/>
      <w:color w:val="17232C"/>
      <w:sz w:val="50"/>
    </w:rPr>
  </w:style>
  <w:style w:type="paragraph" w:customStyle="1" w:styleId="FieldSubtitle">
    <w:name w:val="Field Subtitle"/>
    <w:basedOn w:val="Normal"/>
    <w:pPr>
      <w:spacing w:after="80"/>
      <w:ind w:firstLine="0"/>
    </w:pPr>
    <w:rPr>
      <w:rFonts w:ascii="Noto Serif" w:hAnsi="Noto Serif" w:eastAsia="Noto Serif"/>
      <w:b w:val="0"/>
      <w:i/>
      <w:color w:val="6F786F"/>
      <w:sz w:val="23"/>
    </w:rPr>
  </w:style>
  <w:style w:type="paragraph" w:customStyle="1" w:styleId="SmallSans">
    <w:name w:val="Small Sans"/>
    <w:basedOn w:val="Normal"/>
    <w:pPr>
      <w:spacing w:after="80"/>
      <w:ind w:firstLine="0"/>
    </w:pPr>
    <w:rPr>
      <w:rFonts w:ascii="Noto Sans" w:hAnsi="Noto Sans" w:eastAsia="Noto Sans"/>
      <w:b w:val="0"/>
      <w:i w:val="0"/>
      <w:color w:val="6F786F"/>
      <w:sz w:val="16"/>
    </w:rPr>
  </w:style>
  <w:style w:type="paragraph" w:customStyle="1" w:styleId="TOCMission">
    <w:name w:val="TOC Mission"/>
    <w:basedOn w:val="Normal"/>
    <w:pPr>
      <w:spacing w:after="80"/>
      <w:ind w:firstLine="0"/>
    </w:pPr>
    <w:rPr>
      <w:rFonts w:ascii="Noto Serif" w:hAnsi="Noto Serif" w:eastAsia="Noto Serif"/>
      <w:b w:val="0"/>
      <w:i w:val="0"/>
      <w:color w:val="17232C"/>
      <w:sz w:val="20"/>
    </w:rPr>
  </w:style>
  <w:style w:type="paragraph" w:customStyle="1" w:styleId="TOCExpedition">
    <w:name w:val="TOC Expedition"/>
    <w:basedOn w:val="Normal"/>
    <w:pPr>
      <w:spacing w:after="80"/>
      <w:ind w:firstLine="0"/>
    </w:pPr>
    <w:rPr>
      <w:rFonts w:ascii="Noto Sans" w:hAnsi="Noto Sans" w:eastAsia="Noto Sans"/>
      <w:b/>
      <w:i w:val="0"/>
      <w:color w:val="8172D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hyperlink" Target="https://www.who.int/publications/m/item/artificial-intelligence-for-health" TargetMode="External"/><Relationship Id="rId32" Type="http://schemas.openxmlformats.org/officeDocument/2006/relationships/hyperlink" Target="https://www.who.int/publications/i/item/9789240089907" TargetMode="External"/><Relationship Id="rId33" Type="http://schemas.openxmlformats.org/officeDocument/2006/relationships/hyperlink" Target="https://www.who.int/publications/i/item/9789240099456" TargetMode="External"/><Relationship Id="rId34" Type="http://schemas.openxmlformats.org/officeDocument/2006/relationships/hyperlink" Target="https://www.who.int/publications/b/70344" TargetMode="External"/><Relationship Id="rId35" Type="http://schemas.openxmlformats.org/officeDocument/2006/relationships/hyperlink" Target="https://www.who.int/publications/i/item/9789241550505" TargetMode="External"/><Relationship Id="rId36" Type="http://schemas.openxmlformats.org/officeDocument/2006/relationships/hyperlink" Target="https://www.unicef.org/digitalimpact/reports/healthconnekt-investment-opportunity" TargetMode="External"/><Relationship Id="rId37" Type="http://schemas.openxmlformats.org/officeDocument/2006/relationships/hyperlink" Target="https://www.itu.int/hub/publication/S-REP-WTISD-2026/" TargetMode="External"/><Relationship Id="rId38" Type="http://schemas.openxmlformats.org/officeDocument/2006/relationships/hyperlink" Target="https://www.itu.int/hub/publication/d-stg-sg01-03-1-2025/" TargetMode="External"/><Relationship Id="rId39" Type="http://schemas.openxmlformats.org/officeDocument/2006/relationships/hyperlink" Target="https://www.itu.int/en/ITU-D/Emergency-Telecommunications/Pages/Publications/ai-ew4all-report.aspx" TargetMode="External"/><Relationship Id="rId40" Type="http://schemas.openxmlformats.org/officeDocument/2006/relationships/hyperlink" Target="https://www.wfp.org/wfp-drones" TargetMode="External"/><Relationship Id="rId41" Type="http://schemas.openxmlformats.org/officeDocument/2006/relationships/hyperlink" Target="https://www.imo.org/en/mediacentre/pressbriefings/pages/imo-adopts-mass-code.aspx" TargetMode="External"/><Relationship Id="rId42" Type="http://schemas.openxmlformats.org/officeDocument/2006/relationships/hyperlink" Target="https://www.imo.org/en/mediacentre/hottopics/pages/autonomous-shipping.aspx" TargetMode="External"/><Relationship Id="rId43" Type="http://schemas.openxmlformats.org/officeDocument/2006/relationships/hyperlink" Target="https://www.fao.org/digital-services/en" TargetMode="External"/><Relationship Id="rId44" Type="http://schemas.openxmlformats.org/officeDocument/2006/relationships/hyperlink" Target="https://www.fao.org/innovation/digital-agriculture-and-ai-innovation/en" TargetMode="External"/><Relationship Id="rId45" Type="http://schemas.openxmlformats.org/officeDocument/2006/relationships/hyperlink" Target="https://www.fao.org/family-farming/detail/en/c/1738176/" TargetMode="External"/><Relationship Id="rId46" Type="http://schemas.openxmlformats.org/officeDocument/2006/relationships/hyperlink" Target="https://agris.fao.org/search/en/providers/122413/records/687a9691cf4175686a38b76b" TargetMode="External"/><Relationship Id="rId47" Type="http://schemas.openxmlformats.org/officeDocument/2006/relationships/hyperlink" Target="https://arxiv.org/abs/2408.17216" TargetMode="External"/><Relationship Id="rId48" Type="http://schemas.openxmlformats.org/officeDocument/2006/relationships/hyperlink" Target="https://arxiv.org/abs/2405.05611" TargetMode="External"/><Relationship Id="rId49" Type="http://schemas.openxmlformats.org/officeDocument/2006/relationships/hyperlink" Target="https://arxiv.org/abs/2501.12087" TargetMode="External"/><Relationship Id="rId50" Type="http://schemas.openxmlformats.org/officeDocument/2006/relationships/hyperlink" Target="https://arxiv.org/abs/2504.06406" TargetMode="External"/><Relationship Id="rId51" Type="http://schemas.openxmlformats.org/officeDocument/2006/relationships/hyperlink" Target="https://arxiv.org/abs/2406.15875" TargetMode="External"/><Relationship Id="rId52" Type="http://schemas.openxmlformats.org/officeDocument/2006/relationships/hyperlink" Target="https://arxiv.org/abs/2505.13036" TargetMode="External"/><Relationship Id="rId53" Type="http://schemas.openxmlformats.org/officeDocument/2006/relationships/hyperlink" Target="https://arxiv.org/abs/2510.16497" TargetMode="External"/><Relationship Id="rId54" Type="http://schemas.openxmlformats.org/officeDocument/2006/relationships/hyperlink" Target="https://mlcommons.org/working-groups/benchmarks/tiny/" TargetMode="External"/><Relationship Id="rId55" Type="http://schemas.openxmlformats.org/officeDocument/2006/relationships/hyperlink" Target="https://www.nist.gov/itl/ai-risk-management-framework" TargetMode="External"/><Relationship Id="rId56" Type="http://schemas.openxmlformats.org/officeDocument/2006/relationships/hyperlink" Target="https://csrc.nist.gov/pubs/pd/2020/10/21/implementing-a-zero-trust-architecture/final" TargetMode="External"/><Relationship Id="rId57" Type="http://schemas.openxmlformats.org/officeDocument/2006/relationships/hyperlink" Target="https://arxiv.org/abs/2508.01057" TargetMode="External"/><Relationship Id="rId58" Type="http://schemas.openxmlformats.org/officeDocument/2006/relationships/hyperlink" Target="https://arxiv.org/abs/2502.00262" TargetMode="External"/><Relationship Id="rId59" Type="http://schemas.openxmlformats.org/officeDocument/2006/relationships/hyperlink" Target="https://arxiv.org/abs/2503.09638" TargetMode="External"/><Relationship Id="rId60" Type="http://schemas.openxmlformats.org/officeDocument/2006/relationships/hyperlink" Target="https://www.unesco.org/en/articles/ai-and-future-education-disruptions-dilemmas-and-dir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at the Edge of the World</dc:title>
  <dc:subject>Field expedition manual for local AI systems in disconnected environments</dc:subject>
  <dc:creator>Graylan Janulis</dc:creator>
  <cp:keywords>edge AI, rural clinics, autonomous ships, disaster response, agriculture, vehicles, offline communities, TinyML</cp:keywords>
  <dc:description>generated by python-docx</dc:description>
  <cp:lastModifiedBy/>
  <cp:revision>1</cp:revision>
  <dcterms:created xsi:type="dcterms:W3CDTF">2013-12-23T23:15:00Z</dcterms:created>
  <dcterms:modified xsi:type="dcterms:W3CDTF">2013-12-23T23:15:00Z</dcterms:modified>
  <cp:category/>
</cp:coreProperties>
</file>