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ato" w:hAnsi="Lato"/>
          <w:b/>
          <w:color w:val="17365D"/>
          <w:sz w:val="68"/>
        </w:rPr>
        <w:t>CyberForge</w:t>
      </w:r>
    </w:p>
    <w:p>
      <w:pPr>
        <w:jc w:val="center"/>
      </w:pPr>
      <w:r>
        <w:rPr>
          <w:rFonts w:ascii="Lato" w:hAnsi="Lato"/>
          <w:b/>
          <w:color w:val="0B6E75"/>
          <w:sz w:val="34"/>
        </w:rPr>
        <w:t>A Local-First Multi-Model Digital Twin Architecture for Defensive Cybersecurity Simulation, Secure AI Orchestration, and Post-Quantum Recovery</w:t>
      </w:r>
    </w:p>
    <w:p>
      <w:pPr>
        <w:spacing w:before="200"/>
        <w:jc w:val="center"/>
      </w:pPr>
      <w:r>
        <w:rPr>
          <w:rFonts w:ascii="Lato" w:hAnsi="Lato"/>
          <w:i/>
          <w:color w:val="666666"/>
          <w:sz w:val="22"/>
        </w:rPr>
        <w:t>Research Monograph and System Design Study</w:t>
      </w:r>
    </w:p>
    <w:p>
      <w:pPr>
        <w:spacing w:before="240"/>
        <w:jc w:val="center"/>
      </w:pPr>
      <w:r>
        <w:drawing>
          <wp:inline xmlns:a="http://schemas.openxmlformats.org/drawingml/2006/main" xmlns:pic="http://schemas.openxmlformats.org/drawingml/2006/picture">
            <wp:extent cx="5715000" cy="3571875"/>
            <wp:docPr id="1" name="Picture 1" title="CyberForge command center cover illustration" descr="CyberForge command center interface showing the defensive scanner, simulated Gamma fabric, model council, and secure vault."/>
            <wp:cNvGraphicFramePr>
              <a:graphicFrameLocks noChangeAspect="1"/>
            </wp:cNvGraphicFramePr>
            <a:graphic>
              <a:graphicData uri="http://schemas.openxmlformats.org/drawingml/2006/picture">
                <pic:pic>
                  <pic:nvPicPr>
                    <pic:cNvPr id="0" name="cyberforge_v3_preview.png"/>
                    <pic:cNvPicPr/>
                  </pic:nvPicPr>
                  <pic:blipFill>
                    <a:blip r:embed="rId11"/>
                    <a:stretch>
                      <a:fillRect/>
                    </a:stretch>
                  </pic:blipFill>
                  <pic:spPr>
                    <a:xfrm>
                      <a:off x="0" y="0"/>
                      <a:ext cx="5715000" cy="3571875"/>
                    </a:xfrm>
                    <a:prstGeom prst="rect"/>
                  </pic:spPr>
                </pic:pic>
              </a:graphicData>
            </a:graphic>
          </wp:inline>
        </w:drawing>
      </w:r>
    </w:p>
    <w:p>
      <w:pPr>
        <w:spacing w:before="240"/>
        <w:jc w:val="center"/>
      </w:pPr>
      <w:r>
        <w:rPr>
          <w:rFonts w:ascii="Lato" w:hAnsi="Lato"/>
          <w:b/>
          <w:color w:val="17365D"/>
          <w:sz w:val="24"/>
        </w:rPr>
        <w:t>Graylan Janulis</w:t>
        <w:br/>
        <w:t>August 2026</w:t>
      </w:r>
    </w:p>
    <w:p>
      <w:pPr>
        <w:spacing w:before="280"/>
        <w:jc w:val="center"/>
      </w:pPr>
      <w:r>
        <w:rPr>
          <w:rFonts w:ascii="Lato" w:hAnsi="Lato"/>
          <w:color w:val="9C2F2F"/>
          <w:sz w:val="17"/>
        </w:rPr>
        <w:t>Defense-first scope: synthetic or owner-authorized systems only. No live exploitation, deceptive content, physical-entry procedures, or unsupported attribution.</w:t>
      </w:r>
    </w:p>
    <w:p>
      <w:r>
        <w:br w:type="page"/>
      </w:r>
    </w:p>
    <w:p>
      <w:pPr>
        <w:pStyle w:val="Heading1"/>
      </w:pPr>
      <w:r>
        <w:t>Research Status and Interpretive Boundaries</w:t>
      </w:r>
    </w:p>
    <w:tbl>
      <w:tblPr>
        <w:tblStyle w:val="TableGrid"/>
        <w:tblW w:type="auto" w:w="0"/>
        <w:jc w:val="center"/>
        <w:tblLook w:firstColumn="1" w:firstRow="1" w:lastColumn="0" w:lastRow="0" w:noHBand="0" w:noVBand="1" w:val="04A0"/>
      </w:tblPr>
      <w:tblGrid>
        <w:gridCol w:w="10080"/>
      </w:tblGrid>
      <w:tr>
        <w:trPr>
          <w:tblHeader/>
        </w:trPr>
        <w:tc>
          <w:tcPr>
            <w:tcW w:type="dxa" w:w="10080"/>
            <w:shd w:fill="EAF2F3"/>
          </w:tcPr>
          <w:p>
            <w:pPr>
              <w:spacing w:after="60"/>
            </w:pPr>
            <w:r/>
            <w:r>
              <w:rPr>
                <w:b/>
                <w:color w:val="17365D"/>
              </w:rPr>
              <w:t>Evidence classification</w:t>
            </w:r>
          </w:p>
          <w:p>
            <w:pPr>
              <w:spacing w:after="0"/>
            </w:pPr>
            <w:r>
              <w:t>This monograph distinguishes: (1) implemented and tested source behavior; (2) implemented components whose full runtime could not be exercised in the build environment; (3) proposed research extensions; (4) simulated interface metaphors; and (5) future operational claims requiring independent evidence. The 81,611,511-qubit Dyson Sphere Gamma language is a user-interface metaphor implemented with conventional software.</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7365D"/>
          </w:tcPr>
          <w:p>
            <w:pPr>
              <w:spacing w:after="0"/>
            </w:pPr>
            <w:r/>
            <w:r>
              <w:rPr>
                <w:rFonts w:ascii="Lato" w:hAnsi="Lato"/>
                <w:b/>
                <w:color w:val="FFFFFF"/>
                <w:sz w:val="15"/>
              </w:rPr>
              <w:t>Class</w:t>
            </w:r>
          </w:p>
        </w:tc>
        <w:tc>
          <w:tcPr>
            <w:tcW w:type="dxa" w:w="2664"/>
            <w:vAlign w:val="center"/>
            <w:shd w:fill="17365D"/>
          </w:tcPr>
          <w:p>
            <w:pPr>
              <w:spacing w:after="0"/>
            </w:pPr>
            <w:r/>
            <w:r>
              <w:rPr>
                <w:rFonts w:ascii="Lato" w:hAnsi="Lato"/>
                <w:b/>
                <w:color w:val="FFFFFF"/>
                <w:sz w:val="15"/>
              </w:rPr>
              <w:t>Meaning</w:t>
            </w:r>
          </w:p>
        </w:tc>
        <w:tc>
          <w:tcPr>
            <w:tcW w:type="dxa" w:w="4752"/>
            <w:vAlign w:val="center"/>
            <w:shd w:fill="17365D"/>
          </w:tcPr>
          <w:p>
            <w:pPr>
              <w:spacing w:after="0"/>
            </w:pPr>
            <w:r/>
            <w:r>
              <w:rPr>
                <w:rFonts w:ascii="Lato" w:hAnsi="Lato"/>
                <w:b/>
                <w:color w:val="FFFFFF"/>
                <w:sz w:val="15"/>
              </w:rPr>
              <w:t>Examples</w:t>
            </w:r>
          </w:p>
        </w:tc>
      </w:tr>
      <w:tr>
        <w:tc>
          <w:tcPr>
            <w:tcW w:type="dxa" w:w="1800"/>
            <w:vAlign w:val="center"/>
          </w:tcPr>
          <w:p>
            <w:pPr>
              <w:spacing w:after="0"/>
            </w:pPr>
            <w:r/>
            <w:r>
              <w:rPr>
                <w:rFonts w:ascii="Lato" w:hAnsi="Lato"/>
                <w:b w:val="0"/>
                <w:sz w:val="15"/>
              </w:rPr>
              <w:t>Implemented and measured</w:t>
            </w:r>
          </w:p>
        </w:tc>
        <w:tc>
          <w:tcPr>
            <w:tcW w:type="dxa" w:w="2664"/>
            <w:vAlign w:val="center"/>
          </w:tcPr>
          <w:p>
            <w:pPr>
              <w:spacing w:after="0"/>
            </w:pPr>
            <w:r/>
            <w:r>
              <w:rPr>
                <w:rFonts w:ascii="Lato" w:hAnsi="Lato"/>
                <w:b w:val="0"/>
                <w:sz w:val="15"/>
              </w:rPr>
              <w:t>Executed in the supplied source package or in the experiments reported here.</w:t>
            </w:r>
          </w:p>
        </w:tc>
        <w:tc>
          <w:tcPr>
            <w:tcW w:type="dxa" w:w="4752"/>
            <w:vAlign w:val="center"/>
          </w:tcPr>
          <w:p>
            <w:pPr>
              <w:spacing w:after="0"/>
            </w:pPr>
            <w:r/>
            <w:r>
              <w:rPr>
                <w:rFonts w:ascii="Lato" w:hAnsi="Lato"/>
                <w:b w:val="0"/>
                <w:sz w:val="15"/>
              </w:rPr>
              <w:t>Python test suite; offline scanner; default scenario; ablations; vault round trips.</w:t>
            </w:r>
          </w:p>
        </w:tc>
      </w:tr>
      <w:tr>
        <w:tc>
          <w:tcPr>
            <w:tcW w:type="dxa" w:w="1800"/>
            <w:vAlign w:val="center"/>
            <w:shd w:fill="F3F6F8"/>
          </w:tcPr>
          <w:p>
            <w:pPr>
              <w:spacing w:after="0"/>
            </w:pPr>
            <w:r/>
            <w:r>
              <w:rPr>
                <w:rFonts w:ascii="Lato" w:hAnsi="Lato"/>
                <w:b w:val="0"/>
                <w:sz w:val="15"/>
              </w:rPr>
              <w:t>Implemented, environment-limited</w:t>
            </w:r>
          </w:p>
        </w:tc>
        <w:tc>
          <w:tcPr>
            <w:tcW w:type="dxa" w:w="2664"/>
            <w:vAlign w:val="center"/>
            <w:shd w:fill="F3F6F8"/>
          </w:tcPr>
          <w:p>
            <w:pPr>
              <w:spacing w:after="0"/>
            </w:pPr>
            <w:r/>
            <w:r>
              <w:rPr>
                <w:rFonts w:ascii="Lato" w:hAnsi="Lato"/>
                <w:b w:val="0"/>
                <w:sz w:val="15"/>
              </w:rPr>
              <w:t>Code exists, but a large runtime, model, or platform dependency was not installed for this paper.</w:t>
            </w:r>
          </w:p>
        </w:tc>
        <w:tc>
          <w:tcPr>
            <w:tcW w:type="dxa" w:w="4752"/>
            <w:vAlign w:val="center"/>
            <w:shd w:fill="F3F6F8"/>
          </w:tcPr>
          <w:p>
            <w:pPr>
              <w:spacing w:after="0"/>
            </w:pPr>
            <w:r/>
            <w:r>
              <w:rPr>
                <w:rFonts w:ascii="Lato" w:hAnsi="Lato"/>
                <w:b w:val="0"/>
                <w:sz w:val="15"/>
              </w:rPr>
              <w:t>Gemma 4 inference; Llama 3 inference; Flutter analyzer in the build container; ML-KEM integration when liboqs is absent.</w:t>
            </w:r>
          </w:p>
        </w:tc>
      </w:tr>
      <w:tr>
        <w:tc>
          <w:tcPr>
            <w:tcW w:type="dxa" w:w="1800"/>
            <w:vAlign w:val="center"/>
          </w:tcPr>
          <w:p>
            <w:pPr>
              <w:spacing w:after="0"/>
            </w:pPr>
            <w:r/>
            <w:r>
              <w:rPr>
                <w:rFonts w:ascii="Lato" w:hAnsi="Lato"/>
                <w:b w:val="0"/>
                <w:sz w:val="15"/>
              </w:rPr>
              <w:t>Proposed</w:t>
            </w:r>
          </w:p>
        </w:tc>
        <w:tc>
          <w:tcPr>
            <w:tcW w:type="dxa" w:w="2664"/>
            <w:vAlign w:val="center"/>
          </w:tcPr>
          <w:p>
            <w:pPr>
              <w:spacing w:after="0"/>
            </w:pPr>
            <w:r/>
            <w:r>
              <w:rPr>
                <w:rFonts w:ascii="Lato" w:hAnsi="Lato"/>
                <w:b w:val="0"/>
                <w:sz w:val="15"/>
              </w:rPr>
              <w:t>Architecture or protocol recommended for future work, not represented as a measured capability.</w:t>
            </w:r>
          </w:p>
        </w:tc>
        <w:tc>
          <w:tcPr>
            <w:tcW w:type="dxa" w:w="4752"/>
            <w:vAlign w:val="center"/>
          </w:tcPr>
          <w:p>
            <w:pPr>
              <w:spacing w:after="0"/>
            </w:pPr>
            <w:r/>
            <w:r>
              <w:rPr>
                <w:rFonts w:ascii="Lato" w:hAnsi="Lato"/>
                <w:b w:val="0"/>
                <w:sz w:val="15"/>
              </w:rPr>
              <w:t>Operational calibration program; sector overlays; signed report attestations; longitudinal field trials.</w:t>
            </w:r>
          </w:p>
        </w:tc>
      </w:tr>
      <w:tr>
        <w:tc>
          <w:tcPr>
            <w:tcW w:type="dxa" w:w="1800"/>
            <w:vAlign w:val="center"/>
            <w:shd w:fill="F3F6F8"/>
          </w:tcPr>
          <w:p>
            <w:pPr>
              <w:spacing w:after="0"/>
            </w:pPr>
            <w:r/>
            <w:r>
              <w:rPr>
                <w:rFonts w:ascii="Lato" w:hAnsi="Lato"/>
                <w:b w:val="0"/>
                <w:sz w:val="15"/>
              </w:rPr>
              <w:t>Simulated interface</w:t>
            </w:r>
          </w:p>
        </w:tc>
        <w:tc>
          <w:tcPr>
            <w:tcW w:type="dxa" w:w="2664"/>
            <w:vAlign w:val="center"/>
            <w:shd w:fill="F3F6F8"/>
          </w:tcPr>
          <w:p>
            <w:pPr>
              <w:spacing w:after="0"/>
            </w:pPr>
            <w:r/>
            <w:r>
              <w:rPr>
                <w:rFonts w:ascii="Lato" w:hAnsi="Lato"/>
                <w:b w:val="0"/>
                <w:sz w:val="15"/>
              </w:rPr>
              <w:t>Cinematic or explanatory label with an explicit conventional implementation.</w:t>
            </w:r>
          </w:p>
        </w:tc>
        <w:tc>
          <w:tcPr>
            <w:tcW w:type="dxa" w:w="4752"/>
            <w:vAlign w:val="center"/>
            <w:shd w:fill="F3F6F8"/>
          </w:tcPr>
          <w:p>
            <w:pPr>
              <w:spacing w:after="0"/>
            </w:pPr>
            <w:r/>
            <w:r>
              <w:rPr>
                <w:rFonts w:ascii="Lato" w:hAnsi="Lato"/>
                <w:b w:val="0"/>
                <w:sz w:val="15"/>
              </w:rPr>
              <w:t>AEGIS-816; Dyson Sphere Gamma; simulated qubits; simulated coherence.</w:t>
            </w:r>
          </w:p>
        </w:tc>
      </w:tr>
      <w:tr>
        <w:tc>
          <w:tcPr>
            <w:tcW w:type="dxa" w:w="1800"/>
            <w:vAlign w:val="center"/>
          </w:tcPr>
          <w:p>
            <w:pPr>
              <w:spacing w:after="0"/>
            </w:pPr>
            <w:r/>
            <w:r>
              <w:rPr>
                <w:rFonts w:ascii="Lato" w:hAnsi="Lato"/>
                <w:b w:val="0"/>
                <w:sz w:val="15"/>
              </w:rPr>
              <w:t>Prohibited inference</w:t>
            </w:r>
          </w:p>
        </w:tc>
        <w:tc>
          <w:tcPr>
            <w:tcW w:type="dxa" w:w="2664"/>
            <w:vAlign w:val="center"/>
          </w:tcPr>
          <w:p>
            <w:pPr>
              <w:spacing w:after="0"/>
            </w:pPr>
            <w:r/>
            <w:r>
              <w:rPr>
                <w:rFonts w:ascii="Lato" w:hAnsi="Lato"/>
                <w:b w:val="0"/>
                <w:sz w:val="15"/>
              </w:rPr>
              <w:t>Claim the system must not make without verified external evidence.</w:t>
            </w:r>
          </w:p>
        </w:tc>
        <w:tc>
          <w:tcPr>
            <w:tcW w:type="dxa" w:w="4752"/>
            <w:vAlign w:val="center"/>
          </w:tcPr>
          <w:p>
            <w:pPr>
              <w:spacing w:after="0"/>
            </w:pPr>
            <w:r/>
            <w:r>
              <w:rPr>
                <w:rFonts w:ascii="Lato" w:hAnsi="Lato"/>
                <w:b w:val="0"/>
                <w:sz w:val="15"/>
              </w:rPr>
              <w:t>Threat actor or country attribution; exact forensic entry time; confirmed machine count; named-person susceptibility.</w:t>
            </w:r>
          </w:p>
        </w:tc>
      </w:tr>
    </w:tbl>
    <w:p>
      <w:pPr>
        <w:spacing w:after="0"/>
      </w:pPr>
    </w:p>
    <w:p>
      <w:pPr>
        <w:pStyle w:val="Heading1"/>
      </w:pPr>
      <w:r>
        <w:t>Abstract</w:t>
      </w:r>
    </w:p>
    <w:p>
      <w:r>
        <w:t>Cybersecurity organizations increasingly operate with fragmented evidence: inventories, identity logs, endpoint coverage reports, supplier questionnaires, physical-security observations, cloud configuration data, and human workflow constraints. Conventional dashboards summarize these sources but rarely model how failures propagate across trust relationships or how uncertainty should change decisions. This monograph presents CyberForge, a local-first defensive AI simulation architecture that converts heterogeneous observations into a typed digital twin, applies bounded trust-graph propagation and seeded Monte Carlo simulation, and uses a role-separated council of local and optional remote language models to critique controls and evidence needs. The system combines a Flutter command center with a loopback FastAPI sidecar, a NAZA-style Super Scanner, an AEGIS-816 simulation interface, local Llama 3 surface micro-scans, local Gemma 4 E2B private synthesis, optional GPT-5.6, Grok 4.5, Kimi, and Gemini critics, an offline deterministic fallback, an Argon2id and AES-256-GCM provider vault, encrypted model storage, and optional hybrid ML-KEM/X25519 recovery. The paper develops the surface and link ontology, formalizes risk, impact, confidence, and affected-equivalent inventory, explains safety and truth-label requirements, and maps the architecture to NIST digital-twin, AI-risk, zero-trust, incident-response, and control-assessment guidance. An empirical software evaluation reports eleven passing Python tests and 210 reproducible synthetic scans. In the default scenario, overall modeled risk was 0.324, remote access was the highest-risk surface, and the strongest dependency pressure linked vendor support to remote access. Control-strength, graph, and telemetry ablations behaved monotonically in the expected direction, while runtime increased from approximately 3.3 milliseconds at 1,000 worlds to 23.2 milliseconds at 50,000 worlds on the build host. These results establish implementation behavior, not predictive validity. The principal conclusion is that CyberForge is best understood as an auditable hypothesis-construction and control-prioritization instrument. Its value depends on explicit authorization, source provenance, local-first data handling, visible disagreement, calibration against authorized evidence, and refusal to convert simulation into attribution or operational attack guidance.</w:t>
      </w:r>
    </w:p>
    <w:p>
      <w:pPr>
        <w:pStyle w:val="Heading1"/>
      </w:pPr>
      <w:r>
        <w:t>Executive Summary</w:t>
      </w:r>
    </w:p>
    <w:p>
      <w:r>
        <w:t>CyberForge addresses a recurring blue-team problem: the organization knows many isolated facts but lacks a coherent, revisable explanation of how those facts interact. A weak vendor account, an exposed remote gateway, a shared endpoint fleet, and a cloud automation identity may each appear manageable in separate dashboards. Their combination can create a dependency structure whose operational effect is larger than any individual score. The proposed system represents those elements as typed surfaces and directed trust relationships, then asks a numerical simulator and bounded AI models to identify priorities, assumptions, evidence gaps, and control interventions.</w:t>
      </w:r>
    </w:p>
    <w:p>
      <w:r>
        <w:t>The architecture is deliberately local-first. The numerical scanner works without any language model or provider key. Local Llama 3 can inspect individual surfaces, and local Gemma 4 E2B can synthesize the private report. Cloud models are optional critics and receive only a recursively redacted abstract packet after explicit authorization. Provider credentials and model-encryption keys are protected by an Argon2id and AES-256-GCM vault with data-key rotation and short-lived sessions. Optional post-quantum recovery combines ML-KEM with X25519 and derives an AES-GCM content key through HKDF.</w:t>
      </w:r>
    </w:p>
    <w:p>
      <w:r>
        <w:t>The system does not attempt live exploitation. It does not generate phishing messages, malware, credential-harvesting procedures, bypass instructions, or physical-entry methods. It also refuses unsupported actor and country attribution. Risk output is a comparative planning index; affected-equivalent inventory is simulated loss of trustworthy operation; time windows are relative planning windows; and graph paths are defensive dependency amplifiers. These definitions are repeated because the most serious failure would be epistemic: a user mistaking a vivid simulation for a forensic finding.</w:t>
      </w:r>
    </w:p>
    <w:p>
      <w:r>
        <w:t>The present evaluation demonstrates that the source package is coherent enough to test as software. Eleven Python tests passed. The offline default scenario completed without local or cloud models. The scanner produced dimension scores, surface findings, impact quantiles, timeline pressure, trust paths, evidence requests, and a model-council baseline. Ablations showed that stronger controls lowered the index, stronger trust with weaker link controls increased it, and higher telemetry confidence changed both risk and confidence in the intended direction. These are construct-validity checks; they do not prove that the model predicts real incidents.</w:t>
      </w:r>
    </w:p>
    <w:p>
      <w:r>
        <w:t>The research roadmap therefore emphasizes calibration and human usefulness over model accumulation. Future studies should compare CyberForge priorities with independent expert assessments, observed exercise outcomes, control-assessment findings, and later incident or outage evidence. They should measure whether local models add value over the numerical baseline, whether any remote critic contributes unique useful information, whether users understand uncertainty labels, and whether the system reduces time to evidence-backed control action. Components that add no measured value should be removed.</w:t>
      </w:r>
    </w:p>
    <w:p>
      <w:pPr>
        <w:pStyle w:val="Heading1"/>
      </w:pPr>
      <w:r>
        <w:t>Full Table of Contents</w:t>
      </w:r>
    </w:p>
    <w:p>
      <w:pPr>
        <w:pStyle w:val="TOCEntry"/>
      </w:pPr>
      <w:r>
        <w:rPr>
          <w:b/>
          <w:color w:val="17365D"/>
        </w:rPr>
        <w:t>Chapter 1. Problem Definition, Thesis, and Research Contributions</w:t>
      </w:r>
    </w:p>
    <w:p>
      <w:pPr>
        <w:pStyle w:val="TOCEntry"/>
        <w:ind w:left="360"/>
      </w:pPr>
      <w:r>
        <w:t>1.1 From inventories to operational hypotheses</w:t>
      </w:r>
    </w:p>
    <w:p>
      <w:pPr>
        <w:pStyle w:val="TOCEntry"/>
        <w:ind w:left="360"/>
      </w:pPr>
      <w:r>
        <w:t>1.2 CyberForge as a local-first defensive research platform</w:t>
      </w:r>
    </w:p>
    <w:p>
      <w:pPr>
        <w:pStyle w:val="TOCEntry"/>
      </w:pPr>
      <w:r>
        <w:rPr>
          <w:b/>
          <w:color w:val="17365D"/>
        </w:rPr>
        <w:t>Chapter 2. Related Work and Conceptual Foundations</w:t>
      </w:r>
    </w:p>
    <w:p>
      <w:pPr>
        <w:pStyle w:val="TOCEntry"/>
        <w:ind w:left="360"/>
      </w:pPr>
      <w:r>
        <w:t>2.1 Digital twins and cyber ranges</w:t>
      </w:r>
    </w:p>
    <w:p>
      <w:pPr>
        <w:pStyle w:val="TOCEntry"/>
        <w:ind w:left="360"/>
      </w:pPr>
      <w:r>
        <w:t>2.2 Risk frameworks, ATT&amp;CK, D3FEND, and control catalogs</w:t>
      </w:r>
    </w:p>
    <w:p>
      <w:pPr>
        <w:pStyle w:val="TOCEntry"/>
      </w:pPr>
      <w:r>
        <w:rPr>
          <w:b/>
          <w:color w:val="17365D"/>
        </w:rPr>
        <w:t>Chapter 3. Research Questions, Requirements, and Evidence Boundaries</w:t>
      </w:r>
    </w:p>
    <w:p>
      <w:pPr>
        <w:pStyle w:val="TOCEntry"/>
        <w:ind w:left="360"/>
      </w:pPr>
      <w:r>
        <w:t>3.1 Research questions and hypotheses</w:t>
      </w:r>
    </w:p>
    <w:p>
      <w:pPr>
        <w:pStyle w:val="TOCEntry"/>
        <w:ind w:left="360"/>
      </w:pPr>
      <w:r>
        <w:t>3.2 Truth labels and forbidden inferences</w:t>
      </w:r>
    </w:p>
    <w:p>
      <w:pPr>
        <w:pStyle w:val="TOCEntry"/>
      </w:pPr>
      <w:r>
        <w:rPr>
          <w:b/>
          <w:color w:val="17365D"/>
        </w:rPr>
        <w:t>Chapter 4. Formal System Model and Notation</w:t>
      </w:r>
    </w:p>
    <w:p>
      <w:pPr>
        <w:pStyle w:val="TOCEntry"/>
        <w:ind w:left="360"/>
      </w:pPr>
      <w:r>
        <w:t>4.1 Surface and link representation</w:t>
      </w:r>
    </w:p>
    <w:p>
      <w:pPr>
        <w:pStyle w:val="TOCEntry"/>
        <w:ind w:left="360"/>
      </w:pPr>
      <w:r>
        <w:t>4.2 Risk, impact, confidence, and uncertainty</w:t>
      </w:r>
    </w:p>
    <w:p>
      <w:pPr>
        <w:pStyle w:val="TOCEntry"/>
      </w:pPr>
      <w:r>
        <w:rPr>
          <w:b/>
          <w:color w:val="17365D"/>
        </w:rPr>
        <w:t>Chapter 5. Surface Ontology and Scenario Data Model</w:t>
      </w:r>
    </w:p>
    <w:p>
      <w:pPr>
        <w:pStyle w:val="TOCEntry"/>
        <w:ind w:left="360"/>
      </w:pPr>
      <w:r>
        <w:t>5.1 Typed defensive surfaces</w:t>
      </w:r>
    </w:p>
    <w:p>
      <w:pPr>
        <w:pStyle w:val="TOCEntry"/>
        <w:ind w:left="360"/>
      </w:pPr>
      <w:r>
        <w:t>5.2 Scenario authoring and version control</w:t>
      </w:r>
    </w:p>
    <w:p>
      <w:pPr>
        <w:pStyle w:val="TOCEntry"/>
      </w:pPr>
      <w:r>
        <w:rPr>
          <w:b/>
          <w:color w:val="17365D"/>
        </w:rPr>
        <w:t>Chapter 6. The Super Scanner Pipeline</w:t>
      </w:r>
    </w:p>
    <w:p>
      <w:pPr>
        <w:pStyle w:val="TOCEntry"/>
        <w:ind w:left="360"/>
      </w:pPr>
      <w:r>
        <w:t>6.1 Stage-by-stage scanner design</w:t>
      </w:r>
    </w:p>
    <w:p>
      <w:pPr>
        <w:pStyle w:val="TOCEntry"/>
        <w:ind w:left="360"/>
      </w:pPr>
      <w:r>
        <w:t>6.2 Individual and collective scanning</w:t>
      </w:r>
    </w:p>
    <w:p>
      <w:pPr>
        <w:pStyle w:val="TOCEntry"/>
      </w:pPr>
      <w:r>
        <w:rPr>
          <w:b/>
          <w:color w:val="17365D"/>
        </w:rPr>
        <w:t>Chapter 7. AEGIS-816: Seeded Monte Carlo Simulation</w:t>
      </w:r>
    </w:p>
    <w:p>
      <w:pPr>
        <w:pStyle w:val="TOCEntry"/>
        <w:ind w:left="360"/>
      </w:pPr>
      <w:r>
        <w:t>7.1 Conventional computation behind the gamma metaphor</w:t>
      </w:r>
    </w:p>
    <w:p>
      <w:pPr>
        <w:pStyle w:val="TOCEntry"/>
        <w:ind w:left="360"/>
      </w:pPr>
      <w:r>
        <w:t>7.2 Common-pressure sampling and affected-equivalent impact</w:t>
      </w:r>
    </w:p>
    <w:p>
      <w:pPr>
        <w:pStyle w:val="TOCEntry"/>
      </w:pPr>
      <w:r>
        <w:rPr>
          <w:b/>
          <w:color w:val="17365D"/>
        </w:rPr>
        <w:t>Chapter 8. Trust-Graph Propagation and Systemic Risk</w:t>
      </w:r>
    </w:p>
    <w:p>
      <w:pPr>
        <w:pStyle w:val="TOCEntry"/>
        <w:ind w:left="360"/>
      </w:pPr>
      <w:r>
        <w:t>8.1 Bounded message passing</w:t>
      </w:r>
    </w:p>
    <w:p>
      <w:pPr>
        <w:pStyle w:val="TOCEntry"/>
        <w:ind w:left="360"/>
      </w:pPr>
      <w:r>
        <w:t>8.2 Graph ablation and interpretation</w:t>
      </w:r>
    </w:p>
    <w:p>
      <w:pPr>
        <w:pStyle w:val="TOCEntry"/>
      </w:pPr>
      <w:r>
        <w:rPr>
          <w:b/>
          <w:color w:val="17365D"/>
        </w:rPr>
        <w:t>Chapter 9. Temporal, Geographic, and Physical-Security Modeling</w:t>
      </w:r>
    </w:p>
    <w:p>
      <w:pPr>
        <w:pStyle w:val="TOCEntry"/>
        <w:ind w:left="360"/>
      </w:pPr>
      <w:r>
        <w:t>9.1 Relative temporal pressure</w:t>
      </w:r>
    </w:p>
    <w:p>
      <w:pPr>
        <w:pStyle w:val="TOCEntry"/>
        <w:ind w:left="360"/>
      </w:pPr>
      <w:r>
        <w:t>9.2 Named locations, coordinates, routes, and facilities</w:t>
      </w:r>
    </w:p>
    <w:p>
      <w:pPr>
        <w:pStyle w:val="TOCEntry"/>
      </w:pPr>
      <w:r>
        <w:rPr>
          <w:b/>
          <w:color w:val="17365D"/>
        </w:rPr>
        <w:t>Chapter 10. Local Models: Llama 3 and Gemma 4 E2B</w:t>
      </w:r>
    </w:p>
    <w:p>
      <w:pPr>
        <w:pStyle w:val="TOCEntry"/>
        <w:ind w:left="360"/>
      </w:pPr>
      <w:r>
        <w:t>10.1 Llama 3 as a bounded micro-scanner</w:t>
      </w:r>
    </w:p>
    <w:p>
      <w:pPr>
        <w:pStyle w:val="TOCEntry"/>
        <w:ind w:left="360"/>
      </w:pPr>
      <w:r>
        <w:t>10.2 Gemma 4 E2B as a private synthesizer</w:t>
      </w:r>
    </w:p>
    <w:p>
      <w:pPr>
        <w:pStyle w:val="TOCEntry"/>
      </w:pPr>
      <w:r>
        <w:rPr>
          <w:b/>
          <w:color w:val="17365D"/>
        </w:rPr>
        <w:t>Chapter 11. The Multi-Model Council</w:t>
      </w:r>
    </w:p>
    <w:p>
      <w:pPr>
        <w:pStyle w:val="TOCEntry"/>
        <w:ind w:left="360"/>
      </w:pPr>
      <w:r>
        <w:t>11.1 Role diversity and redacted remote critique</w:t>
      </w:r>
    </w:p>
    <w:p>
      <w:pPr>
        <w:pStyle w:val="TOCEntry"/>
        <w:ind w:left="360"/>
      </w:pPr>
      <w:r>
        <w:t>11.2 Consensus without authority laundering</w:t>
      </w:r>
    </w:p>
    <w:p>
      <w:pPr>
        <w:pStyle w:val="TOCEntry"/>
      </w:pPr>
      <w:r>
        <w:rPr>
          <w:b/>
          <w:color w:val="17365D"/>
        </w:rPr>
        <w:t>Chapter 12. Defensive Prompt Architecture and Output Validation</w:t>
      </w:r>
    </w:p>
    <w:p>
      <w:pPr>
        <w:pStyle w:val="TOCEntry"/>
        <w:ind w:left="360"/>
      </w:pPr>
      <w:r>
        <w:t>12.1 Role-separated prompts</w:t>
      </w:r>
    </w:p>
    <w:p>
      <w:pPr>
        <w:pStyle w:val="TOCEntry"/>
        <w:ind w:left="360"/>
      </w:pPr>
      <w:r>
        <w:t>12.2 Guardrails and semantic output constraints</w:t>
      </w:r>
    </w:p>
    <w:p>
      <w:pPr>
        <w:pStyle w:val="TOCEntry"/>
      </w:pPr>
      <w:r>
        <w:rPr>
          <w:b/>
          <w:color w:val="17365D"/>
        </w:rPr>
        <w:t>Chapter 13. AES-GCM Vault and Secure Key Handling</w:t>
      </w:r>
    </w:p>
    <w:p>
      <w:pPr>
        <w:pStyle w:val="TOCEntry"/>
        <w:ind w:left="360"/>
      </w:pPr>
      <w:r>
        <w:t>13.1 Vault key hierarchy and record protection</w:t>
      </w:r>
    </w:p>
    <w:p>
      <w:pPr>
        <w:pStyle w:val="TOCEntry"/>
        <w:ind w:left="360"/>
      </w:pPr>
      <w:r>
        <w:t>13.2 What AES-GCM does and does not guarantee</w:t>
      </w:r>
    </w:p>
    <w:p>
      <w:pPr>
        <w:pStyle w:val="TOCEntry"/>
      </w:pPr>
      <w:r>
        <w:rPr>
          <w:b/>
          <w:color w:val="17365D"/>
        </w:rPr>
        <w:t>Chapter 14. Model Supply-Chain Security and Encrypted Lifecycle</w:t>
      </w:r>
    </w:p>
    <w:p>
      <w:pPr>
        <w:pStyle w:val="TOCEntry"/>
        <w:ind w:left="360"/>
      </w:pPr>
      <w:r>
        <w:t>14.1 Pinned artifacts and verified installation</w:t>
      </w:r>
    </w:p>
    <w:p>
      <w:pPr>
        <w:pStyle w:val="TOCEntry"/>
        <w:ind w:left="360"/>
      </w:pPr>
      <w:r>
        <w:t>14.2 Verified temporary decryption and runtime isolation</w:t>
      </w:r>
    </w:p>
    <w:p>
      <w:pPr>
        <w:pStyle w:val="TOCEntry"/>
      </w:pPr>
      <w:r>
        <w:rPr>
          <w:b/>
          <w:color w:val="17365D"/>
        </w:rPr>
        <w:t>Chapter 15. Post-Quantum Recovery and Hybrid Cryptography</w:t>
      </w:r>
    </w:p>
    <w:p>
      <w:pPr>
        <w:pStyle w:val="TOCEntry"/>
        <w:ind w:left="360"/>
      </w:pPr>
      <w:r>
        <w:t>15.1 Hybrid recovery identity</w:t>
      </w:r>
    </w:p>
    <w:p>
      <w:pPr>
        <w:pStyle w:val="TOCEntry"/>
        <w:ind w:left="360"/>
      </w:pPr>
      <w:r>
        <w:t>15.2 Migration, agility, and limitations</w:t>
      </w:r>
    </w:p>
    <w:p>
      <w:pPr>
        <w:pStyle w:val="TOCEntry"/>
      </w:pPr>
      <w:r>
        <w:rPr>
          <w:b/>
          <w:color w:val="17365D"/>
        </w:rPr>
        <w:t>Chapter 16. Authorization, Privacy, Governance, and Human Oversight</w:t>
      </w:r>
    </w:p>
    <w:p>
      <w:pPr>
        <w:pStyle w:val="TOCEntry"/>
        <w:ind w:left="360"/>
      </w:pPr>
      <w:r>
        <w:t>16.1 Authorization and scope as executable controls</w:t>
      </w:r>
    </w:p>
    <w:p>
      <w:pPr>
        <w:pStyle w:val="TOCEntry"/>
        <w:ind w:left="360"/>
      </w:pPr>
      <w:r>
        <w:t>16.2 Privacy and consequential-decision limits</w:t>
      </w:r>
    </w:p>
    <w:p>
      <w:pPr>
        <w:pStyle w:val="TOCEntry"/>
      </w:pPr>
      <w:r>
        <w:rPr>
          <w:b/>
          <w:color w:val="17365D"/>
        </w:rPr>
        <w:t>Chapter 17. Experimental Methodology and Reproducibility</w:t>
      </w:r>
    </w:p>
    <w:p>
      <w:pPr>
        <w:pStyle w:val="TOCEntry"/>
        <w:ind w:left="360"/>
      </w:pPr>
      <w:r>
        <w:t>17.1 Evaluation design</w:t>
      </w:r>
    </w:p>
    <w:p>
      <w:pPr>
        <w:pStyle w:val="TOCEntry"/>
        <w:ind w:left="360"/>
      </w:pPr>
      <w:r>
        <w:t>17.2 Reproducible synthetic experiment protocol</w:t>
      </w:r>
    </w:p>
    <w:p>
      <w:pPr>
        <w:pStyle w:val="TOCEntry"/>
      </w:pPr>
      <w:r>
        <w:rPr>
          <w:b/>
          <w:color w:val="17365D"/>
        </w:rPr>
        <w:t>Chapter 18. Evaluation Results and Interpretation</w:t>
      </w:r>
    </w:p>
    <w:p>
      <w:pPr>
        <w:pStyle w:val="TOCEntry"/>
        <w:ind w:left="360"/>
      </w:pPr>
      <w:r>
        <w:t>18.1 Default scenario and software validation results</w:t>
      </w:r>
    </w:p>
    <w:p>
      <w:pPr>
        <w:pStyle w:val="TOCEntry"/>
        <w:ind w:left="360"/>
      </w:pPr>
      <w:r>
        <w:t>18.2 Ablation and runtime findings</w:t>
      </w:r>
    </w:p>
    <w:p>
      <w:pPr>
        <w:pStyle w:val="TOCEntry"/>
      </w:pPr>
      <w:r>
        <w:rPr>
          <w:b/>
          <w:color w:val="17365D"/>
        </w:rPr>
        <w:t>Chapter 19. Failure Modes, Calibration, and Security Limitations</w:t>
      </w:r>
    </w:p>
    <w:p>
      <w:pPr>
        <w:pStyle w:val="TOCEntry"/>
        <w:ind w:left="360"/>
      </w:pPr>
      <w:r>
        <w:t>19.1 Model and simulation failure modes</w:t>
      </w:r>
    </w:p>
    <w:p>
      <w:pPr>
        <w:pStyle w:val="TOCEntry"/>
        <w:ind w:left="360"/>
      </w:pPr>
      <w:r>
        <w:t>19.2 Cryptographic and endpoint limitations</w:t>
      </w:r>
    </w:p>
    <w:p>
      <w:pPr>
        <w:pStyle w:val="TOCEntry"/>
      </w:pPr>
      <w:r>
        <w:rPr>
          <w:b/>
          <w:color w:val="17365D"/>
        </w:rPr>
        <w:t>Chapter 20. Operational Deployment, Research Roadmap, and Conclusion</w:t>
      </w:r>
    </w:p>
    <w:p>
      <w:pPr>
        <w:pStyle w:val="TOCEntry"/>
        <w:ind w:left="360"/>
      </w:pPr>
      <w:r>
        <w:t>20.1 Deployment patterns and blue-team workflows</w:t>
      </w:r>
    </w:p>
    <w:p>
      <w:pPr>
        <w:pStyle w:val="TOCEntry"/>
        <w:ind w:left="360"/>
      </w:pPr>
      <w:r>
        <w:t>20.2 Research roadmap and conclusion</w:t>
      </w:r>
    </w:p>
    <w:p>
      <w:pPr>
        <w:pStyle w:val="TOCEntry"/>
      </w:pPr>
      <w:r>
        <w:rPr>
          <w:b/>
          <w:color w:val="0B6E75"/>
        </w:rPr>
        <w:t>Appendix A. Mathematical Definitions and Pseudocode</w:t>
      </w:r>
    </w:p>
    <w:p>
      <w:pPr>
        <w:pStyle w:val="TOCEntry"/>
      </w:pPr>
      <w:r>
        <w:rPr>
          <w:b/>
          <w:color w:val="0B6E75"/>
        </w:rPr>
        <w:t>Appendix B. Scenario and Report Schemas</w:t>
      </w:r>
    </w:p>
    <w:p>
      <w:pPr>
        <w:pStyle w:val="TOCEntry"/>
      </w:pPr>
      <w:r>
        <w:rPr>
          <w:b/>
          <w:color w:val="0B6E75"/>
        </w:rPr>
        <w:t>Appendix C. Defensive Prompt Surfaces</w:t>
      </w:r>
    </w:p>
    <w:p>
      <w:pPr>
        <w:pStyle w:val="TOCEntry"/>
      </w:pPr>
      <w:r>
        <w:rPr>
          <w:b/>
          <w:color w:val="0B6E75"/>
        </w:rPr>
        <w:t>Appendix D. Control and Framework Crosswalk</w:t>
      </w:r>
    </w:p>
    <w:p>
      <w:pPr>
        <w:pStyle w:val="TOCEntry"/>
      </w:pPr>
      <w:r>
        <w:rPr>
          <w:b/>
          <w:color w:val="0B6E75"/>
        </w:rPr>
        <w:t>Appendix E. Reproducibility and Deployment Checklists</w:t>
      </w:r>
    </w:p>
    <w:p>
      <w:pPr>
        <w:pStyle w:val="TOCEntry"/>
      </w:pPr>
      <w:r>
        <w:rPr>
          <w:b/>
          <w:color w:val="0B6E75"/>
        </w:rPr>
        <w:t>Appendix F. Extended Research Exercises</w:t>
      </w:r>
    </w:p>
    <w:p>
      <w:pPr>
        <w:pStyle w:val="TOCEntry"/>
      </w:pPr>
      <w:r>
        <w:rPr>
          <w:b/>
          <w:color w:val="0B6E75"/>
        </w:rPr>
        <w:t>Appendix G. Detailed Experimental Commentary</w:t>
      </w:r>
    </w:p>
    <w:p>
      <w:pPr>
        <w:pStyle w:val="TOCEntry"/>
      </w:pPr>
      <w:r>
        <w:rPr>
          <w:b/>
          <w:color w:val="0B6E75"/>
        </w:rPr>
        <w:t>References</w:t>
      </w:r>
    </w:p>
    <w:p>
      <w:r>
        <w:br w:type="page"/>
      </w:r>
    </w:p>
    <w:p>
      <w:pPr>
        <w:pStyle w:val="Heading1"/>
      </w:pPr>
      <w:r>
        <w:t>List of Figures</w:t>
      </w:r>
    </w:p>
    <w:p>
      <w:pPr>
        <w:pStyle w:val="ListBullet"/>
        <w:spacing w:after="40"/>
      </w:pPr>
      <w:r>
        <w:t>Figure 1. CyberForge 3 runtime architecture and data boundaries.</w:t>
      </w:r>
    </w:p>
    <w:p>
      <w:pPr>
        <w:pStyle w:val="ListBullet"/>
        <w:spacing w:after="40"/>
      </w:pPr>
      <w:r>
        <w:t>Figure 2. Super Scanner staged defensive pipeline.</w:t>
      </w:r>
    </w:p>
    <w:p>
      <w:pPr>
        <w:pStyle w:val="ListBullet"/>
        <w:spacing w:after="40"/>
      </w:pPr>
      <w:r>
        <w:t>Figure 3. Default synthetic surface and trust graph.</w:t>
      </w:r>
    </w:p>
    <w:p>
      <w:pPr>
        <w:pStyle w:val="ListBullet"/>
        <w:spacing w:after="40"/>
      </w:pPr>
      <w:r>
        <w:t>Figure 4. Vault and model key hierarchy.</w:t>
      </w:r>
    </w:p>
    <w:p>
      <w:pPr>
        <w:pStyle w:val="ListBullet"/>
        <w:spacing w:after="40"/>
      </w:pPr>
      <w:r>
        <w:t>Figure 5. Model council roles and aggregation boundary.</w:t>
      </w:r>
    </w:p>
    <w:p>
      <w:pPr>
        <w:pStyle w:val="ListBullet"/>
        <w:spacing w:after="40"/>
      </w:pPr>
      <w:r>
        <w:t>Figure 6. Runtime scaling of the numerical core.</w:t>
      </w:r>
    </w:p>
    <w:p>
      <w:pPr>
        <w:pStyle w:val="ListBullet"/>
        <w:spacing w:after="40"/>
      </w:pPr>
      <w:r>
        <w:t>Figure 7. Uniform control-strength ablation.</w:t>
      </w:r>
    </w:p>
    <w:p>
      <w:pPr>
        <w:pStyle w:val="ListBullet"/>
        <w:spacing w:after="40"/>
      </w:pPr>
      <w:r>
        <w:t>Figure 8. Trust-graph ablation.</w:t>
      </w:r>
    </w:p>
    <w:p>
      <w:pPr>
        <w:pStyle w:val="ListBullet"/>
        <w:spacing w:after="40"/>
      </w:pPr>
      <w:r>
        <w:t>Figure 9. Telemetry-confidence ablation.</w:t>
      </w:r>
    </w:p>
    <w:p>
      <w:pPr>
        <w:pStyle w:val="ListBullet"/>
        <w:spacing w:after="40"/>
      </w:pPr>
      <w:r>
        <w:t>Figure 10. Default scenario dimension scores.</w:t>
      </w:r>
    </w:p>
    <w:p>
      <w:pPr>
        <w:pStyle w:val="ListBullet"/>
        <w:spacing w:after="40"/>
      </w:pPr>
      <w:r>
        <w:t>Figure 11. CyberForge command-center prototype.</w:t>
      </w:r>
    </w:p>
    <w:p>
      <w:pPr>
        <w:pStyle w:val="Heading1"/>
      </w:pPr>
      <w:r>
        <w:t>List of Major Tables</w:t>
      </w:r>
    </w:p>
    <w:p>
      <w:pPr>
        <w:pStyle w:val="ListBullet"/>
        <w:spacing w:after="40"/>
      </w:pPr>
      <w:r>
        <w:t>Table 1. Evidence classification.</w:t>
      </w:r>
    </w:p>
    <w:p>
      <w:pPr>
        <w:pStyle w:val="ListBullet"/>
        <w:spacing w:after="40"/>
      </w:pPr>
      <w:r>
        <w:t>Table 2. Research contributions.</w:t>
      </w:r>
    </w:p>
    <w:p>
      <w:pPr>
        <w:pStyle w:val="ListBullet"/>
        <w:spacing w:after="40"/>
      </w:pPr>
      <w:r>
        <w:t>Table 3. Surface schema.</w:t>
      </w:r>
    </w:p>
    <w:p>
      <w:pPr>
        <w:pStyle w:val="ListBullet"/>
        <w:spacing w:after="40"/>
      </w:pPr>
      <w:r>
        <w:t>Table 4. Model council roles.</w:t>
      </w:r>
    </w:p>
    <w:p>
      <w:pPr>
        <w:pStyle w:val="ListBullet"/>
        <w:spacing w:after="40"/>
      </w:pPr>
      <w:r>
        <w:t>Table 5. Threats and controls.</w:t>
      </w:r>
    </w:p>
    <w:p>
      <w:pPr>
        <w:pStyle w:val="ListBullet"/>
        <w:spacing w:after="40"/>
      </w:pPr>
      <w:r>
        <w:t>Table 6. Cryptographic primitives and boundaries.</w:t>
      </w:r>
    </w:p>
    <w:p>
      <w:pPr>
        <w:pStyle w:val="ListBullet"/>
        <w:spacing w:after="40"/>
      </w:pPr>
      <w:r>
        <w:t>Table 7. Default scenario findings.</w:t>
      </w:r>
    </w:p>
    <w:p>
      <w:pPr>
        <w:pStyle w:val="ListBullet"/>
        <w:spacing w:after="40"/>
      </w:pPr>
      <w:r>
        <w:t>Table 8. Experimental summary.</w:t>
      </w:r>
    </w:p>
    <w:p>
      <w:pPr>
        <w:pStyle w:val="ListBullet"/>
        <w:spacing w:after="40"/>
      </w:pPr>
      <w:r>
        <w:t>Table 9. Framework crosswalk.</w:t>
      </w:r>
    </w:p>
    <w:p>
      <w:pPr>
        <w:pStyle w:val="ListBullet"/>
        <w:spacing w:after="40"/>
      </w:pPr>
      <w:r>
        <w:t>Table 10. Reproducibility checklist.</w:t>
      </w:r>
    </w:p>
    <w:p>
      <w:r>
        <w:br w:type="page"/>
      </w:r>
    </w:p>
    <w:p>
      <w:pPr>
        <w:pStyle w:val="Heading1"/>
      </w:pPr>
      <w:r>
        <w:t>Research Contributions at a Glance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17365D"/>
          </w:tcPr>
          <w:p>
            <w:pPr>
              <w:spacing w:after="0"/>
            </w:pPr>
            <w:r/>
            <w:r>
              <w:rPr>
                <w:rFonts w:ascii="Lato" w:hAnsi="Lato"/>
                <w:b/>
                <w:color w:val="FFFFFF"/>
                <w:sz w:val="15"/>
              </w:rPr>
              <w:t>Contribution</w:t>
            </w:r>
          </w:p>
        </w:tc>
        <w:tc>
          <w:tcPr>
            <w:tcW w:type="dxa" w:w="3312"/>
            <w:vAlign w:val="center"/>
            <w:shd w:fill="17365D"/>
          </w:tcPr>
          <w:p>
            <w:pPr>
              <w:spacing w:after="0"/>
            </w:pPr>
            <w:r/>
            <w:r>
              <w:rPr>
                <w:rFonts w:ascii="Lato" w:hAnsi="Lato"/>
                <w:b/>
                <w:color w:val="FFFFFF"/>
                <w:sz w:val="15"/>
              </w:rPr>
              <w:t>Mechanism</w:t>
            </w:r>
          </w:p>
        </w:tc>
        <w:tc>
          <w:tcPr>
            <w:tcW w:type="dxa" w:w="3816"/>
            <w:vAlign w:val="center"/>
            <w:shd w:fill="17365D"/>
          </w:tcPr>
          <w:p>
            <w:pPr>
              <w:spacing w:after="0"/>
            </w:pPr>
            <w:r/>
            <w:r>
              <w:rPr>
                <w:rFonts w:ascii="Lato" w:hAnsi="Lato"/>
                <w:b/>
                <w:color w:val="FFFFFF"/>
                <w:sz w:val="15"/>
              </w:rPr>
              <w:t>Research value</w:t>
            </w:r>
          </w:p>
        </w:tc>
      </w:tr>
      <w:tr>
        <w:tc>
          <w:tcPr>
            <w:tcW w:type="dxa" w:w="2088"/>
            <w:vAlign w:val="center"/>
          </w:tcPr>
          <w:p>
            <w:pPr>
              <w:spacing w:after="0"/>
            </w:pPr>
            <w:r/>
            <w:r>
              <w:rPr>
                <w:rFonts w:ascii="Lato" w:hAnsi="Lato"/>
                <w:b w:val="0"/>
                <w:sz w:val="15"/>
              </w:rPr>
              <w:t>Typed surface twin</w:t>
            </w:r>
          </w:p>
        </w:tc>
        <w:tc>
          <w:tcPr>
            <w:tcW w:type="dxa" w:w="3312"/>
            <w:vAlign w:val="center"/>
          </w:tcPr>
          <w:p>
            <w:pPr>
              <w:spacing w:after="0"/>
            </w:pPr>
            <w:r/>
            <w:r>
              <w:rPr>
                <w:rFonts w:ascii="Lato" w:hAnsi="Lato"/>
                <w:b w:val="0"/>
                <w:sz w:val="15"/>
              </w:rPr>
              <w:t>Identity, endpoint, API, cloud, physical, route, vendor, data, human, and collective surfaces.</w:t>
            </w:r>
          </w:p>
        </w:tc>
        <w:tc>
          <w:tcPr>
            <w:tcW w:type="dxa" w:w="3816"/>
            <w:vAlign w:val="center"/>
          </w:tcPr>
          <w:p>
            <w:pPr>
              <w:spacing w:after="0"/>
            </w:pPr>
            <w:r/>
            <w:r>
              <w:rPr>
                <w:rFonts w:ascii="Lato" w:hAnsi="Lato"/>
                <w:b w:val="0"/>
                <w:sz w:val="15"/>
              </w:rPr>
              <w:t>Enables cross-domain analysis without reducing all assets to one generic score.</w:t>
            </w:r>
          </w:p>
        </w:tc>
      </w:tr>
      <w:tr>
        <w:tc>
          <w:tcPr>
            <w:tcW w:type="dxa" w:w="2088"/>
            <w:vAlign w:val="center"/>
            <w:shd w:fill="F3F6F8"/>
          </w:tcPr>
          <w:p>
            <w:pPr>
              <w:spacing w:after="0"/>
            </w:pPr>
            <w:r/>
            <w:r>
              <w:rPr>
                <w:rFonts w:ascii="Lato" w:hAnsi="Lato"/>
                <w:b w:val="0"/>
                <w:sz w:val="15"/>
              </w:rPr>
              <w:t>Bounded trust graph</w:t>
            </w:r>
          </w:p>
        </w:tc>
        <w:tc>
          <w:tcPr>
            <w:tcW w:type="dxa" w:w="3312"/>
            <w:vAlign w:val="center"/>
            <w:shd w:fill="F3F6F8"/>
          </w:tcPr>
          <w:p>
            <w:pPr>
              <w:spacing w:after="0"/>
            </w:pPr>
            <w:r/>
            <w:r>
              <w:rPr>
                <w:rFonts w:ascii="Lato" w:hAnsi="Lato"/>
                <w:b w:val="0"/>
                <w:sz w:val="15"/>
              </w:rPr>
              <w:t>Directed dependency links with trust and control attributes.</w:t>
            </w:r>
          </w:p>
        </w:tc>
        <w:tc>
          <w:tcPr>
            <w:tcW w:type="dxa" w:w="3816"/>
            <w:vAlign w:val="center"/>
            <w:shd w:fill="F3F6F8"/>
          </w:tcPr>
          <w:p>
            <w:pPr>
              <w:spacing w:after="0"/>
            </w:pPr>
            <w:r/>
            <w:r>
              <w:rPr>
                <w:rFonts w:ascii="Lato" w:hAnsi="Lato"/>
                <w:b w:val="0"/>
                <w:sz w:val="15"/>
              </w:rPr>
              <w:t>Makes systemic amplification testable through ablation.</w:t>
            </w:r>
          </w:p>
        </w:tc>
      </w:tr>
      <w:tr>
        <w:tc>
          <w:tcPr>
            <w:tcW w:type="dxa" w:w="2088"/>
            <w:vAlign w:val="center"/>
          </w:tcPr>
          <w:p>
            <w:pPr>
              <w:spacing w:after="0"/>
            </w:pPr>
            <w:r/>
            <w:r>
              <w:rPr>
                <w:rFonts w:ascii="Lato" w:hAnsi="Lato"/>
                <w:b w:val="0"/>
                <w:sz w:val="15"/>
              </w:rPr>
              <w:t>Seeded simulation</w:t>
            </w:r>
          </w:p>
        </w:tc>
        <w:tc>
          <w:tcPr>
            <w:tcW w:type="dxa" w:w="3312"/>
            <w:vAlign w:val="center"/>
          </w:tcPr>
          <w:p>
            <w:pPr>
              <w:spacing w:after="0"/>
            </w:pPr>
            <w:r/>
            <w:r>
              <w:rPr>
                <w:rFonts w:ascii="Lato" w:hAnsi="Lato"/>
                <w:b w:val="0"/>
                <w:sz w:val="15"/>
              </w:rPr>
              <w:t>Monte Carlo affected-equivalent distributions and relative temporal pressure.</w:t>
            </w:r>
          </w:p>
        </w:tc>
        <w:tc>
          <w:tcPr>
            <w:tcW w:type="dxa" w:w="3816"/>
            <w:vAlign w:val="center"/>
          </w:tcPr>
          <w:p>
            <w:pPr>
              <w:spacing w:after="0"/>
            </w:pPr>
            <w:r/>
            <w:r>
              <w:rPr>
                <w:rFonts w:ascii="Lato" w:hAnsi="Lato"/>
                <w:b w:val="0"/>
                <w:sz w:val="15"/>
              </w:rPr>
              <w:t>Produces reproducible uncertainty-bearing planning outputs.</w:t>
            </w:r>
          </w:p>
        </w:tc>
      </w:tr>
      <w:tr>
        <w:tc>
          <w:tcPr>
            <w:tcW w:type="dxa" w:w="2088"/>
            <w:vAlign w:val="center"/>
            <w:shd w:fill="F3F6F8"/>
          </w:tcPr>
          <w:p>
            <w:pPr>
              <w:spacing w:after="0"/>
            </w:pPr>
            <w:r/>
            <w:r>
              <w:rPr>
                <w:rFonts w:ascii="Lato" w:hAnsi="Lato"/>
                <w:b w:val="0"/>
                <w:sz w:val="15"/>
              </w:rPr>
              <w:t>Local-first model roles</w:t>
            </w:r>
          </w:p>
        </w:tc>
        <w:tc>
          <w:tcPr>
            <w:tcW w:type="dxa" w:w="3312"/>
            <w:vAlign w:val="center"/>
            <w:shd w:fill="F3F6F8"/>
          </w:tcPr>
          <w:p>
            <w:pPr>
              <w:spacing w:after="0"/>
            </w:pPr>
            <w:r/>
            <w:r>
              <w:rPr>
                <w:rFonts w:ascii="Lato" w:hAnsi="Lato"/>
                <w:b w:val="0"/>
                <w:sz w:val="15"/>
              </w:rPr>
              <w:t>Llama micro-scans and Gemma synthesis remain on device.</w:t>
            </w:r>
          </w:p>
        </w:tc>
        <w:tc>
          <w:tcPr>
            <w:tcW w:type="dxa" w:w="3816"/>
            <w:vAlign w:val="center"/>
            <w:shd w:fill="F3F6F8"/>
          </w:tcPr>
          <w:p>
            <w:pPr>
              <w:spacing w:after="0"/>
            </w:pPr>
            <w:r/>
            <w:r>
              <w:rPr>
                <w:rFonts w:ascii="Lato" w:hAnsi="Lato"/>
                <w:b w:val="0"/>
                <w:sz w:val="15"/>
              </w:rPr>
              <w:t>Reduces disclosure and supports disconnected environments.</w:t>
            </w:r>
          </w:p>
        </w:tc>
      </w:tr>
      <w:tr>
        <w:tc>
          <w:tcPr>
            <w:tcW w:type="dxa" w:w="2088"/>
            <w:vAlign w:val="center"/>
          </w:tcPr>
          <w:p>
            <w:pPr>
              <w:spacing w:after="0"/>
            </w:pPr>
            <w:r/>
            <w:r>
              <w:rPr>
                <w:rFonts w:ascii="Lato" w:hAnsi="Lato"/>
                <w:b w:val="0"/>
                <w:sz w:val="15"/>
              </w:rPr>
              <w:t>Optional model council</w:t>
            </w:r>
          </w:p>
        </w:tc>
        <w:tc>
          <w:tcPr>
            <w:tcW w:type="dxa" w:w="3312"/>
            <w:vAlign w:val="center"/>
          </w:tcPr>
          <w:p>
            <w:pPr>
              <w:spacing w:after="0"/>
            </w:pPr>
            <w:r/>
            <w:r>
              <w:rPr>
                <w:rFonts w:ascii="Lato" w:hAnsi="Lato"/>
                <w:b w:val="0"/>
                <w:sz w:val="15"/>
              </w:rPr>
              <w:t>Independent redacted critics with visible disagreement and deterministic fallback.</w:t>
            </w:r>
          </w:p>
        </w:tc>
        <w:tc>
          <w:tcPr>
            <w:tcW w:type="dxa" w:w="3816"/>
            <w:vAlign w:val="center"/>
          </w:tcPr>
          <w:p>
            <w:pPr>
              <w:spacing w:after="0"/>
            </w:pPr>
            <w:r/>
            <w:r>
              <w:rPr>
                <w:rFonts w:ascii="Lato" w:hAnsi="Lato"/>
                <w:b w:val="0"/>
                <w:sz w:val="15"/>
              </w:rPr>
              <w:t>Tests whether model diversity adds useful review rather than authority.</w:t>
            </w:r>
          </w:p>
        </w:tc>
      </w:tr>
      <w:tr>
        <w:tc>
          <w:tcPr>
            <w:tcW w:type="dxa" w:w="2088"/>
            <w:vAlign w:val="center"/>
            <w:shd w:fill="F3F6F8"/>
          </w:tcPr>
          <w:p>
            <w:pPr>
              <w:spacing w:after="0"/>
            </w:pPr>
            <w:r/>
            <w:r>
              <w:rPr>
                <w:rFonts w:ascii="Lato" w:hAnsi="Lato"/>
                <w:b w:val="0"/>
                <w:sz w:val="15"/>
              </w:rPr>
              <w:t>Cryptographic control plane</w:t>
            </w:r>
          </w:p>
        </w:tc>
        <w:tc>
          <w:tcPr>
            <w:tcW w:type="dxa" w:w="3312"/>
            <w:vAlign w:val="center"/>
            <w:shd w:fill="F3F6F8"/>
          </w:tcPr>
          <w:p>
            <w:pPr>
              <w:spacing w:after="0"/>
            </w:pPr>
            <w:r/>
            <w:r>
              <w:rPr>
                <w:rFonts w:ascii="Lato" w:hAnsi="Lato"/>
                <w:b w:val="0"/>
                <w:sz w:val="15"/>
              </w:rPr>
              <w:t>Argon2id, AES-GCM records, rotation, encrypted model storage, optional ML-KEM recovery.</w:t>
            </w:r>
          </w:p>
        </w:tc>
        <w:tc>
          <w:tcPr>
            <w:tcW w:type="dxa" w:w="3816"/>
            <w:vAlign w:val="center"/>
            <w:shd w:fill="F3F6F8"/>
          </w:tcPr>
          <w:p>
            <w:pPr>
              <w:spacing w:after="0"/>
            </w:pPr>
            <w:r/>
            <w:r>
              <w:rPr>
                <w:rFonts w:ascii="Lato" w:hAnsi="Lato"/>
                <w:b w:val="0"/>
                <w:sz w:val="15"/>
              </w:rPr>
              <w:t>Separates provider and model secrets from scenario data.</w:t>
            </w:r>
          </w:p>
        </w:tc>
      </w:tr>
      <w:tr>
        <w:tc>
          <w:tcPr>
            <w:tcW w:type="dxa" w:w="2088"/>
            <w:vAlign w:val="center"/>
          </w:tcPr>
          <w:p>
            <w:pPr>
              <w:spacing w:after="0"/>
            </w:pPr>
            <w:r/>
            <w:r>
              <w:rPr>
                <w:rFonts w:ascii="Lato" w:hAnsi="Lato"/>
                <w:b w:val="0"/>
                <w:sz w:val="15"/>
              </w:rPr>
              <w:t>Truth and safety architecture</w:t>
            </w:r>
          </w:p>
        </w:tc>
        <w:tc>
          <w:tcPr>
            <w:tcW w:type="dxa" w:w="3312"/>
            <w:vAlign w:val="center"/>
          </w:tcPr>
          <w:p>
            <w:pPr>
              <w:spacing w:after="0"/>
            </w:pPr>
            <w:r/>
            <w:r>
              <w:rPr>
                <w:rFonts w:ascii="Lato" w:hAnsi="Lato"/>
                <w:b w:val="0"/>
                <w:sz w:val="15"/>
              </w:rPr>
              <w:t>Authorization, prompt firewall, secret redaction, no-attribution boundary.</w:t>
            </w:r>
          </w:p>
        </w:tc>
        <w:tc>
          <w:tcPr>
            <w:tcW w:type="dxa" w:w="3816"/>
            <w:vAlign w:val="center"/>
          </w:tcPr>
          <w:p>
            <w:pPr>
              <w:spacing w:after="0"/>
            </w:pPr>
            <w:r/>
            <w:r>
              <w:rPr>
                <w:rFonts w:ascii="Lato" w:hAnsi="Lato"/>
                <w:b w:val="0"/>
                <w:sz w:val="15"/>
              </w:rPr>
              <w:t>Prevents simulation output from becoming offensive instruction or unsupported accusation.</w:t>
            </w:r>
          </w:p>
        </w:tc>
      </w:tr>
      <w:tr>
        <w:tc>
          <w:tcPr>
            <w:tcW w:type="dxa" w:w="2088"/>
            <w:vAlign w:val="center"/>
            <w:shd w:fill="F3F6F8"/>
          </w:tcPr>
          <w:p>
            <w:pPr>
              <w:spacing w:after="0"/>
            </w:pPr>
            <w:r/>
            <w:r>
              <w:rPr>
                <w:rFonts w:ascii="Lato" w:hAnsi="Lato"/>
                <w:b w:val="0"/>
                <w:sz w:val="15"/>
              </w:rPr>
              <w:t>Reproducible evaluation</w:t>
            </w:r>
          </w:p>
        </w:tc>
        <w:tc>
          <w:tcPr>
            <w:tcW w:type="dxa" w:w="3312"/>
            <w:vAlign w:val="center"/>
            <w:shd w:fill="F3F6F8"/>
          </w:tcPr>
          <w:p>
            <w:pPr>
              <w:spacing w:after="0"/>
            </w:pPr>
            <w:r/>
            <w:r>
              <w:rPr>
                <w:rFonts w:ascii="Lato" w:hAnsi="Lato"/>
                <w:b w:val="0"/>
                <w:sz w:val="15"/>
              </w:rPr>
              <w:t>Tests, default scenario, convergence and ablation experiments.</w:t>
            </w:r>
          </w:p>
        </w:tc>
        <w:tc>
          <w:tcPr>
            <w:tcW w:type="dxa" w:w="3816"/>
            <w:vAlign w:val="center"/>
            <w:shd w:fill="F3F6F8"/>
          </w:tcPr>
          <w:p>
            <w:pPr>
              <w:spacing w:after="0"/>
            </w:pPr>
            <w:r/>
            <w:r>
              <w:rPr>
                <w:rFonts w:ascii="Lato" w:hAnsi="Lato"/>
                <w:b w:val="0"/>
                <w:sz w:val="15"/>
              </w:rPr>
              <w:t>Establishes measured software behavior and defines the remaining validation gap.</w:t>
            </w:r>
          </w:p>
        </w:tc>
      </w:tr>
    </w:tbl>
    <w:p>
      <w:pPr>
        <w:spacing w:after="0"/>
      </w:pPr>
    </w:p>
    <w:p>
      <w:r>
        <w:br w:type="page"/>
      </w:r>
    </w:p>
    <w:p>
      <w:pPr>
        <w:pStyle w:val="Heading1"/>
      </w:pPr>
      <w:r>
        <w:t>Chapter 1. Problem Definition, Thesis, and Research Contributions</w:t>
      </w:r>
    </w:p>
    <w:p>
      <w:r>
        <w:t>Frames the gap between static security assessment and continuously revisable, evidence-aware defensive simulation.</w:t>
      </w:r>
    </w:p>
    <w:p>
      <w:pPr>
        <w:keepNext/>
        <w:jc w:val="center"/>
      </w:pPr>
      <w:r>
        <w:drawing>
          <wp:inline xmlns:a="http://schemas.openxmlformats.org/drawingml/2006/main" xmlns:pic="http://schemas.openxmlformats.org/drawingml/2006/picture">
            <wp:extent cx="5897880" cy="3469839"/>
            <wp:docPr id="2" name="Picture 2" title="Figure 1 CyberForge runtime architecture" descr="CyberForge runtime architecture showing Flutter command center, loopback sidecar, secure vault, local models, optional redacted cloud providers, scanner, simulator, and report outputs."/>
            <wp:cNvGraphicFramePr>
              <a:graphicFrameLocks noChangeAspect="1"/>
            </wp:cNvGraphicFramePr>
            <a:graphic>
              <a:graphicData uri="http://schemas.openxmlformats.org/drawingml/2006/picture">
                <pic:pic>
                  <pic:nvPicPr>
                    <pic:cNvPr id="0" name="figure_01_architecture.png"/>
                    <pic:cNvPicPr/>
                  </pic:nvPicPr>
                  <pic:blipFill>
                    <a:blip r:embed="rId12"/>
                    <a:stretch>
                      <a:fillRect/>
                    </a:stretch>
                  </pic:blipFill>
                  <pic:spPr>
                    <a:xfrm>
                      <a:off x="0" y="0"/>
                      <a:ext cx="5897880" cy="3469839"/>
                    </a:xfrm>
                    <a:prstGeom prst="rect"/>
                  </pic:spPr>
                </pic:pic>
              </a:graphicData>
            </a:graphic>
          </wp:inline>
        </w:drawing>
      </w:r>
    </w:p>
    <w:p>
      <w:pPr>
        <w:spacing w:after="160"/>
        <w:jc w:val="center"/>
      </w:pPr>
      <w:r>
        <w:rPr>
          <w:i/>
          <w:color w:val="666666"/>
          <w:sz w:val="17"/>
        </w:rPr>
        <w:t>Figure 1. CyberForge 3 runtime architecture and data boundaries.</w:t>
      </w:r>
    </w:p>
    <w:p>
      <w:pPr>
        <w:pStyle w:val="Heading2"/>
      </w:pPr>
      <w:r>
        <w:t>1.1 From inventories to operational hypotheses</w:t>
      </w:r>
    </w:p>
    <w:p>
      <w:r>
        <w:t>Cybersecurity programs possess abundant inventories, alerts, questionnaires, and control statements, yet they often lack a disciplined mechanism for combining those fragments into testable hypotheses about where failure pressure will concentrate. The architecture therefore makes a deliberate trade-off. CyberForge treats the statement as a design hypothesis that must be represented in data, implemented in code, and evaluated through reproducible tests. The relevant mechanism includes represent heterogeneous observations as typed surfaces rather than flattening them into a single asset list, preserve the difference between direct observation, operator estimate, model inference, and simulation output, and treat dependencies as first-class objects because compromise and outage effects travel through identity, vendor, cloud, facility, and operational relationships. These elements are not interchangeable: each introduces a different source of evidence, uncertainty, and potential error. The design is grounded in the project source and in established guidance on digital twins, risk management, AI assurance, and cybersecurity controls [R4][R5][R7]. Throughout this paper, the term ‘risk’ refers to a comparative planning index unless an empirical calibration study is explicitly described.</w:t>
      </w:r>
    </w:p>
    <w:p>
      <w:r>
        <w:t>The system implements the idea through a sequence of bounded transformations. First, it must represent heterogeneous observations as typed surfaces rather than flattening them into a single asset list; second, it must preserve the difference between direct observation, operator estimate, model inference, and simulation output; and third, it must treat dependencies as first-class objects because compromise and outage effects travel through identity, vendor, cloud, facility, and operational relationships. Where additional mechanisms are present, the implementation also has to .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A useful defensive system must support decisions before a complete forensic record exists; uncertainty must remain visible rather than disappearing inside a severity label; and the representation must be revisable as evidence arrives.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multisite organization may have strong endpoint tooling but weak remote-support governance. A conventional scorecard records both controls separately. A digital twin instead asks how vendor trust, remote access, shared workstations, and cloud administration interact during a high-pressure period.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coverage of relevant surfaces, traceability from each score to input evidence, sensitivity of conclusions to changed assumptions, and ability to reproduce the same report from the same seed and scenario.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treating a planning estimate as an observed compromise probability, allowing a cinematic interface to obscure conventional computation, and using the system to name an attacker or country without forensic evidence.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every output carries a truth label, consequential claims require evidence outside the simulator, and risk is a comparative planning signal rather than a guaranteed event frequency.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1.2 CyberForge as a local-first defensive research platform</w:t>
      </w:r>
    </w:p>
    <w:p>
      <w:r>
        <w:t>CyberForge is proposed as a local-first architecture that combines a surface scanner, a trust graph, a seeded simulation engine, a secure model council, and an encrypted control plane while explicitly excluding live exploitation. From a research perspective, the important point is not the label but the testable behavior. CyberForge treats the statement as a design hypothesis that must be represented in data, implemented in code, and evaluated through reproducible tests. The relevant mechanism includes a Flutter command center provides the human interface while a loopback Python sidecar implements bounded simulation and model orchestration, small local models perform private surface analysis and synthesis, and remote frontier models are optional critics that receive only redacted packets. These elements are not interchangeable: each introduces a different source of evidence, uncertainty, and potential error. The design is grounded in the project source and in established guidance on digital twins, risk management, AI assurance, and cybersecurity controls [R1][R2][R3][R6]. Throughout this paper, the term ‘risk’ refers to a comparative planning index unless an empirical calibration study is explicitly described.</w:t>
      </w:r>
    </w:p>
    <w:p>
      <w:r>
        <w:t>The system implements the idea through a sequence of bounded transformations. First, it must a Flutter command center provides the human interface while a loopback Python sidecar implements bounded simulation and model orchestration; second, it must small local models perform private surface analysis and synthesis; and third, it must remote frontier models are optional critics that receive only redacted packets. Where additional mechanisms are present, the implementation also has to a deterministic offline adapter preserves functionality when all model services fail.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Local-first operation reduces unnecessary disclosure; role separation prevents one model from silently redefining the entire analysis; and failure isolation converts provider outages into degraded opinions rather than system failure.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default synthetic twin includes workforce identity, remote access, endpoints, cloud administration, visitor access, and a vendor support mesh. Six trust links allow the simulator to distinguish isolated weakness from amplified systemic pressure.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source-code inspection, automated unit and integration tests, synthetic scenario experiments, and comparison against NIST risk-management and digital-twin principles.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assuming the presence of several models guarantees correctness, equating model agreement with evidence, and overfitting the architecture to a single sector or incident type.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offline numerical output remains the baseline, local and remote model roles are declared separately, and the platform refuses offensive procedures and unsupported attribution.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Write a one-page statement that distinguishes a risk hypothesis, a verified finding, and an attribution claim.</w:t>
      </w:r>
    </w:p>
    <w:p>
      <w:pPr>
        <w:pStyle w:val="ListNumber"/>
      </w:pPr>
      <w:r>
        <w:t>Create a minimal three-surface scenario and identify which relationships must be represented explicitly.</w:t>
      </w:r>
    </w:p>
    <w:p>
      <w:pPr>
        <w:pStyle w:val="ListNumber"/>
      </w:pPr>
      <w:r>
        <w:t>Define a falsifiable success criterion for a simulator used by a blue team.</w:t>
      </w:r>
    </w:p>
    <w:p>
      <w:pPr>
        <w:pStyle w:val="Heading2"/>
      </w:pPr>
      <w:r>
        <w:t>Chapter Takeaways</w:t>
      </w:r>
    </w:p>
    <w:p>
      <w:r>
        <w:t>Chapter 1 establishes that cybersecurity programs possess abundant inventories, alerts, questionnaires, and control statements, yet they often lack a disciplined mechanism for combining those fragments into testable hypotheses about where failure pressure will concentrate. The implementation consequence is to every output carries a truth label, while the research consequence is to measure coverage of relevant surfaces. The chapter also shows why local-first operation reduces unnecessary disclosure and why a defensible deployment must explicitly guard against assuming the presence of several models guarantees correctness.</w:t>
      </w:r>
    </w:p>
    <w:p>
      <w:r>
        <w:br w:type="page"/>
      </w:r>
    </w:p>
    <w:p>
      <w:pPr>
        <w:pStyle w:val="Heading1"/>
      </w:pPr>
      <w:r>
        <w:t>Chapter 2. Related Work and Conceptual Foundations</w:t>
      </w:r>
    </w:p>
    <w:p>
      <w:r>
        <w:t>Positions CyberForge among digital twins, cyber ranges, quantitative risk methods, knowledge graphs, and AI assurance.</w:t>
      </w:r>
    </w:p>
    <w:p>
      <w:pPr>
        <w:pStyle w:val="Heading2"/>
      </w:pPr>
      <w:r>
        <w:t>2.1 Digital twins and cyber ranges</w:t>
      </w:r>
    </w:p>
    <w:p>
      <w:r>
        <w:t>Digital twins and cyber ranges overlap in their use of models and controlled experimentation, but they answer different questions: a range emphasizes executable training environments, whereas a defensive twin emphasizes state, dependency, uncertainty, and repeated decision support. For a blue team, this changes the unit of analysis. CyberForge treats the statement as a design hypothesis that must be represented in data, implemented in code, and evaluated through reproducible tests. The relevant mechanism includes digital twins maintain an electronic representation of a physical or nonphysical entity and its state transitions, cyber ranges reproduce systems and adversarial exercises for training or testing, and CyberForge uses a model-centric twin that can operate without recreating every protocol or binary. These elements are not interchangeable: each introduces a different source of evidence, uncertainty, and potential error. The design is grounded in the project source and in established guidance on digital twins, risk management, AI assurance, and cybersecurity controls [R4][R39]. Throughout this paper, the term ‘risk’ refers to a comparative planning index unless an empirical calibration study is explicitly described.</w:t>
      </w:r>
    </w:p>
    <w:p>
      <w:r>
        <w:t>The system implements the idea through a sequence of bounded transformations. First, it must digital twins maintain an electronic representation of a physical or nonphysical entity and its state transitions; second, it must cyber ranges reproduce systems and adversarial exercises for training or testing; and third, it must CyberForge uses a model-centric twin that can operate without recreating every protocol or binary. Where additional mechanisms are present, the implementation also has to .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Full-fidelity emulation is expensive and often unnecessary for early prioritization; a lightweight twin can support portfolio-level questions across identity, physical access, vendors, and cloud services; and trust and provenance are central because an inaccurate twin can confidently optimize the wrong system.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hospital, factory, university, or logistics network could use the same surface ontology while substituting sector-specific controls and evidence. The twin need not execute a medical device protocol to represent the operational consequence of losing trustworthy access to that device class.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fidelity requirements stated per use case, validation against observed control outcomes, documented divergence between twin and real environment, and repeatable scenario versioning.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simulation drift, false precision from high-resolution graphics, and confusing a tabletop result with a penetration test.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select the minimum fidelity needed for the decision, record what the twin omits, and treat the twin as an instrument that itself requires assurance.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2.2 Risk frameworks, ATT&amp;CK, D3FEND, and control catalogs</w:t>
      </w:r>
    </w:p>
    <w:p>
      <w:r>
        <w:t>CyberForge complements rather than replaces established frameworks by translating scenario outputs into governance outcomes, control families, defensive techniques, and evidence requirements. The design becomes useful only when the claim can be traced and challenged. CyberForge treats the statement as a design hypothesis that must be represented in data, implemented in code, and evaluated through reproducible tests. The relevant mechanism includes NIST CSF 2.0 provides outcome-oriented governance categories, SP 800-53 supplies a detailed control catalog and SP 800-53A supplies assessment procedures, and ATT&amp;CK describes adversary behavior while D3FEND structures defensive countermeasures. These elements are not interchangeable: each introduces a different source of evidence, uncertainty, and potential error. The design is grounded in the project source and in established guidance on digital twins, risk management, AI assurance, and cybersecurity controls [R5][R8][R9][R12][R13]. Throughout this paper, the term ‘risk’ refers to a comparative planning index unless an empirical calibration study is explicitly described.</w:t>
      </w:r>
    </w:p>
    <w:p>
      <w:r>
        <w:t>The system implements the idea through a sequence of bounded transformations. First, it must NIST CSF 2.0 provides outcome-oriented governance categories; second, it must SP 800-53 supplies a detailed control catalog and SP 800-53A supplies assessment procedures; and third, it must ATT&amp;CK describes adversary behavior while D3FEND structures defensive countermeasures. Where additional mechanisms are present, the implementation also has to the simulator adds relative pressure, dependency, and uncertainty to these taxonomies.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Framework crosswalks make outputs actionable for different stakeholders; a graph path can be mapped to identity, access control, audit, incident response, and supply-chain controls; and the system should never use an ATT&amp;CK label as proof that a technique occurred.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simulated vendor-to-remote-access path can yield evidence requests for contract scope, privileged-session logs, MFA enforcement, and account recertification. D3FEND can then suggest defensive technique families without producing attack steps.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control mapping completeness, number of findings with an assessment procedure, percentage of recommendations linked to evidence, and human reviewer agreement on mapping relevance.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taxonomy worship, control-counting without effectiveness evidence, and using generalized threat patterns as organization-specific facts.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map outputs to outcomes and evidence, not just labels, preserve sector-specific context, and allow reviewers to override mappings with rationale.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Compare a cyber range and a digital twin for one decision problem.</w:t>
      </w:r>
    </w:p>
    <w:p>
      <w:pPr>
        <w:pStyle w:val="ListNumber"/>
      </w:pPr>
      <w:r>
        <w:t>Map a simulated credential finding to one CSF outcome, two SP 800-53 controls, and two assessment procedures.</w:t>
      </w:r>
    </w:p>
    <w:p>
      <w:pPr>
        <w:pStyle w:val="ListNumber"/>
      </w:pPr>
      <w:r>
        <w:t>Describe a case in which ATT&amp;CK would be relevant but insufficient.</w:t>
      </w:r>
    </w:p>
    <w:p>
      <w:pPr>
        <w:pStyle w:val="Heading2"/>
      </w:pPr>
      <w:r>
        <w:t>Chapter Takeaways</w:t>
      </w:r>
    </w:p>
    <w:p>
      <w:r>
        <w:t>Chapter 2 establishes that digital twins and cyber ranges overlap in their use of models and controlled experimentation, but they answer different questions: a range emphasizes executable training environments, whereas a defensive twin emphasizes state, dependency, uncertainty, and repeated decision support. The implementation consequence is to select the minimum fidelity needed for the decision, while the research consequence is to measure fidelity requirements stated per use case. The chapter also shows why framework crosswalks make outputs actionable for different stakeholders and why a defensible deployment must explicitly guard against taxonomy worship.</w:t>
      </w:r>
    </w:p>
    <w:p>
      <w:r>
        <w:br w:type="page"/>
      </w:r>
    </w:p>
    <w:p>
      <w:pPr>
        <w:pStyle w:val="Heading1"/>
      </w:pPr>
      <w:r>
        <w:t>Chapter 3. Research Questions, Requirements, and Evidence Boundaries</w:t>
      </w:r>
    </w:p>
    <w:p>
      <w:r>
        <w:t>Defines the questions the system may answer, the questions it must refuse, and the requirements derived from those boundaries.</w:t>
      </w:r>
    </w:p>
    <w:p>
      <w:pPr>
        <w:pStyle w:val="Heading2"/>
      </w:pPr>
      <w:r>
        <w:t>3.1 Research questions and hypotheses</w:t>
      </w:r>
    </w:p>
    <w:p>
      <w:r>
        <w:t>The central research question is whether a local-first, graph-aware, multi-model system can produce more useful and auditable defensive hypotheses than static scoring while retaining clear uncertainty and safety boundaries. This is also where many security dashboards become misleading. CyberForge treats the statement as a design hypothesis that must be represented in data, implemented in code, and evaluated through reproducible tests. The relevant mechanism includes RQ1 examines whether surface and link representations improve prioritization, RQ2 examines whether seeded simulation produces stable comparative results, and RQ3 examines whether diverse model critics add useful disagreement rather than noise. These elements are not interchangeable: each introduces a different source of evidence, uncertainty, and potential error. The design is grounded in the project source and in established guidance on digital twins, risk management, AI assurance, and cybersecurity controls [R6][R7][R31][R32]. Throughout this paper, the term ‘risk’ refers to a comparative planning index unless an empirical calibration study is explicitly described.</w:t>
      </w:r>
    </w:p>
    <w:p>
      <w:r>
        <w:t>The system implements the idea through a sequence of bounded transformations. First, it must RQ1 examines whether surface and link representations improve prioritization; second, it must RQ2 examines whether seeded simulation produces stable comparative results; and third, it must RQ3 examines whether diverse model critics add useful disagreement rather than noise. Where additional mechanisms are present, the implementation also has to RQ4 examines whether encrypted local operation materially reduces secret exposure and RQ5 examines whether outputs can be mapped to verifiable controls and evidence.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Research questions force the architecture to expose measurable claims; a platform cannot be called research-grade if its metrics are immune to falsification; and negative results such as no benefit from a cloud critic are informative.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One test compares a full trust graph with a no-link ablation. Another varies control strength while holding the inventory constant. A third measures whether remote model opinions alter priorities or merely restate the numerical report.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effect sizes across scenario variants, runtime and determinism, inter-rater review of controls, calibration against later observed evidence, and data exposure accounting.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choosing metrics after seeing results, reporting only favorable scenarios, and using synthetic performance as evidence of real-world incident prediction.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pre-register evaluation questions, retain raw scenario and report digests, and publish null and adverse results.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3.2 Truth labels and forbidden inferences</w:t>
      </w:r>
    </w:p>
    <w:p>
      <w:r>
        <w:t>CyberForge requires a strict epistemic boundary among input observations, operator assumptions, numerical simulation, model opinions, and verified forensic evidence. A defensible implementation must preserve this separation throughout the pipeline. CyberForge treats the statement as a design hypothesis that must be represented in data, implemented in code, and evaluated through reproducible tests. The relevant mechanism includes observations cite their source and collection time, assumptions are editable and sensitivity-tested, and simulation outputs use relative language and distributions. These elements are not interchangeable: each introduces a different source of evidence, uncertainty, and potential error. The design is grounded in the project source and in established guidance on digital twins, risk management, AI assurance, and cybersecurity controls [R1][R6][R10][R29]. Throughout this paper, the term ‘risk’ refers to a comparative planning index unless an empirical calibration study is explicitly described.</w:t>
      </w:r>
    </w:p>
    <w:p>
      <w:r>
        <w:t>The system implements the idea through a sequence of bounded transformations. First, it must observations cite their source and collection time; second, it must assumptions are editable and sensitivity-tested; and third, it must simulation outputs use relative language and distributions. Where additional mechanisms are present, the implementation also has to model opinions retain model identity and uncertainty and forensic claims require external evidence.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The same sentence can be harmless as a scenario assumption and dangerous as a public accusation; attribution requires evidence chains unavailable to a generic simulator; and timeline pressure windows are not reconstructed timestamps.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SIMCOM command `origin` returns “not attributed” and explains what evidence would be needed. This is a deliberate functional feature, not a missing capability.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percentage of outputs with provenance, blocked unsupported attribution attempts, reviewer ability to distinguish evidence classes, and absence of real-organization identifiers in synthetic tests.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model-generated confidence laundering, operator pressure to convert ranges into precise claims, and reuse of a synthetic prompt as a statement about a real person or organization.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display truth labels next to every metric, keep attribution disabled by default, and require human review for consequential decisions.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Rewrite five overconfident cyber statements into evidence-bounded language.</w:t>
      </w:r>
    </w:p>
    <w:p>
      <w:pPr>
        <w:pStyle w:val="ListNumber"/>
      </w:pPr>
      <w:r>
        <w:t>Design a UI label that prevents “affected-equivalent” from being read as a malware count.</w:t>
      </w:r>
    </w:p>
    <w:p>
      <w:pPr>
        <w:pStyle w:val="ListNumber"/>
      </w:pPr>
      <w:r>
        <w:t>List three decisions that CyberForge output must never automate.</w:t>
      </w:r>
    </w:p>
    <w:p>
      <w:pPr>
        <w:pStyle w:val="Heading2"/>
      </w:pPr>
      <w:r>
        <w:t>Chapter Takeaways</w:t>
      </w:r>
    </w:p>
    <w:p>
      <w:r>
        <w:t>Chapter 3 establishes that the central research question is whether a local-first, graph-aware, multi-model system can produce more useful and auditable defensive hypotheses than static scoring while retaining clear uncertainty and safety boundaries. The implementation consequence is to pre-register evaluation questions, while the research consequence is to measure effect sizes across scenario variants. The chapter also shows why the same sentence can be harmless as a scenario assumption and dangerous as a public accusation and why a defensible deployment must explicitly guard against model-generated confidence laundering.</w:t>
      </w:r>
    </w:p>
    <w:p>
      <w:r>
        <w:br w:type="page"/>
      </w:r>
    </w:p>
    <w:p>
      <w:pPr>
        <w:pStyle w:val="Heading1"/>
      </w:pPr>
      <w:r>
        <w:t>Chapter 4. Formal System Model and Notation</w:t>
      </w:r>
    </w:p>
    <w:p>
      <w:r>
        <w:t>Provides a mathematical abstraction for surfaces, links, risk dimensions, simulation worlds, and evidence confidence.</w:t>
      </w:r>
    </w:p>
    <w:p>
      <w:pPr>
        <w:spacing w:before="120" w:after="120"/>
        <w:jc w:val="center"/>
      </w:pPr>
      <w:r>
        <w:rPr>
          <w:rFonts w:ascii="DejaVu Serif" w:hAnsi="DejaVu Serif"/>
          <w:i/>
          <w:sz w:val="21"/>
        </w:rPr>
        <w:t>G = (V, E),  v_i = (k_i, c_i, e_i, s_i, h_i, q_i, n_i, l_i)    (1)</w:t>
      </w:r>
    </w:p>
    <w:p>
      <w:pPr>
        <w:spacing w:before="120" w:after="120"/>
        <w:jc w:val="center"/>
      </w:pPr>
      <w:r>
        <w:rPr>
          <w:rFonts w:ascii="DejaVu Serif" w:hAnsi="DejaVu Serif"/>
          <w:i/>
          <w:sz w:val="21"/>
        </w:rPr>
        <w:t>b_i = clip(c_i · [w_e e_i + w_d(1-s_i) + w_h h_i + w_q(1-q_i)], 0, 1)    (2)</w:t>
      </w:r>
    </w:p>
    <w:p>
      <w:pPr>
        <w:spacing w:before="120" w:after="120"/>
        <w:jc w:val="center"/>
      </w:pPr>
      <w:r>
        <w:rPr>
          <w:rFonts w:ascii="DejaVu Serif" w:hAnsi="DejaVu Serif"/>
          <w:i/>
          <w:sz w:val="21"/>
        </w:rPr>
        <w:t>p_{i←j}^{(t+1)} = clip(p_i^{(t)} + α · p_j^{(t)} · τ_{ji} · (1-κ_{ji}), 0, 1)    (3)</w:t>
      </w:r>
    </w:p>
    <w:p>
      <w:pPr>
        <w:pStyle w:val="Heading2"/>
      </w:pPr>
      <w:r>
        <w:t>4.1 Surface and link representation</w:t>
      </w:r>
    </w:p>
    <w:p>
      <w:r>
        <w:t>The core state is a directed attributed graph in which nodes represent defensible surfaces and edges represent dependencies, trust, administration, federation, support, or co-location. The practical consequence is significant. CyberForge treats the statement as a design hypothesis that must be represented in data, implemented in code, and evaluated through reproducible tests. The relevant mechanism includes each surface has criticality, exposure, control strength, human pressure, telemetry confidence, inventory, kind, and optional location, each link has trust, control strength, type, source, and target, and surface kinds select relevant risk dimensions so a facility is not evaluated identically to an API. These elements are not interchangeable: each introduces a different source of evidence, uncertainty, and potential error. The design is grounded in the project source and in established guidance on digital twins, risk management, AI assurance, and cybersecurity controls [R1][R4][R7]. Throughout this paper, the term ‘risk’ refers to a comparative planning index unless an empirical calibration study is explicitly described.</w:t>
      </w:r>
    </w:p>
    <w:p>
      <w:r>
        <w:t>The system implements the idea through a sequence of bounded transformations. First, it must each surface has criticality, exposure, control strength, human pressure, telemetry confidence, inventory, kind, and optional location; second, it must each link has trust, control strength, type, source, and target; and third, it must surface kinds select relevant risk dimensions so a facility is not evaluated identically to an API. Where additional mechanisms are present, the implementation also has to .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Typed representation avoids meaningless universal scores; links expose systemic amplification that asset-by-asset assessment misses; and optional geography allows named zones without requiring sensitive coordinates.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For surface i, the base pressure can be written as a bounded function of exposure, control deficit, human pressure, and criticality. Link j contributes only when its trust is high relative to its control strength and when the source surface already carries pressure.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schema validation, bounded numeric domains, stable identifiers, round-trip serialization, and graph integrity checks.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duplicate identifiers, cycles interpreted as causal proof, and coordinates treated as risk causes rather than context.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reject malformed ranges, preserve cycles but interpret them as dependencies, and separate inventory magnitude from probability.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4.2 Risk, impact, confidence, and uncertainty</w:t>
      </w:r>
    </w:p>
    <w:p>
      <w:r>
        <w:t>CyberForge separates relative probability-like pressure, impact, confidence, and affected-equivalent inventory because combining them too early produces uninterpretable scores. This distinction matters operationally. CyberForge treats the statement as a design hypothesis that must be represented in data, implemented in code, and evaluated through reproducible tests. The relevant mechanism includes probability-like pressure is a bounded planning estimate, impact reflects criticality and operational consequence, and confidence reflects telemetry and assumption quality. These elements are not interchangeable: each introduces a different source of evidence, uncertainty, and potential error. The design is grounded in the project source and in established guidance on digital twins, risk management, AI assurance, and cybersecurity controls [R7][R31][R32][R33]. Throughout this paper, the term ‘risk’ refers to a comparative planning index unless an empirical calibration study is explicitly described.</w:t>
      </w:r>
    </w:p>
    <w:p>
      <w:r>
        <w:t>The system implements the idea through a sequence of bounded transformations. First, it must probability-like pressure is a bounded planning estimate; second, it must impact reflects criticality and operational consequence; and third, it must confidence reflects telemetry and assumption quality. Where additional mechanisms are present, the implementation also has to affected-equivalent inventory is a simulated loss of trustworthy operation and overall risk aggregates dimensions but remains comparative.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A high-pressure low-impact surface is different from a low-pressure catastrophic dependency; confidence should govern decision urgency and evidence collection; and ranges communicate simulation variability better than a single endpoint.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An identity surface may receive high credential pressure while the total operational impact depends on whether that identity plane controls cloud automation, remote administration, or only a low-criticality application.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monotonicity tests, calibration plots when observed outcomes exist, interval coverage, sensitivity to confidence inputs, and separate reporting of each component.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probability language without calibration, multiplying arbitrary scales and calling the result expected loss, and hiding a wide interval behind a rounded severity.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retain component scores, publish formulas and priors, and treat overall risk as an index until calibrated.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Define a surface tuple and a link tuple for a cloud administrator and a support vendor.</w:t>
      </w:r>
    </w:p>
    <w:p>
      <w:pPr>
        <w:pStyle w:val="ListNumber"/>
      </w:pPr>
      <w:r>
        <w:t>Construct an example where impact is high but pressure is low.</w:t>
      </w:r>
    </w:p>
    <w:p>
      <w:pPr>
        <w:pStyle w:val="ListNumber"/>
      </w:pPr>
      <w:r>
        <w:t>Explain why confidence is not the same quantity as risk.</w:t>
      </w:r>
    </w:p>
    <w:p>
      <w:pPr>
        <w:pStyle w:val="Heading2"/>
      </w:pPr>
      <w:r>
        <w:t>Chapter Takeaways</w:t>
      </w:r>
    </w:p>
    <w:p>
      <w:r>
        <w:t>Chapter 4 establishes that the core state is a directed attributed graph in which nodes represent defensible surfaces and edges represent dependencies, trust, administration, federation, support, or co-location. The implementation consequence is to reject malformed ranges, while the research consequence is to measure schema validation. The chapter also shows why a high-pressure low-impact surface is different from a low-pressure catastrophic dependency and why a defensible deployment must explicitly guard against probability language without calibration.</w:t>
      </w:r>
    </w:p>
    <w:p>
      <w:r>
        <w:br w:type="page"/>
      </w:r>
    </w:p>
    <w:p>
      <w:pPr>
        <w:pStyle w:val="Heading1"/>
      </w:pPr>
      <w:r>
        <w:t>Chapter 5. Surface Ontology and Scenario Data Model</w:t>
      </w:r>
    </w:p>
    <w:p>
      <w:r>
        <w:t>Explains how people, systems, facilities, routes, suppliers, data, and controls become a common but non-reductive schema.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7365D"/>
          </w:tcPr>
          <w:p>
            <w:pPr>
              <w:spacing w:after="0"/>
            </w:pPr>
            <w:r/>
            <w:r>
              <w:rPr>
                <w:rFonts w:ascii="Lato" w:hAnsi="Lato"/>
                <w:b/>
                <w:color w:val="FFFFFF"/>
                <w:sz w:val="15"/>
              </w:rPr>
              <w:t>Field</w:t>
            </w:r>
          </w:p>
        </w:tc>
        <w:tc>
          <w:tcPr>
            <w:tcW w:type="dxa" w:w="1944"/>
            <w:vAlign w:val="center"/>
            <w:shd w:fill="17365D"/>
          </w:tcPr>
          <w:p>
            <w:pPr>
              <w:spacing w:after="0"/>
            </w:pPr>
            <w:r/>
            <w:r>
              <w:rPr>
                <w:rFonts w:ascii="Lato" w:hAnsi="Lato"/>
                <w:b/>
                <w:color w:val="FFFFFF"/>
                <w:sz w:val="15"/>
              </w:rPr>
              <w:t>Range / type</w:t>
            </w:r>
          </w:p>
        </w:tc>
        <w:tc>
          <w:tcPr>
            <w:tcW w:type="dxa" w:w="5472"/>
            <w:vAlign w:val="center"/>
            <w:shd w:fill="17365D"/>
          </w:tcPr>
          <w:p>
            <w:pPr>
              <w:spacing w:after="0"/>
            </w:pPr>
            <w:r/>
            <w:r>
              <w:rPr>
                <w:rFonts w:ascii="Lato" w:hAnsi="Lato"/>
                <w:b/>
                <w:color w:val="FFFFFF"/>
                <w:sz w:val="15"/>
              </w:rPr>
              <w:t>Interpretation</w:t>
            </w:r>
          </w:p>
        </w:tc>
      </w:tr>
      <w:tr>
        <w:tc>
          <w:tcPr>
            <w:tcW w:type="dxa" w:w="1800"/>
            <w:vAlign w:val="center"/>
          </w:tcPr>
          <w:p>
            <w:pPr>
              <w:spacing w:after="0"/>
            </w:pPr>
            <w:r/>
            <w:r>
              <w:rPr>
                <w:rFonts w:ascii="Lato" w:hAnsi="Lato"/>
                <w:b w:val="0"/>
                <w:sz w:val="15"/>
              </w:rPr>
              <w:t>id</w:t>
            </w:r>
          </w:p>
        </w:tc>
        <w:tc>
          <w:tcPr>
            <w:tcW w:type="dxa" w:w="1944"/>
            <w:vAlign w:val="center"/>
          </w:tcPr>
          <w:p>
            <w:pPr>
              <w:spacing w:after="0"/>
            </w:pPr>
            <w:r/>
            <w:r>
              <w:rPr>
                <w:rFonts w:ascii="Lato" w:hAnsi="Lato"/>
                <w:b w:val="0"/>
                <w:sz w:val="15"/>
              </w:rPr>
              <w:t>stable string</w:t>
            </w:r>
          </w:p>
        </w:tc>
        <w:tc>
          <w:tcPr>
            <w:tcW w:type="dxa" w:w="5472"/>
            <w:vAlign w:val="center"/>
          </w:tcPr>
          <w:p>
            <w:pPr>
              <w:spacing w:after="0"/>
            </w:pPr>
            <w:r/>
            <w:r>
              <w:rPr>
                <w:rFonts w:ascii="Lato" w:hAnsi="Lato"/>
                <w:b w:val="0"/>
                <w:sz w:val="15"/>
              </w:rPr>
              <w:t>Synthetic or organizationally controlled identifier.</w:t>
            </w:r>
          </w:p>
        </w:tc>
      </w:tr>
      <w:tr>
        <w:tc>
          <w:tcPr>
            <w:tcW w:type="dxa" w:w="1800"/>
            <w:vAlign w:val="center"/>
            <w:shd w:fill="F3F6F8"/>
          </w:tcPr>
          <w:p>
            <w:pPr>
              <w:spacing w:after="0"/>
            </w:pPr>
            <w:r/>
            <w:r>
              <w:rPr>
                <w:rFonts w:ascii="Lato" w:hAnsi="Lato"/>
                <w:b w:val="0"/>
                <w:sz w:val="15"/>
              </w:rPr>
              <w:t>kind</w:t>
            </w:r>
          </w:p>
        </w:tc>
        <w:tc>
          <w:tcPr>
            <w:tcW w:type="dxa" w:w="1944"/>
            <w:vAlign w:val="center"/>
            <w:shd w:fill="F3F6F8"/>
          </w:tcPr>
          <w:p>
            <w:pPr>
              <w:spacing w:after="0"/>
            </w:pPr>
            <w:r/>
            <w:r>
              <w:rPr>
                <w:rFonts w:ascii="Lato" w:hAnsi="Lato"/>
                <w:b w:val="0"/>
                <w:sz w:val="15"/>
              </w:rPr>
              <w:t>enum</w:t>
            </w:r>
          </w:p>
        </w:tc>
        <w:tc>
          <w:tcPr>
            <w:tcW w:type="dxa" w:w="5472"/>
            <w:vAlign w:val="center"/>
            <w:shd w:fill="F3F6F8"/>
          </w:tcPr>
          <w:p>
            <w:pPr>
              <w:spacing w:after="0"/>
            </w:pPr>
            <w:r/>
            <w:r>
              <w:rPr>
                <w:rFonts w:ascii="Lato" w:hAnsi="Lato"/>
                <w:b w:val="0"/>
                <w:sz w:val="15"/>
              </w:rPr>
              <w:t>identity, credential, endpoint, server, API, cloud, facility, route, vendor, collective, human, data, or network.</w:t>
            </w:r>
          </w:p>
        </w:tc>
      </w:tr>
      <w:tr>
        <w:tc>
          <w:tcPr>
            <w:tcW w:type="dxa" w:w="1800"/>
            <w:vAlign w:val="center"/>
          </w:tcPr>
          <w:p>
            <w:pPr>
              <w:spacing w:after="0"/>
            </w:pPr>
            <w:r/>
            <w:r>
              <w:rPr>
                <w:rFonts w:ascii="Lato" w:hAnsi="Lato"/>
                <w:b w:val="0"/>
                <w:sz w:val="15"/>
              </w:rPr>
              <w:t>criticality</w:t>
            </w:r>
          </w:p>
        </w:tc>
        <w:tc>
          <w:tcPr>
            <w:tcW w:type="dxa" w:w="1944"/>
            <w:vAlign w:val="center"/>
          </w:tcPr>
          <w:p>
            <w:pPr>
              <w:spacing w:after="0"/>
            </w:pPr>
            <w:r/>
            <w:r>
              <w:rPr>
                <w:rFonts w:ascii="Lato" w:hAnsi="Lato"/>
                <w:b w:val="0"/>
                <w:sz w:val="15"/>
              </w:rPr>
              <w:t>0-1</w:t>
            </w:r>
          </w:p>
        </w:tc>
        <w:tc>
          <w:tcPr>
            <w:tcW w:type="dxa" w:w="5472"/>
            <w:vAlign w:val="center"/>
          </w:tcPr>
          <w:p>
            <w:pPr>
              <w:spacing w:after="0"/>
            </w:pPr>
            <w:r/>
            <w:r>
              <w:rPr>
                <w:rFonts w:ascii="Lato" w:hAnsi="Lato"/>
                <w:b w:val="0"/>
                <w:sz w:val="15"/>
              </w:rPr>
              <w:t>Operational consequence if trustworthy function is lost.</w:t>
            </w:r>
          </w:p>
        </w:tc>
      </w:tr>
      <w:tr>
        <w:tc>
          <w:tcPr>
            <w:tcW w:type="dxa" w:w="1800"/>
            <w:vAlign w:val="center"/>
            <w:shd w:fill="F3F6F8"/>
          </w:tcPr>
          <w:p>
            <w:pPr>
              <w:spacing w:after="0"/>
            </w:pPr>
            <w:r/>
            <w:r>
              <w:rPr>
                <w:rFonts w:ascii="Lato" w:hAnsi="Lato"/>
                <w:b w:val="0"/>
                <w:sz w:val="15"/>
              </w:rPr>
              <w:t>exposure</w:t>
            </w:r>
          </w:p>
        </w:tc>
        <w:tc>
          <w:tcPr>
            <w:tcW w:type="dxa" w:w="1944"/>
            <w:vAlign w:val="center"/>
            <w:shd w:fill="F3F6F8"/>
          </w:tcPr>
          <w:p>
            <w:pPr>
              <w:spacing w:after="0"/>
            </w:pPr>
            <w:r/>
            <w:r>
              <w:rPr>
                <w:rFonts w:ascii="Lato" w:hAnsi="Lato"/>
                <w:b w:val="0"/>
                <w:sz w:val="15"/>
              </w:rPr>
              <w:t>0-1</w:t>
            </w:r>
          </w:p>
        </w:tc>
        <w:tc>
          <w:tcPr>
            <w:tcW w:type="dxa" w:w="5472"/>
            <w:vAlign w:val="center"/>
            <w:shd w:fill="F3F6F8"/>
          </w:tcPr>
          <w:p>
            <w:pPr>
              <w:spacing w:after="0"/>
            </w:pPr>
            <w:r/>
            <w:r>
              <w:rPr>
                <w:rFonts w:ascii="Lato" w:hAnsi="Lato"/>
                <w:b w:val="0"/>
                <w:sz w:val="15"/>
              </w:rPr>
              <w:t>Relative contact with untrusted or uncontrolled conditions.</w:t>
            </w:r>
          </w:p>
        </w:tc>
      </w:tr>
      <w:tr>
        <w:tc>
          <w:tcPr>
            <w:tcW w:type="dxa" w:w="1800"/>
            <w:vAlign w:val="center"/>
          </w:tcPr>
          <w:p>
            <w:pPr>
              <w:spacing w:after="0"/>
            </w:pPr>
            <w:r/>
            <w:r>
              <w:rPr>
                <w:rFonts w:ascii="Lato" w:hAnsi="Lato"/>
                <w:b w:val="0"/>
                <w:sz w:val="15"/>
              </w:rPr>
              <w:t>controlStrength</w:t>
            </w:r>
          </w:p>
        </w:tc>
        <w:tc>
          <w:tcPr>
            <w:tcW w:type="dxa" w:w="1944"/>
            <w:vAlign w:val="center"/>
          </w:tcPr>
          <w:p>
            <w:pPr>
              <w:spacing w:after="0"/>
            </w:pPr>
            <w:r/>
            <w:r>
              <w:rPr>
                <w:rFonts w:ascii="Lato" w:hAnsi="Lato"/>
                <w:b w:val="0"/>
                <w:sz w:val="15"/>
              </w:rPr>
              <w:t>0-1</w:t>
            </w:r>
          </w:p>
        </w:tc>
        <w:tc>
          <w:tcPr>
            <w:tcW w:type="dxa" w:w="5472"/>
            <w:vAlign w:val="center"/>
          </w:tcPr>
          <w:p>
            <w:pPr>
              <w:spacing w:after="0"/>
            </w:pPr>
            <w:r/>
            <w:r>
              <w:rPr>
                <w:rFonts w:ascii="Lato" w:hAnsi="Lato"/>
                <w:b w:val="0"/>
                <w:sz w:val="15"/>
              </w:rPr>
              <w:t>Estimated effectiveness of preventive, detective, and recovery controls.</w:t>
            </w:r>
          </w:p>
        </w:tc>
      </w:tr>
      <w:tr>
        <w:tc>
          <w:tcPr>
            <w:tcW w:type="dxa" w:w="1800"/>
            <w:vAlign w:val="center"/>
            <w:shd w:fill="F3F6F8"/>
          </w:tcPr>
          <w:p>
            <w:pPr>
              <w:spacing w:after="0"/>
            </w:pPr>
            <w:r/>
            <w:r>
              <w:rPr>
                <w:rFonts w:ascii="Lato" w:hAnsi="Lato"/>
                <w:b w:val="0"/>
                <w:sz w:val="15"/>
              </w:rPr>
              <w:t>humanPressure</w:t>
            </w:r>
          </w:p>
        </w:tc>
        <w:tc>
          <w:tcPr>
            <w:tcW w:type="dxa" w:w="1944"/>
            <w:vAlign w:val="center"/>
            <w:shd w:fill="F3F6F8"/>
          </w:tcPr>
          <w:p>
            <w:pPr>
              <w:spacing w:after="0"/>
            </w:pPr>
            <w:r/>
            <w:r>
              <w:rPr>
                <w:rFonts w:ascii="Lato" w:hAnsi="Lato"/>
                <w:b w:val="0"/>
                <w:sz w:val="15"/>
              </w:rPr>
              <w:t>0-1</w:t>
            </w:r>
          </w:p>
        </w:tc>
        <w:tc>
          <w:tcPr>
            <w:tcW w:type="dxa" w:w="5472"/>
            <w:vAlign w:val="center"/>
            <w:shd w:fill="F3F6F8"/>
          </w:tcPr>
          <w:p>
            <w:pPr>
              <w:spacing w:after="0"/>
            </w:pPr>
            <w:r/>
            <w:r>
              <w:rPr>
                <w:rFonts w:ascii="Lato" w:hAnsi="Lato"/>
                <w:b w:val="0"/>
                <w:sz w:val="15"/>
              </w:rPr>
              <w:t>Workflow, fatigue, urgency, social, or staffing pressure.</w:t>
            </w:r>
          </w:p>
        </w:tc>
      </w:tr>
      <w:tr>
        <w:tc>
          <w:tcPr>
            <w:tcW w:type="dxa" w:w="1800"/>
            <w:vAlign w:val="center"/>
          </w:tcPr>
          <w:p>
            <w:pPr>
              <w:spacing w:after="0"/>
            </w:pPr>
            <w:r/>
            <w:r>
              <w:rPr>
                <w:rFonts w:ascii="Lato" w:hAnsi="Lato"/>
                <w:b w:val="0"/>
                <w:sz w:val="15"/>
              </w:rPr>
              <w:t>telemetryConfidence</w:t>
            </w:r>
          </w:p>
        </w:tc>
        <w:tc>
          <w:tcPr>
            <w:tcW w:type="dxa" w:w="1944"/>
            <w:vAlign w:val="center"/>
          </w:tcPr>
          <w:p>
            <w:pPr>
              <w:spacing w:after="0"/>
            </w:pPr>
            <w:r/>
            <w:r>
              <w:rPr>
                <w:rFonts w:ascii="Lato" w:hAnsi="Lato"/>
                <w:b w:val="0"/>
                <w:sz w:val="15"/>
              </w:rPr>
              <w:t>0-1</w:t>
            </w:r>
          </w:p>
        </w:tc>
        <w:tc>
          <w:tcPr>
            <w:tcW w:type="dxa" w:w="5472"/>
            <w:vAlign w:val="center"/>
          </w:tcPr>
          <w:p>
            <w:pPr>
              <w:spacing w:after="0"/>
            </w:pPr>
            <w:r/>
            <w:r>
              <w:rPr>
                <w:rFonts w:ascii="Lato" w:hAnsi="Lato"/>
                <w:b w:val="0"/>
                <w:sz w:val="15"/>
              </w:rPr>
              <w:t>Confidence in the evidence supporting the surface values.</w:t>
            </w:r>
          </w:p>
        </w:tc>
      </w:tr>
      <w:tr>
        <w:tc>
          <w:tcPr>
            <w:tcW w:type="dxa" w:w="1800"/>
            <w:vAlign w:val="center"/>
            <w:shd w:fill="F3F6F8"/>
          </w:tcPr>
          <w:p>
            <w:pPr>
              <w:spacing w:after="0"/>
            </w:pPr>
            <w:r/>
            <w:r>
              <w:rPr>
                <w:rFonts w:ascii="Lato" w:hAnsi="Lato"/>
                <w:b w:val="0"/>
                <w:sz w:val="15"/>
              </w:rPr>
              <w:t>inventoryCount</w:t>
            </w:r>
          </w:p>
        </w:tc>
        <w:tc>
          <w:tcPr>
            <w:tcW w:type="dxa" w:w="1944"/>
            <w:vAlign w:val="center"/>
            <w:shd w:fill="F3F6F8"/>
          </w:tcPr>
          <w:p>
            <w:pPr>
              <w:spacing w:after="0"/>
            </w:pPr>
            <w:r/>
            <w:r>
              <w:rPr>
                <w:rFonts w:ascii="Lato" w:hAnsi="Lato"/>
                <w:b w:val="0"/>
                <w:sz w:val="15"/>
              </w:rPr>
              <w:t>integer</w:t>
            </w:r>
          </w:p>
        </w:tc>
        <w:tc>
          <w:tcPr>
            <w:tcW w:type="dxa" w:w="5472"/>
            <w:vAlign w:val="center"/>
            <w:shd w:fill="F3F6F8"/>
          </w:tcPr>
          <w:p>
            <w:pPr>
              <w:spacing w:after="0"/>
            </w:pPr>
            <w:r/>
            <w:r>
              <w:rPr>
                <w:rFonts w:ascii="Lato" w:hAnsi="Lato"/>
                <w:b w:val="0"/>
                <w:sz w:val="15"/>
              </w:rPr>
              <w:t>Operational equivalents represented by the aggregate.</w:t>
            </w:r>
          </w:p>
        </w:tc>
      </w:tr>
      <w:tr>
        <w:tc>
          <w:tcPr>
            <w:tcW w:type="dxa" w:w="1800"/>
            <w:vAlign w:val="center"/>
          </w:tcPr>
          <w:p>
            <w:pPr>
              <w:spacing w:after="0"/>
            </w:pPr>
            <w:r/>
            <w:r>
              <w:rPr>
                <w:rFonts w:ascii="Lato" w:hAnsi="Lato"/>
                <w:b w:val="0"/>
                <w:sz w:val="15"/>
              </w:rPr>
              <w:t>location</w:t>
            </w:r>
          </w:p>
        </w:tc>
        <w:tc>
          <w:tcPr>
            <w:tcW w:type="dxa" w:w="1944"/>
            <w:vAlign w:val="center"/>
          </w:tcPr>
          <w:p>
            <w:pPr>
              <w:spacing w:after="0"/>
            </w:pPr>
            <w:r/>
            <w:r>
              <w:rPr>
                <w:rFonts w:ascii="Lato" w:hAnsi="Lato"/>
                <w:b w:val="0"/>
                <w:sz w:val="15"/>
              </w:rPr>
              <w:t>optional</w:t>
            </w:r>
          </w:p>
        </w:tc>
        <w:tc>
          <w:tcPr>
            <w:tcW w:type="dxa" w:w="5472"/>
            <w:vAlign w:val="center"/>
          </w:tcPr>
          <w:p>
            <w:pPr>
              <w:spacing w:after="0"/>
            </w:pPr>
            <w:r/>
            <w:r>
              <w:rPr>
                <w:rFonts w:ascii="Lato" w:hAnsi="Lato"/>
                <w:b w:val="0"/>
                <w:sz w:val="15"/>
              </w:rPr>
              <w:t>Named zone, route, coordinates, or omitted.</w:t>
            </w:r>
          </w:p>
        </w:tc>
      </w:tr>
      <w:tr>
        <w:tc>
          <w:tcPr>
            <w:tcW w:type="dxa" w:w="1800"/>
            <w:vAlign w:val="center"/>
            <w:shd w:fill="F3F6F8"/>
          </w:tcPr>
          <w:p>
            <w:pPr>
              <w:spacing w:after="0"/>
            </w:pPr>
            <w:r/>
            <w:r>
              <w:rPr>
                <w:rFonts w:ascii="Lato" w:hAnsi="Lato"/>
                <w:b w:val="0"/>
                <w:sz w:val="15"/>
              </w:rPr>
              <w:t>signals</w:t>
            </w:r>
          </w:p>
        </w:tc>
        <w:tc>
          <w:tcPr>
            <w:tcW w:type="dxa" w:w="1944"/>
            <w:vAlign w:val="center"/>
            <w:shd w:fill="F3F6F8"/>
          </w:tcPr>
          <w:p>
            <w:pPr>
              <w:spacing w:after="0"/>
            </w:pPr>
            <w:r/>
            <w:r>
              <w:rPr>
                <w:rFonts w:ascii="Lato" w:hAnsi="Lato"/>
                <w:b w:val="0"/>
                <w:sz w:val="15"/>
              </w:rPr>
              <w:t>list</w:t>
            </w:r>
          </w:p>
        </w:tc>
        <w:tc>
          <w:tcPr>
            <w:tcW w:type="dxa" w:w="5472"/>
            <w:vAlign w:val="center"/>
            <w:shd w:fill="F3F6F8"/>
          </w:tcPr>
          <w:p>
            <w:pPr>
              <w:spacing w:after="0"/>
            </w:pPr>
            <w:r/>
            <w:r>
              <w:rPr>
                <w:rFonts w:ascii="Lato" w:hAnsi="Lato"/>
                <w:b w:val="0"/>
                <w:sz w:val="15"/>
              </w:rPr>
              <w:t>Defensive observations; never provider credentials.</w:t>
            </w:r>
          </w:p>
        </w:tc>
      </w:tr>
    </w:tbl>
    <w:p>
      <w:pPr>
        <w:spacing w:after="0"/>
      </w:pPr>
    </w:p>
    <w:p>
      <w:pPr>
        <w:pStyle w:val="Heading2"/>
      </w:pPr>
      <w:r>
        <w:t>5.1 Typed defensive surfaces</w:t>
      </w:r>
    </w:p>
    <w:p>
      <w:r>
        <w:t>A useful ontology must be broad enough to represent collective operational risk but specific enough to preserve the mechanisms that make identity, physical access, cloud control, APIs, and suppliers different. The architecture therefore makes a deliberate trade-off. CyberForge treats the statement as a design hypothesis that must be represented in data, implemented in code, and evaluated through reproducible tests. The relevant mechanism includes identity surfaces model authentication and privilege, human surfaces represent role aggregates rather than named individuals, and endpoint and server surfaces represent operational device classes. These elements are not interchangeable: each introduces a different source of evidence, uncertainty, and potential error. The design is grounded in the project source and in established guidance on digital twins, risk management, AI assurance, and cybersecurity controls [R1][R8][R11]. Throughout this paper, the term ‘risk’ refers to a comparative planning index unless an empirical calibration study is explicitly described.</w:t>
      </w:r>
    </w:p>
    <w:p>
      <w:r>
        <w:t>The system implements the idea through a sequence of bounded transformations. First, it must identity surfaces model authentication and privilege; second, it must human surfaces represent role aggregates rather than named individuals; and third, it must endpoint and server surfaces represent operational device classes. Where additional mechanisms are present, the implementation also has to API and cloud surfaces represent machine identities and control planes, facility and route surfaces represent physical and availability dependencies, vendor surfaces represent external assurance boundaries, and data surfaces represent confidentiality, integrity, and availability consequences.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Role aggregates reduce privacy risk; typed dimensions prevent inappropriate comparisons; and the ontology supports organizations that lack precise GPS or CMDB data.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delivery entrance can be represented with a name, shift-change pressure, badge controls, and inventory of adjacent operational devices without storing a floor plan or employee names.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coverage of mission-critical functions, percentage of surfaces with owners and evidence, schema extension tests, and privacy review of identifiers.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creating one surface per device and overwhelming the model, merging all people into a vague human score, and using sensitive names when synthetic labels are sufficient.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begin with decision-relevant aggregates, split a surface only when controls or consequences differ, and prefer stable synthetic identifiers.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5.2 Scenario authoring and version control</w:t>
      </w:r>
    </w:p>
    <w:p>
      <w:r>
        <w:t>Scenario quality depends on disciplined authoring, review, versioning, and change records rather than the sophistication of the simulation alone. From a research perspective, the important point is not the label but the testable behavior. CyberForge treats the statement as a design hypothesis that must be represented in data, implemented in code, and evaluated through reproducible tests. The relevant mechanism includes authorization metadata is part of the schema, world count and seed are explicit, and assumptions and signals remain human-readable. These elements are not interchangeable: each introduces a different source of evidence, uncertainty, and potential error. The design is grounded in the project source and in established guidance on digital twins, risk management, AI assurance, and cybersecurity controls [R1][R5][R37][R38]. Throughout this paper, the term ‘risk’ refers to a comparative planning index unless an empirical calibration study is explicitly described.</w:t>
      </w:r>
    </w:p>
    <w:p>
      <w:r>
        <w:t>The system implements the idea through a sequence of bounded transformations. First, it must authorization metadata is part of the schema; second, it must world count and seed are explicit; and third, it must assumptions and signals remain human-readable. Where additional mechanisms are present, the implementation also has to links are reviewed independently from nodes and scenario digests bind reports to inputs.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Versioning enables before-and-after control comparisons; a reviewer can reproduce a finding without access to hidden state; and authorization can be audited separately from technical content.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quarterly exercise may clone the prior scenario, update control strengths from evidence, add a new supplier link, and retain the prior digest for comparison. The report should explain whether a changed score came from evidence, topology, or model opinion.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schema linting, git diff review, dual approval for sensitive scenarios, digest verification, and change-log completeness.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silent edits after a report is issued, copying a scenario into an unauthorized environment, and mixing observed and hypothetical surfaces without labels.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immutable report artifacts, separate scenario profiles for actual and hypothetical states, and minimum necessary data.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Design a surface ontology extension for industrial control without adding exploit details.</w:t>
      </w:r>
    </w:p>
    <w:p>
      <w:pPr>
        <w:pStyle w:val="ListNumber"/>
      </w:pPr>
      <w:r>
        <w:t>Write a scenario change log for a new vendor relationship.</w:t>
      </w:r>
    </w:p>
    <w:p>
      <w:pPr>
        <w:pStyle w:val="ListNumber"/>
      </w:pPr>
      <w:r>
        <w:t>Create a rule for deciding when two endpoint groups must be separate surfaces.</w:t>
      </w:r>
    </w:p>
    <w:p>
      <w:pPr>
        <w:pStyle w:val="Heading2"/>
      </w:pPr>
      <w:r>
        <w:t>Chapter Takeaways</w:t>
      </w:r>
    </w:p>
    <w:p>
      <w:r>
        <w:t>Chapter 5 establishes that a useful ontology must be broad enough to represent collective operational risk but specific enough to preserve the mechanisms that make identity, physical access, cloud control, APIs, and suppliers different. The implementation consequence is to begin with decision-relevant aggregates, while the research consequence is to measure coverage of mission-critical functions. The chapter also shows why versioning enables before-and-after control comparisons and why a defensible deployment must explicitly guard against silent edits after a report is issued.</w:t>
      </w:r>
    </w:p>
    <w:p>
      <w:r>
        <w:br w:type="page"/>
      </w:r>
    </w:p>
    <w:p>
      <w:pPr>
        <w:pStyle w:val="Heading1"/>
      </w:pPr>
      <w:r>
        <w:t>Chapter 6. The Super Scanner Pipeline</w:t>
      </w:r>
    </w:p>
    <w:p>
      <w:r>
        <w:t>Details authorization, normalization, local micro-scanning, propagation, simulation, synthesis, deliberation, and reporting.</w:t>
      </w:r>
    </w:p>
    <w:p>
      <w:pPr>
        <w:keepNext/>
        <w:jc w:val="center"/>
      </w:pPr>
      <w:r>
        <w:drawing>
          <wp:inline xmlns:a="http://schemas.openxmlformats.org/drawingml/2006/main" xmlns:pic="http://schemas.openxmlformats.org/drawingml/2006/picture">
            <wp:extent cx="5897880" cy="2322616"/>
            <wp:docPr id="3" name="Picture 3" title="Figure 2 Super Scanner defensive pipeline" descr="Staged defensive pipeline from authorization and scenario normalization through local scanning, graph propagation, Monte Carlo simulation, model synthesis, and evidence-bounded reporting."/>
            <wp:cNvGraphicFramePr>
              <a:graphicFrameLocks noChangeAspect="1"/>
            </wp:cNvGraphicFramePr>
            <a:graphic>
              <a:graphicData uri="http://schemas.openxmlformats.org/drawingml/2006/picture">
                <pic:pic>
                  <pic:nvPicPr>
                    <pic:cNvPr id="0" name="figure_02_pipeline.png"/>
                    <pic:cNvPicPr/>
                  </pic:nvPicPr>
                  <pic:blipFill>
                    <a:blip r:embed="rId13"/>
                    <a:stretch>
                      <a:fillRect/>
                    </a:stretch>
                  </pic:blipFill>
                  <pic:spPr>
                    <a:xfrm>
                      <a:off x="0" y="0"/>
                      <a:ext cx="5897880" cy="2322616"/>
                    </a:xfrm>
                    <a:prstGeom prst="rect"/>
                  </pic:spPr>
                </pic:pic>
              </a:graphicData>
            </a:graphic>
          </wp:inline>
        </w:drawing>
      </w:r>
    </w:p>
    <w:p>
      <w:pPr>
        <w:spacing w:after="160"/>
        <w:jc w:val="center"/>
      </w:pPr>
      <w:r>
        <w:rPr>
          <w:i/>
          <w:color w:val="666666"/>
          <w:sz w:val="17"/>
        </w:rPr>
        <w:t>Figure 2. Super Scanner staged defensive pipeline.</w:t>
      </w:r>
    </w:p>
    <w:p>
      <w:pPr>
        <w:pStyle w:val="Heading2"/>
      </w:pPr>
      <w:r>
        <w:t>6.1 Stage-by-stage scanner design</w:t>
      </w:r>
    </w:p>
    <w:p>
      <w:r>
        <w:t>The Super Scanner is deliberately staged so each transformation can be inspected, tested, and stopped before sensitive data crosses a boundary. For a blue team, this changes the unit of analysis. CyberForge treats the statement as a design hypothesis that must be represented in data, implemented in code, and evaluated through reproducible tests. The relevant mechanism includes authorization rejects unowned or unbounded targets, normalization validates types and ranges, and redaction recursively removes secret-like values. These elements are not interchangeable: each introduces a different source of evidence, uncertainty, and potential error. The design is grounded in the project source and in established guidance on digital twins, risk management, AI assurance, and cybersecurity controls [R1][R29][R30]. Throughout this paper, the term ‘risk’ refers to a comparative planning index unless an empirical calibration study is explicitly described.</w:t>
      </w:r>
    </w:p>
    <w:p>
      <w:r>
        <w:t>The system implements the idea through a sequence of bounded transformations. First, it must authorization rejects unowned or unbounded targets; second, it must normalization validates types and ranges; and third, it must redaction recursively removes secret-like values. Where additional mechanisms are present, the implementation also has to Llama evaluates a bounded set of high-pressure surfaces locally, graph propagation computes dependency pressure, Monte Carlo generates impact distributions, Gemma synthesizes a private narrative, optional cloud critics receive the same redacted packet, and reporting preserves dissent and evidence needs.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Staging supports least privilege; bounded contexts improve small-model reliability; and separate stages permit targeted tests and replacement.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If a surface description contains an API token, the redactor removes it before any model packet is formed. If the local model is unavailable, the numerical scanner still completes and records zero local passes.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stage-specific logs without secrets, fault injection, redaction counts, provider failure tests, and deterministic offline output.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a monolithic prompt that combines authorization, data, reasoning, and action, silent fallback that changes semantics, and remote calls before redaction.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fail closed on authorization, fail open only to the offline defensive baseline, and record every degraded component.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6.2 Individual and collective scanning</w:t>
      </w:r>
    </w:p>
    <w:p>
      <w:r>
        <w:t>CyberForge combines per-surface micro-analysis with collective graph and simulation analysis because neither granularity is sufficient alone. The design becomes useful only when the claim can be traced and challenged. CyberForge treats the statement as a design hypothesis that must be represented in data, implemented in code, and evaluated through reproducible tests. The relevant mechanism includes per-surface analysis identifies local observations and control gaps, collective analysis captures shared identity, administration, and availability dependencies, and inventory weighting estimates operational scope without claiming each item is compromised. These elements are not interchangeable: each introduces a different source of evidence, uncertainty, and potential error. The design is grounded in the project source and in established guidance on digital twins, risk management, AI assurance, and cybersecurity controls [R1][R25][R26][R27]. Throughout this paper, the term ‘risk’ refers to a comparative planning index unless an empirical calibration study is explicitly described.</w:t>
      </w:r>
    </w:p>
    <w:p>
      <w:r>
        <w:t>The system implements the idea through a sequence of bounded transformations. First, it must per-surface analysis identifies local observations and control gaps; second, it must collective analysis captures shared identity, administration, and availability dependencies; and third, it must inventory weighting estimates operational scope without claiming each item is compromised. Where additional mechanisms are present, the implementation also has to the model council critiques the collective report rather than inventing raw telemetry.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Small local models can handle narrow JSON tasks on constrained hardware; collective aggregation prevents tunnel vision; and separation reduces prompt injection blast radius.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Llama micro-scan may suggest that a vendor surface needs contract-scope and privileged-session evidence. The graph then shows whether that vendor relationship amplifies remote-access pressure, and the simulator estimates how controls change the operational distribution.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micro-scan parse success, agreement with human control reviewers, incremental benefit over numerical-only baseline, and latency per surface.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local model over-adjustment, double counting the same signal at surface and graph levels, and assuming collective risk equals the sum of individual scores.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cap model adjustments, deduplicate signals, and show numerical baseline and model-adjusted values separately.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Trace one scenario field through all nine scanner stages.</w:t>
      </w:r>
    </w:p>
    <w:p>
      <w:pPr>
        <w:pStyle w:val="ListNumber"/>
      </w:pPr>
      <w:r>
        <w:t>Specify a safe JSON schema for a local micro-scan.</w:t>
      </w:r>
    </w:p>
    <w:p>
      <w:pPr>
        <w:pStyle w:val="ListNumber"/>
      </w:pPr>
      <w:r>
        <w:t>Identify a case where collective analysis reverses an individual-surface priority.</w:t>
      </w:r>
    </w:p>
    <w:p>
      <w:pPr>
        <w:pStyle w:val="Heading2"/>
      </w:pPr>
      <w:r>
        <w:t>Chapter Takeaways</w:t>
      </w:r>
    </w:p>
    <w:p>
      <w:r>
        <w:t>Chapter 6 establishes that the Super Scanner is deliberately staged so each transformation can be inspected, tested, and stopped before sensitive data crosses a boundary. The implementation consequence is to fail closed on authorization, while the research consequence is to measure stage-specific logs without secrets. The chapter also shows why small local models can handle narrow JSON tasks on constrained hardware and why a defensible deployment must explicitly guard against local model over-adjustment.</w:t>
      </w:r>
    </w:p>
    <w:p>
      <w:r>
        <w:br w:type="page"/>
      </w:r>
    </w:p>
    <w:p>
      <w:pPr>
        <w:pStyle w:val="Heading1"/>
      </w:pPr>
      <w:r>
        <w:t>Chapter 7. AEGIS-816: Seeded Monte Carlo Simulation</w:t>
      </w:r>
    </w:p>
    <w:p>
      <w:r>
        <w:t>Explains the numerical engine, the simulated gamma interface, reproducibility, and impact distributions.</w:t>
      </w:r>
    </w:p>
    <w:p>
      <w:pPr>
        <w:pStyle w:val="Heading2"/>
      </w:pPr>
      <w:r>
        <w:t>7.1 Conventional computation behind the gamma metaphor</w:t>
      </w:r>
    </w:p>
    <w:p>
      <w:r>
        <w:t>AEGIS-816 uses a cinematic “Dyson Sphere Gamma” interface while explicitly identifying its computation as seeded, vectorized, conventional Monte Carlo and graph processing. This is also where many security dashboards become misleading. CyberForge treats the statement as a design hypothesis that must be represented in data, implemented in code, and evaluated through reproducible tests. The relevant mechanism includes 81,611,511 simulated qubits and 4,096 observation frames are display constants, the numerical core uses pseudorandom sampling and bounded functions, and the seed is recorded in telemetry. These elements are not interchangeable: each introduces a different source of evidence, uncertainty, and potential error. The design is grounded in the project source and in established guidance on digital twins, risk management, AI assurance, and cybersecurity controls [R1][R31][R40]. Throughout this paper, the term ‘risk’ refers to a comparative planning index unless an empirical calibration study is explicitly described.</w:t>
      </w:r>
    </w:p>
    <w:p>
      <w:r>
        <w:t>The system implements the idea through a sequence of bounded transformations. First, it must 81,611,511 simulated qubits and 4,096 observation frames are display constants; second, it must the numerical core uses pseudorandom sampling and bounded functions; and third, it must the seed is recorded in telemetry. Where additional mechanisms are present, the implementation also has to logical-cell counts are metaphorical capacity indicators.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An imaginative interface can make complex risk work engaging; truth labels prevent the metaphor from becoming a false hardware claim; and reproducibility is more important than spectacle.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BOOTCOM reports the safety kernel, local model status, AES boundary, and attribution prohibition before reporting simulated coherence. The order makes policy part of system initialization rather than an afterthought.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same input and seed produce the same structured report, truth label appears in every report, performance scales with world count, and no code path invokes quantum hardware.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marketing language interpreted literally, coherence displayed as scientific measurement, and using more worlds to disguise weak priors.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place the truth label adjacent to the metric, publish the pseudocode, and treat world count as numerical resolution, not epistemic certainty.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7.2 Common-pressure sampling and affected-equivalent impact</w:t>
      </w:r>
    </w:p>
    <w:p>
      <w:r>
        <w:t>The simulator samples correlated common pressure so multiple surfaces can degrade together, then converts surface outcomes into an affected-equivalent operational inventory distribution. A defensible implementation must preserve this separation throughout the pipeline. CyberForge treats the statement as a design hypothesis that must be represented in data, implemented in code, and evaluated through reproducible tests. The relevant mechanism includes a common latent factor represents organization-wide pressure, surface-specific factors preserve heterogeneity, and controls reduce effective pressure. These elements are not interchangeable: each introduces a different source of evidence, uncertainty, and potential error. The design is grounded in the project source and in established guidance on digital twins, risk management, AI assurance, and cybersecurity controls [R1][R7][R31]. Throughout this paper, the term ‘risk’ refers to a comparative planning index unless an empirical calibration study is explicitly described.</w:t>
      </w:r>
    </w:p>
    <w:p>
      <w:r>
        <w:t>The system implements the idea through a sequence of bounded transformations. First, it must a common latent factor represents organization-wide pressure; second, it must surface-specific factors preserve heterogeneity; and third, it must controls reduce effective pressure. Where additional mechanisms are present, the implementation also has to criticality and inventory translate state loss into operational equivalents and quantiles summarize the distribution.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Independent Bernoulli assumptions underestimate correlated events; inventory-weighted impact is easier to interpret than an abstract severity alone; and quantiles expose tail behavior.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In the default synthetic scenario, 6,744 inventory equivalents are modeled. The median affected-equivalent result is 1,618, while the broad high quantile reaches 6,486. The report states that these are losses of trustworthy operation, not malware counts.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quantile stability as worlds increase, sensitivity to correlation assumptions, scenario-specific backtesting, and coverage of observed outage ranges when data exists.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large tails driven by arbitrary priors, interpreting zero low quantile as impossible impact, and conflating operational untrustworthiness with encryption or infection.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publish range interpretation, support alternative priors, and report component distributions.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Explain why increasing world count cannot fix a biased prior.</w:t>
      </w:r>
    </w:p>
    <w:p>
      <w:pPr>
        <w:pStyle w:val="ListNumber"/>
      </w:pPr>
      <w:r>
        <w:t>Design a correlated-pressure variable for a regional outage.</w:t>
      </w:r>
    </w:p>
    <w:p>
      <w:pPr>
        <w:pStyle w:val="ListNumber"/>
      </w:pPr>
      <w:r>
        <w:t>Write an interpretation sentence for an affected-equivalent interval.</w:t>
      </w:r>
    </w:p>
    <w:p>
      <w:pPr>
        <w:pStyle w:val="Heading2"/>
      </w:pPr>
      <w:r>
        <w:t>Chapter Takeaways</w:t>
      </w:r>
    </w:p>
    <w:p>
      <w:r>
        <w:t>Chapter 7 establishes that aEGIS-816 uses a cinematic “Dyson Sphere Gamma” interface while explicitly identifying its computation as seeded, vectorized, conventional Monte Carlo and graph processing. The implementation consequence is to place the truth label adjacent to the metric, while the research consequence is to measure same input and seed produce the same structured report. The chapter also shows why independent Bernoulli assumptions underestimate correlated events and why a defensible deployment must explicitly guard against large tails driven by arbitrary priors.</w:t>
      </w:r>
    </w:p>
    <w:p>
      <w:r>
        <w:br w:type="page"/>
      </w:r>
    </w:p>
    <w:p>
      <w:pPr>
        <w:pStyle w:val="Heading1"/>
      </w:pPr>
      <w:r>
        <w:t>Chapter 8. Trust-Graph Propagation and Systemic Risk</w:t>
      </w:r>
    </w:p>
    <w:p>
      <w:r>
        <w:t>Develops the bounded propagation model and explains how dependency pressure differs from attack-path enumeration.</w:t>
      </w:r>
    </w:p>
    <w:p>
      <w:pPr>
        <w:keepNext/>
        <w:jc w:val="center"/>
      </w:pPr>
      <w:r>
        <w:drawing>
          <wp:inline xmlns:a="http://schemas.openxmlformats.org/drawingml/2006/main" xmlns:pic="http://schemas.openxmlformats.org/drawingml/2006/picture">
            <wp:extent cx="5897880" cy="4146736"/>
            <wp:docPr id="4" name="Picture 4" title="Figure 3 Synthetic surface and trust graph" descr="Directed graph of synthetic defensive surfaces and trust relationships connecting identity, remote access, endpoint, cloud, vendor, facility, and data surfaces."/>
            <wp:cNvGraphicFramePr>
              <a:graphicFrameLocks noChangeAspect="1"/>
            </wp:cNvGraphicFramePr>
            <a:graphic>
              <a:graphicData uri="http://schemas.openxmlformats.org/drawingml/2006/picture">
                <pic:pic>
                  <pic:nvPicPr>
                    <pic:cNvPr id="0" name="figure_03_surface_graph.png"/>
                    <pic:cNvPicPr/>
                  </pic:nvPicPr>
                  <pic:blipFill>
                    <a:blip r:embed="rId14"/>
                    <a:stretch>
                      <a:fillRect/>
                    </a:stretch>
                  </pic:blipFill>
                  <pic:spPr>
                    <a:xfrm>
                      <a:off x="0" y="0"/>
                      <a:ext cx="5897880" cy="4146736"/>
                    </a:xfrm>
                    <a:prstGeom prst="rect"/>
                  </pic:spPr>
                </pic:pic>
              </a:graphicData>
            </a:graphic>
          </wp:inline>
        </w:drawing>
      </w:r>
    </w:p>
    <w:p>
      <w:pPr>
        <w:spacing w:after="160"/>
        <w:jc w:val="center"/>
      </w:pPr>
      <w:r>
        <w:rPr>
          <w:i/>
          <w:color w:val="666666"/>
          <w:sz w:val="17"/>
        </w:rPr>
        <w:t>Figure 3. Default synthetic surface and trust graph.</w:t>
      </w:r>
    </w:p>
    <w:p>
      <w:pPr>
        <w:pStyle w:val="Heading2"/>
      </w:pPr>
      <w:r>
        <w:t>8.1 Bounded message passing</w:t>
      </w:r>
    </w:p>
    <w:p>
      <w:r>
        <w:t>CyberForge applies a small fixed number of message-passing rounds so pressure can travel through trust relationships without creating an uncontrolled recursive narrative. The practical consequence is significant. CyberForge treats the statement as a design hypothesis that must be represented in data, implemented in code, and evaluated through reproducible tests. The relevant mechanism includes source risk seeds an edge contribution, trust increases propagation while link control reduces it, and target criticality affects prioritization but does not prove causality. These elements are not interchangeable: each introduces a different source of evidence, uncertainty, and potential error. The design is grounded in the project source and in established guidance on digital twins, risk management, AI assurance, and cybersecurity controls [R1][R12][R13]. Throughout this paper, the term ‘risk’ refers to a comparative planning index unless an empirical calibration study is explicitly described.</w:t>
      </w:r>
    </w:p>
    <w:p>
      <w:r>
        <w:t>The system implements the idea through a sequence of bounded transformations. First, it must source risk seeds an edge contribution; second, it must trust increases propagation while link control reduces it; and third, it must target criticality affects prioritization but does not prove causality. Where additional mechanisms are present, the implementation also has to three bounded rounds capture short dependency chains and path pressure is returned with an interpretation label.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Many operational failures are systemic rather than local; bounded rounds preserve interpretability and performance; and explicit edges permit ablation and review.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default graph identifies vendor support to remote access as the strongest path, followed by remote access to endpoints and workforce identity to remote access. This ranking is a model of dependency amplification, not an assertion of intrusion sequence.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monotonicity under stronger link controls, comparison with no-link baseline, reviewer validation of edge semantics, and cycle stability.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runaway amplification, mistaking high trust for maliciousness, and adding speculative edges until the desired conclusion appears.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cap rounds and contributions, require edge provenance, and display node and link controls separately.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8.2 Graph ablation and interpretation</w:t>
      </w:r>
    </w:p>
    <w:p>
      <w:r>
        <w:t>Ablation is necessary to demonstrate that the trust graph contributes identifiable behavior rather than decorative complexity. This distinction matters operationally. CyberForge treats the statement as a design hypothesis that must be represented in data, implemented in code, and evaluated through reproducible tests. The relevant mechanism includes remove all links, replace links with weak-trust strong-control relationships, and retain the default graph. These elements are not interchangeable: each introduces a different source of evidence, uncertainty, and potential error. The design is grounded in the project source and in established guidance on digital twins, risk management, AI assurance, and cybersecurity controls [R1][R31]. Throughout this paper, the term ‘risk’ refers to a comparative planning index unless an empirical calibration study is explicitly described.</w:t>
      </w:r>
    </w:p>
    <w:p>
      <w:r>
        <w:t>The system implements the idea through a sequence of bounded transformations. First, it must remove all links; second, it must replace links with weak-trust strong-control relationships; and third, it must retain the default graph. Where additional mechanisms are present, the implementation also has to replace links with strong-trust weak-control relationships and compare risk, path pressure, and impact.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Ablation isolates the graph component; directional behavior supports construct validity; and unexpected results reveal implementation or modeling defects.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Across ten deterministic seed runs in the current implementation, overall risk was 0.301 with no links, 0.304 with weak links, 0.324 with the default graph, and 0.358 with strong links. The experiment does not validate real-world probability; it demonstrates that link assumptions affect the index in the intended direction.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effect-size reporting, confidence intervals across scenario families, topology perturbation tests, and human review of counterfactual plausibility.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using one synthetic graph as universal proof, reporting deterministic repetitions as independent evidence, and ignoring interactions between node and edge controls.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label the experiment as software behavior, expand to heterogeneous scenario sets, and predefine expected monotonic relations.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Perform a no-link ablation on a four-node scenario.</w:t>
      </w:r>
    </w:p>
    <w:p>
      <w:pPr>
        <w:pStyle w:val="ListNumber"/>
      </w:pPr>
      <w:r>
        <w:t>Identify an edge whose removal should not materially change risk and explain why.</w:t>
      </w:r>
    </w:p>
    <w:p>
      <w:pPr>
        <w:pStyle w:val="ListNumber"/>
      </w:pPr>
      <w:r>
        <w:t>Propose a validation dataset for trust-path pressure.</w:t>
      </w:r>
    </w:p>
    <w:p>
      <w:pPr>
        <w:pStyle w:val="Heading2"/>
      </w:pPr>
      <w:r>
        <w:t>Chapter Takeaways</w:t>
      </w:r>
    </w:p>
    <w:p>
      <w:r>
        <w:t>Chapter 8 establishes that cyberForge applies a small fixed number of message-passing rounds so pressure can travel through trust relationships without creating an uncontrolled recursive narrative. The implementation consequence is to cap rounds and contributions, while the research consequence is to measure monotonicity under stronger link controls. The chapter also shows why ablation isolates the graph component and why a defensible deployment must explicitly guard against using one synthetic graph as universal proof.</w:t>
      </w:r>
    </w:p>
    <w:p>
      <w:r>
        <w:br w:type="page"/>
      </w:r>
    </w:p>
    <w:p>
      <w:pPr>
        <w:pStyle w:val="Heading1"/>
      </w:pPr>
      <w:r>
        <w:t>Chapter 9. Temporal, Geographic, and Physical-Security Modeling</w:t>
      </w:r>
    </w:p>
    <w:p>
      <w:r>
        <w:t>Explains relative time windows, optional geography, routes, facilities, and human pressure without enabling physical intrusion.</w:t>
      </w:r>
    </w:p>
    <w:p>
      <w:pPr>
        <w:pStyle w:val="Heading2"/>
      </w:pPr>
      <w:r>
        <w:t>9.1 Relative temporal pressure</w:t>
      </w:r>
    </w:p>
    <w:p>
      <w:r>
        <w:t>Temporal output is a planning distribution over recurring windows, not a reconstruction of when a real intrusion occurred. The architecture therefore makes a deliberate trade-off. CyberForge treats the statement as a design hypothesis that must be represented in data, implemented in code, and evaluated through reproducible tests. The relevant mechanism includes hourly pressure can combine staffing, workload, maintenance, alert coverage, and external exposure assumptions, the simulator ranks windows relative to the scenario, and the seed controls reproducibility. These elements are not interchangeable: each introduces a different source of evidence, uncertainty, and potential error. The design is grounded in the project source and in established guidance on digital twins, risk management, AI assurance, and cybersecurity controls [R1][R7][R10]. Throughout this paper, the term ‘risk’ refers to a comparative planning index unless an empirical calibration study is explicitly described.</w:t>
      </w:r>
    </w:p>
    <w:p>
      <w:r>
        <w:t>The system implements the idea through a sequence of bounded transformations. First, it must hourly pressure can combine staffing, workload, maintenance, alert coverage, and external exposure assumptions; second, it must the simulator ranks windows relative to the scenario; and third, it must the seed controls reproducibility. Where additional mechanisms are present, the implementation also has to the report explicitly rejects forensic timestamp interpretation.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Blue teams need staffing and exercise priorities; relative windows can be useful without claiming exact event prediction; and time-of-day assumptions are easy to sensitivity-test.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default synthetic run ranked 22:00, 12:00, 14:00, 23:00, 15:00, and 11:00 as high relative-pressure windows. These values are generated from the model and should be replaced or calibrated with observed staffing and telemetry.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stability across seeds, comparison with observed alert and workload patterns, sensitivity to shift assumptions, and false-alarm cost.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publishing a simulated time as evidence, encoding stereotypes about night shifts, and ignoring timezone and seasonal effects.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use relative language, permit organization-specific calendars, and require a data source for calibrated claims.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9.2 Named locations, coordinates, routes, and facilities</w:t>
      </w:r>
    </w:p>
    <w:p>
      <w:r>
        <w:t>Geography is optional because many defensive questions require location context but not precise coordinates, and unnecessary geospatial detail increases privacy and security risk. From a research perspective, the important point is not the label but the testable behavior. CyberForge treats the statement as a design hypothesis that must be represented in data, implemented in code, and evaluated through reproducible tests. The relevant mechanism includes a surface may use a named zone, abstract site, route, coordinate pair, or no location, facility surfaces emphasize controls and consequences, and route surfaces represent connectivity and operational transitions. These elements are not interchangeable: each introduces a different source of evidence, uncertainty, and potential error. The design is grounded in the project source and in established guidance on digital twins, risk management, AI assurance, and cybersecurity controls [R1][R8][R29]. Throughout this paper, the term ‘risk’ refers to a comparative planning index unless an empirical calibration study is explicitly described.</w:t>
      </w:r>
    </w:p>
    <w:p>
      <w:r>
        <w:t>The system implements the idea through a sequence of bounded transformations. First, it must a surface may use a named zone, abstract site, route, coordinate pair, or no location; second, it must facility surfaces emphasize controls and consequences; and third, it must route surfaces represent connectivity and operational transitions. Where additional mechanisms are present, the implementation also has to hotspots aggregate pressure by location label.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Data minimization reduces exposure; named zones support planning when precise maps are restricted; and physical and cyber dependencies often intersect at shared devices, badges, deliveries, and connectivity.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route between a library and a dormitory could be modeled as intermittent connectivity, device custody, and emergency support without recording a person’s live path. A public entrance can be modeled through badge policy and workload rather than lock or bypass details.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privacy impact assessment, coordinate necessity review, hotspot stability, and physical-security reviewer approval.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turning the tool into tracking, storing floor plans in cloud prompts, and generating physical entry procedures.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default to abstract locations, separate location from identity, and block operational physical bypass content.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Convert a precise GPS scenario into a data-minimized named-zone scenario.</w:t>
      </w:r>
    </w:p>
    <w:p>
      <w:pPr>
        <w:pStyle w:val="ListNumber"/>
      </w:pPr>
      <w:r>
        <w:t>Design a route surface that captures availability without tracking individuals.</w:t>
      </w:r>
    </w:p>
    <w:p>
      <w:pPr>
        <w:pStyle w:val="ListNumber"/>
      </w:pPr>
      <w:r>
        <w:t>Explain the difference between a hotspot and an attribution claim.</w:t>
      </w:r>
    </w:p>
    <w:p>
      <w:pPr>
        <w:pStyle w:val="Heading2"/>
      </w:pPr>
      <w:r>
        <w:t>Chapter Takeaways</w:t>
      </w:r>
    </w:p>
    <w:p>
      <w:r>
        <w:t>Chapter 9 establishes that temporal output is a planning distribution over recurring windows, not a reconstruction of when a real intrusion occurred. The implementation consequence is to use relative language, while the research consequence is to measure stability across seeds. The chapter also shows why data minimization reduces exposure and why a defensible deployment must explicitly guard against turning the tool into tracking.</w:t>
      </w:r>
    </w:p>
    <w:p>
      <w:r>
        <w:br w:type="page"/>
      </w:r>
    </w:p>
    <w:p>
      <w:pPr>
        <w:pStyle w:val="Heading1"/>
      </w:pPr>
      <w:r>
        <w:t>Chapter 10. Local Models: Llama 3 and Gemma 4 E2B</w:t>
      </w:r>
    </w:p>
    <w:p>
      <w:r>
        <w:t>Analyzes the local model roles, runtime constraints, encrypted lifecycle, and bounded task design.</w:t>
      </w:r>
    </w:p>
    <w:p>
      <w:pPr>
        <w:pStyle w:val="Heading2"/>
      </w:pPr>
      <w:r>
        <w:t>10.1 Llama 3 as a bounded micro-scanner</w:t>
      </w:r>
    </w:p>
    <w:p>
      <w:r>
        <w:t>Llama 3 is assigned a narrow local role: inspect a limited number of high-pressure surfaces and return bounded JSON adjustments, controls, assumptions, and evidence requests. For a blue team, this changes the unit of analysis. CyberForge treats the statement as a design hypothesis that must be represented in data, implemented in code, and evaluated through reproducible tests. The relevant mechanism includes llama.cpp loads a quantized GGUF artifact, context and output limits are fixed, and one surface is analyzed at a time. These elements are not interchangeable: each introduces a different source of evidence, uncertainty, and potential error. The design is grounded in the project source and in established guidance on digital twins, risk management, AI assurance, and cybersecurity controls [R1][R3][R26][R27][R29]. Throughout this paper, the term ‘risk’ refers to a comparative planning index unless an empirical calibration study is explicitly described.</w:t>
      </w:r>
    </w:p>
    <w:p>
      <w:r>
        <w:t>The system implements the idea through a sequence of bounded transformations. First, it must llama.cpp loads a quantized GGUF artifact; second, it must context and output limits are fixed; and third, it must one surface is analyzed at a time. Where additional mechanisms are present, the implementation also has to JSON fields are allow-listed and adjustments are capped and recorded.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Narrow tasks improve reliability on small models; local execution protects raw scenario text; and surface isolation limits prompt injection spread.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vendor surface prompt may contain only the synthetic identifier, normalized metrics, and defensive signals. The model cannot see provider keys or unrelated surfaces and cannot issue tool calls.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JSON parse rate, latency and memory, agreement with expert reviewers, adversarial prompt-injection tests, and benefit over numerical baseline.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unsupported model artifact provenance, quantization quality loss, model text escaping the JSON boundary, and local device compromise.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pin model hashes, treat output as advisory, retain numerical fallback, and never expose vault secrets to the model.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10.2 Gemma 4 E2B as a private synthesizer</w:t>
      </w:r>
    </w:p>
    <w:p>
      <w:r>
        <w:t>Gemma 4 E2B is used after numerical analysis to transform structured local results into an auditable defensive narrative while keeping sensitive context on the device. The design becomes useful only when the claim can be traced and challenged. CyberForge treats the statement as a design hypothesis that must be represented in data, implemented in code, and evaluated through reproducible tests. The relevant mechanism includes LiteRT-LM loads the .litertlm artifact, the synthesizer receives redacted local findings and graph paths, and the prompt prohibits new incident facts. These elements are not interchangeable: each introduces a different source of evidence, uncertainty, and potential error. The design is grounded in the project source and in established guidance on digital twins, risk management, AI assurance, and cybersecurity controls [R1][R2][R25][R28]. Throughout this paper, the term ‘risk’ refers to a comparative planning index unless an empirical calibration study is explicitly described.</w:t>
      </w:r>
    </w:p>
    <w:p>
      <w:r>
        <w:t>The system implements the idea through a sequence of bounded transformations. First, it must LiteRT-LM loads the .litertlm artifact; second, it must the synthesizer receives redacted local findings and graph paths; and third, it must the prompt prohibits new incident facts. Where additional mechanisms are present, the implementation also has to the output is parsed and displayed as model opinion and model failure does not block reporting.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Small edge models can provide privacy-preserving explanation; synthesis after simulation reduces free-form invention; and local deployment supports disconnected environments.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Gemma can explain why identity, vendor, and remote-access controls should be reviewed together, but it may not claim that credentials were stolen or that a specific actor used the path.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faithfulness to structured input, hallucinated fact rate, control usefulness, runtime across CPU and GPU backends, and context pressure.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runtime incompatibility across platforms, model file substitution, overly persuasive prose, and temporary plaintext model exposure.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verify before and after decryption, label all prose as model synthesis, and provide structured source values beside narrative.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Draft a minimal JSON contract for a surface micro-scanner.</w:t>
      </w:r>
    </w:p>
    <w:p>
      <w:pPr>
        <w:pStyle w:val="ListNumber"/>
      </w:pPr>
      <w:r>
        <w:t>Create a faithfulness test for a local synthesis model.</w:t>
      </w:r>
    </w:p>
    <w:p>
      <w:pPr>
        <w:pStyle w:val="ListNumber"/>
      </w:pPr>
      <w:r>
        <w:t>Describe a safe fallback when the local model cannot load.</w:t>
      </w:r>
    </w:p>
    <w:p>
      <w:pPr>
        <w:pStyle w:val="Heading2"/>
      </w:pPr>
      <w:r>
        <w:t>Chapter Takeaways</w:t>
      </w:r>
    </w:p>
    <w:p>
      <w:r>
        <w:t>Chapter 10 establishes that llama 3 is assigned a narrow local role: inspect a limited number of high-pressure surfaces and return bounded JSON adjustments, controls, assumptions, and evidence requests. The implementation consequence is to pin model hashes, while the research consequence is to measure JSON parse rate. The chapter also shows why small edge models can provide privacy-preserving explanation and why a defensible deployment must explicitly guard against runtime incompatibility across platforms.</w:t>
      </w:r>
    </w:p>
    <w:p>
      <w:r>
        <w:br w:type="page"/>
      </w:r>
    </w:p>
    <w:p>
      <w:pPr>
        <w:pStyle w:val="Heading1"/>
      </w:pPr>
      <w:r>
        <w:t>Chapter 11. The Multi-Model Council</w:t>
      </w:r>
    </w:p>
    <w:p>
      <w:r>
        <w:t>Examines optional GPT-5.6, Grok 4.5, Kimi, Gemini, local models, and deterministic aggregation.</w:t>
      </w:r>
    </w:p>
    <w:p>
      <w:pPr>
        <w:keepNext/>
        <w:jc w:val="center"/>
      </w:pPr>
      <w:r>
        <w:drawing>
          <wp:inline xmlns:a="http://schemas.openxmlformats.org/drawingml/2006/main" xmlns:pic="http://schemas.openxmlformats.org/drawingml/2006/picture">
            <wp:extent cx="5897880" cy="3469839"/>
            <wp:docPr id="5" name="Picture 5" title="Figure 5 Model council roles" descr="Model council boundary showing local Llama and Gemma roles, optional redacted remote model roles, deterministic aggregation, and failure isolation."/>
            <wp:cNvGraphicFramePr>
              <a:graphicFrameLocks noChangeAspect="1"/>
            </wp:cNvGraphicFramePr>
            <a:graphic>
              <a:graphicData uri="http://schemas.openxmlformats.org/drawingml/2006/picture">
                <pic:pic>
                  <pic:nvPicPr>
                    <pic:cNvPr id="0" name="figure_05_model_council.png"/>
                    <pic:cNvPicPr/>
                  </pic:nvPicPr>
                  <pic:blipFill>
                    <a:blip r:embed="rId15"/>
                    <a:stretch>
                      <a:fillRect/>
                    </a:stretch>
                  </pic:blipFill>
                  <pic:spPr>
                    <a:xfrm>
                      <a:off x="0" y="0"/>
                      <a:ext cx="5897880" cy="3469839"/>
                    </a:xfrm>
                    <a:prstGeom prst="rect"/>
                  </pic:spPr>
                </pic:pic>
              </a:graphicData>
            </a:graphic>
          </wp:inline>
        </w:drawing>
      </w:r>
    </w:p>
    <w:p>
      <w:pPr>
        <w:spacing w:after="160"/>
        <w:jc w:val="center"/>
      </w:pPr>
      <w:r>
        <w:rPr>
          <w:i/>
          <w:color w:val="666666"/>
          <w:sz w:val="17"/>
        </w:rPr>
        <w:t>Figure 5. Model council roles and aggregation boundary.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17365D"/>
          </w:tcPr>
          <w:p>
            <w:pPr>
              <w:spacing w:after="0"/>
            </w:pPr>
            <w:r/>
            <w:r>
              <w:rPr>
                <w:rFonts w:ascii="Lato" w:hAnsi="Lato"/>
                <w:b/>
                <w:color w:val="FFFFFF"/>
                <w:sz w:val="15"/>
              </w:rPr>
              <w:t>Model / component</w:t>
            </w:r>
          </w:p>
        </w:tc>
        <w:tc>
          <w:tcPr>
            <w:tcW w:type="dxa" w:w="3384"/>
            <w:vAlign w:val="center"/>
            <w:shd w:fill="17365D"/>
          </w:tcPr>
          <w:p>
            <w:pPr>
              <w:spacing w:after="0"/>
            </w:pPr>
            <w:r/>
            <w:r>
              <w:rPr>
                <w:rFonts w:ascii="Lato" w:hAnsi="Lato"/>
                <w:b/>
                <w:color w:val="FFFFFF"/>
                <w:sz w:val="15"/>
              </w:rPr>
              <w:t>Default role</w:t>
            </w:r>
          </w:p>
        </w:tc>
        <w:tc>
          <w:tcPr>
            <w:tcW w:type="dxa" w:w="3528"/>
            <w:vAlign w:val="center"/>
            <w:shd w:fill="17365D"/>
          </w:tcPr>
          <w:p>
            <w:pPr>
              <w:spacing w:after="0"/>
            </w:pPr>
            <w:r/>
            <w:r>
              <w:rPr>
                <w:rFonts w:ascii="Lato" w:hAnsi="Lato"/>
                <w:b/>
                <w:color w:val="FFFFFF"/>
                <w:sz w:val="15"/>
              </w:rPr>
              <w:t>Boundary</w:t>
            </w:r>
          </w:p>
        </w:tc>
      </w:tr>
      <w:tr>
        <w:tc>
          <w:tcPr>
            <w:tcW w:type="dxa" w:w="2232"/>
            <w:vAlign w:val="center"/>
          </w:tcPr>
          <w:p>
            <w:pPr>
              <w:spacing w:after="0"/>
            </w:pPr>
            <w:r/>
            <w:r>
              <w:rPr>
                <w:rFonts w:ascii="Lato" w:hAnsi="Lato"/>
                <w:b w:val="0"/>
                <w:sz w:val="15"/>
              </w:rPr>
              <w:t>Llama 3 Small Q3</w:t>
            </w:r>
          </w:p>
        </w:tc>
        <w:tc>
          <w:tcPr>
            <w:tcW w:type="dxa" w:w="3384"/>
            <w:vAlign w:val="center"/>
          </w:tcPr>
          <w:p>
            <w:pPr>
              <w:spacing w:after="0"/>
            </w:pPr>
            <w:r/>
            <w:r>
              <w:rPr>
                <w:rFonts w:ascii="Lato" w:hAnsi="Lato"/>
                <w:b w:val="0"/>
                <w:sz w:val="15"/>
              </w:rPr>
              <w:t>Individual surface micro-scan</w:t>
            </w:r>
          </w:p>
        </w:tc>
        <w:tc>
          <w:tcPr>
            <w:tcW w:type="dxa" w:w="3528"/>
            <w:vAlign w:val="center"/>
          </w:tcPr>
          <w:p>
            <w:pPr>
              <w:spacing w:after="0"/>
            </w:pPr>
            <w:r/>
            <w:r>
              <w:rPr>
                <w:rFonts w:ascii="Lato" w:hAnsi="Lato"/>
                <w:b w:val="0"/>
                <w:sz w:val="15"/>
              </w:rPr>
              <w:t>Local only; bounded JSON.</w:t>
            </w:r>
          </w:p>
        </w:tc>
      </w:tr>
      <w:tr>
        <w:tc>
          <w:tcPr>
            <w:tcW w:type="dxa" w:w="2232"/>
            <w:vAlign w:val="center"/>
            <w:shd w:fill="F3F6F8"/>
          </w:tcPr>
          <w:p>
            <w:pPr>
              <w:spacing w:after="0"/>
            </w:pPr>
            <w:r/>
            <w:r>
              <w:rPr>
                <w:rFonts w:ascii="Lato" w:hAnsi="Lato"/>
                <w:b w:val="0"/>
                <w:sz w:val="15"/>
              </w:rPr>
              <w:t>Gemma 4 E2B 4-bit</w:t>
            </w:r>
          </w:p>
        </w:tc>
        <w:tc>
          <w:tcPr>
            <w:tcW w:type="dxa" w:w="3384"/>
            <w:vAlign w:val="center"/>
            <w:shd w:fill="F3F6F8"/>
          </w:tcPr>
          <w:p>
            <w:pPr>
              <w:spacing w:after="0"/>
            </w:pPr>
            <w:r/>
            <w:r>
              <w:rPr>
                <w:rFonts w:ascii="Lato" w:hAnsi="Lato"/>
                <w:b w:val="0"/>
                <w:sz w:val="15"/>
              </w:rPr>
              <w:t>Private synthesis and report repair</w:t>
            </w:r>
          </w:p>
        </w:tc>
        <w:tc>
          <w:tcPr>
            <w:tcW w:type="dxa" w:w="3528"/>
            <w:vAlign w:val="center"/>
            <w:shd w:fill="F3F6F8"/>
          </w:tcPr>
          <w:p>
            <w:pPr>
              <w:spacing w:after="0"/>
            </w:pPr>
            <w:r/>
            <w:r>
              <w:rPr>
                <w:rFonts w:ascii="Lato" w:hAnsi="Lato"/>
                <w:b w:val="0"/>
                <w:sz w:val="15"/>
              </w:rPr>
              <w:t>Local only; structured numerical report.</w:t>
            </w:r>
          </w:p>
        </w:tc>
      </w:tr>
      <w:tr>
        <w:tc>
          <w:tcPr>
            <w:tcW w:type="dxa" w:w="2232"/>
            <w:vAlign w:val="center"/>
          </w:tcPr>
          <w:p>
            <w:pPr>
              <w:spacing w:after="0"/>
            </w:pPr>
            <w:r/>
            <w:r>
              <w:rPr>
                <w:rFonts w:ascii="Lato" w:hAnsi="Lato"/>
                <w:b w:val="0"/>
                <w:sz w:val="15"/>
              </w:rPr>
              <w:t>GPT-5.6</w:t>
            </w:r>
          </w:p>
        </w:tc>
        <w:tc>
          <w:tcPr>
            <w:tcW w:type="dxa" w:w="3384"/>
            <w:vAlign w:val="center"/>
          </w:tcPr>
          <w:p>
            <w:pPr>
              <w:spacing w:after="0"/>
            </w:pPr>
            <w:r/>
            <w:r>
              <w:rPr>
                <w:rFonts w:ascii="Lato" w:hAnsi="Lato"/>
                <w:b w:val="0"/>
                <w:sz w:val="15"/>
              </w:rPr>
              <w:t>Independent defensive critique</w:t>
            </w:r>
          </w:p>
        </w:tc>
        <w:tc>
          <w:tcPr>
            <w:tcW w:type="dxa" w:w="3528"/>
            <w:vAlign w:val="center"/>
          </w:tcPr>
          <w:p>
            <w:pPr>
              <w:spacing w:after="0"/>
            </w:pPr>
            <w:r/>
            <w:r>
              <w:rPr>
                <w:rFonts w:ascii="Lato" w:hAnsi="Lato"/>
                <w:b w:val="0"/>
                <w:sz w:val="15"/>
              </w:rPr>
              <w:t>Redacted packet; opt-in.</w:t>
            </w:r>
          </w:p>
        </w:tc>
      </w:tr>
      <w:tr>
        <w:tc>
          <w:tcPr>
            <w:tcW w:type="dxa" w:w="2232"/>
            <w:vAlign w:val="center"/>
            <w:shd w:fill="F3F6F8"/>
          </w:tcPr>
          <w:p>
            <w:pPr>
              <w:spacing w:after="0"/>
            </w:pPr>
            <w:r/>
            <w:r>
              <w:rPr>
                <w:rFonts w:ascii="Lato" w:hAnsi="Lato"/>
                <w:b w:val="0"/>
                <w:sz w:val="15"/>
              </w:rPr>
              <w:t>Grok 4.5</w:t>
            </w:r>
          </w:p>
        </w:tc>
        <w:tc>
          <w:tcPr>
            <w:tcW w:type="dxa" w:w="3384"/>
            <w:vAlign w:val="center"/>
            <w:shd w:fill="F3F6F8"/>
          </w:tcPr>
          <w:p>
            <w:pPr>
              <w:spacing w:after="0"/>
            </w:pPr>
            <w:r/>
            <w:r>
              <w:rPr>
                <w:rFonts w:ascii="Lato" w:hAnsi="Lato"/>
                <w:b w:val="0"/>
                <w:sz w:val="15"/>
              </w:rPr>
              <w:t>Independent frontier-model critique</w:t>
            </w:r>
          </w:p>
        </w:tc>
        <w:tc>
          <w:tcPr>
            <w:tcW w:type="dxa" w:w="3528"/>
            <w:vAlign w:val="center"/>
            <w:shd w:fill="F3F6F8"/>
          </w:tcPr>
          <w:p>
            <w:pPr>
              <w:spacing w:after="0"/>
            </w:pPr>
            <w:r/>
            <w:r>
              <w:rPr>
                <w:rFonts w:ascii="Lato" w:hAnsi="Lato"/>
                <w:b w:val="0"/>
                <w:sz w:val="15"/>
              </w:rPr>
              <w:t>Redacted packet; opt-in.</w:t>
            </w:r>
          </w:p>
        </w:tc>
      </w:tr>
      <w:tr>
        <w:tc>
          <w:tcPr>
            <w:tcW w:type="dxa" w:w="2232"/>
            <w:vAlign w:val="center"/>
          </w:tcPr>
          <w:p>
            <w:pPr>
              <w:spacing w:after="0"/>
            </w:pPr>
            <w:r/>
            <w:r>
              <w:rPr>
                <w:rFonts w:ascii="Lato" w:hAnsi="Lato"/>
                <w:b w:val="0"/>
                <w:sz w:val="15"/>
              </w:rPr>
              <w:t>Kimi via DigitalOcean</w:t>
            </w:r>
          </w:p>
        </w:tc>
        <w:tc>
          <w:tcPr>
            <w:tcW w:type="dxa" w:w="3384"/>
            <w:vAlign w:val="center"/>
          </w:tcPr>
          <w:p>
            <w:pPr>
              <w:spacing w:after="0"/>
            </w:pPr>
            <w:r/>
            <w:r>
              <w:rPr>
                <w:rFonts w:ascii="Lato" w:hAnsi="Lato"/>
                <w:b w:val="0"/>
                <w:sz w:val="15"/>
              </w:rPr>
              <w:t>Hosted systems critique</w:t>
            </w:r>
          </w:p>
        </w:tc>
        <w:tc>
          <w:tcPr>
            <w:tcW w:type="dxa" w:w="3528"/>
            <w:vAlign w:val="center"/>
          </w:tcPr>
          <w:p>
            <w:pPr>
              <w:spacing w:after="0"/>
            </w:pPr>
            <w:r/>
            <w:r>
              <w:rPr>
                <w:rFonts w:ascii="Lato" w:hAnsi="Lato"/>
                <w:b w:val="0"/>
                <w:sz w:val="15"/>
              </w:rPr>
              <w:t>Redacted packet; opt-in.</w:t>
            </w:r>
          </w:p>
        </w:tc>
      </w:tr>
      <w:tr>
        <w:tc>
          <w:tcPr>
            <w:tcW w:type="dxa" w:w="2232"/>
            <w:vAlign w:val="center"/>
            <w:shd w:fill="F3F6F8"/>
          </w:tcPr>
          <w:p>
            <w:pPr>
              <w:spacing w:after="0"/>
            </w:pPr>
            <w:r/>
            <w:r>
              <w:rPr>
                <w:rFonts w:ascii="Lato" w:hAnsi="Lato"/>
                <w:b w:val="0"/>
                <w:sz w:val="15"/>
              </w:rPr>
              <w:t>Gemini 3.6 Flash</w:t>
            </w:r>
          </w:p>
        </w:tc>
        <w:tc>
          <w:tcPr>
            <w:tcW w:type="dxa" w:w="3384"/>
            <w:vAlign w:val="center"/>
            <w:shd w:fill="F3F6F8"/>
          </w:tcPr>
          <w:p>
            <w:pPr>
              <w:spacing w:after="0"/>
            </w:pPr>
            <w:r/>
            <w:r>
              <w:rPr>
                <w:rFonts w:ascii="Lato" w:hAnsi="Lato"/>
                <w:b w:val="0"/>
                <w:sz w:val="15"/>
              </w:rPr>
              <w:t>Fast structured critique</w:t>
            </w:r>
          </w:p>
        </w:tc>
        <w:tc>
          <w:tcPr>
            <w:tcW w:type="dxa" w:w="3528"/>
            <w:vAlign w:val="center"/>
            <w:shd w:fill="F3F6F8"/>
          </w:tcPr>
          <w:p>
            <w:pPr>
              <w:spacing w:after="0"/>
            </w:pPr>
            <w:r/>
            <w:r>
              <w:rPr>
                <w:rFonts w:ascii="Lato" w:hAnsi="Lato"/>
                <w:b w:val="0"/>
                <w:sz w:val="15"/>
              </w:rPr>
              <w:t>Redacted packet; opt-in.</w:t>
            </w:r>
          </w:p>
        </w:tc>
      </w:tr>
      <w:tr>
        <w:tc>
          <w:tcPr>
            <w:tcW w:type="dxa" w:w="2232"/>
            <w:vAlign w:val="center"/>
          </w:tcPr>
          <w:p>
            <w:pPr>
              <w:spacing w:after="0"/>
            </w:pPr>
            <w:r/>
            <w:r>
              <w:rPr>
                <w:rFonts w:ascii="Lato" w:hAnsi="Lato"/>
                <w:b w:val="0"/>
                <w:sz w:val="15"/>
              </w:rPr>
              <w:t>Offline calibrator</w:t>
            </w:r>
          </w:p>
        </w:tc>
        <w:tc>
          <w:tcPr>
            <w:tcW w:type="dxa" w:w="3384"/>
            <w:vAlign w:val="center"/>
          </w:tcPr>
          <w:p>
            <w:pPr>
              <w:spacing w:after="0"/>
            </w:pPr>
            <w:r/>
            <w:r>
              <w:rPr>
                <w:rFonts w:ascii="Lato" w:hAnsi="Lato"/>
                <w:b w:val="0"/>
                <w:sz w:val="15"/>
              </w:rPr>
              <w:t>Deterministic fallback</w:t>
            </w:r>
          </w:p>
        </w:tc>
        <w:tc>
          <w:tcPr>
            <w:tcW w:type="dxa" w:w="3528"/>
            <w:vAlign w:val="center"/>
          </w:tcPr>
          <w:p>
            <w:pPr>
              <w:spacing w:after="0"/>
            </w:pPr>
            <w:r/>
            <w:r>
              <w:rPr>
                <w:rFonts w:ascii="Lato" w:hAnsi="Lato"/>
                <w:b w:val="0"/>
                <w:sz w:val="15"/>
              </w:rPr>
              <w:t>Local; always available.</w:t>
            </w:r>
          </w:p>
        </w:tc>
      </w:tr>
    </w:tbl>
    <w:p>
      <w:pPr>
        <w:spacing w:after="0"/>
      </w:pPr>
    </w:p>
    <w:p>
      <w:pPr>
        <w:pStyle w:val="Heading2"/>
      </w:pPr>
      <w:r>
        <w:t>11.1 Role diversity and redacted remote critique</w:t>
      </w:r>
    </w:p>
    <w:p>
      <w:r>
        <w:t>The council uses heterogeneous models as independent critics of a common redacted packet rather than as agents that operate on the environment. This is also where many security dashboards become misleading. CyberForge treats the statement as a design hypothesis that must be represented in data, implemented in code, and evaluated through reproducible tests. The relevant mechanism includes GPT-5.6 provides deep structured critique, Grok 4.5 supplies an independent frontier-model perspective, and a Kimi model through DigitalOcean supplies another hosted long-context perspective. These elements are not interchangeable: each introduces a different source of evidence, uncertainty, and potential error. The design is grounded in the project source and in established guidance on digital twins, risk management, AI assurance, and cybersecurity controls [R1][R21][R22][R23][R24][R33]. Throughout this paper, the term ‘risk’ refers to a comparative planning index unless an empirical calibration study is explicitly described.</w:t>
      </w:r>
    </w:p>
    <w:p>
      <w:r>
        <w:t>The system implements the idea through a sequence of bounded transformations. First, it must GPT-5.6 provides deep structured critique; second, it must Grok 4.5 supplies an independent frontier-model perspective; and third, it must a Kimi model through DigitalOcean supplies another hosted long-context perspective. Where additional mechanisms are present, the implementation also has to Gemini 3.6 Flash provides fast structured critique, local models preserve private analysis, and the offline calibrator guarantees a baseline.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Diversity can reveal blind spots; identical packets enable comparison; and remote participation is opt-in and can be omitted entirely.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Each provider receives abstract surface labels, normalized values, simulation summaries, and control questions. Provider keys remain in the encrypted vault and are inserted only into transport headers.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agreement and disagreement rates, unique useful controls, provider failure behavior, redaction effectiveness, and cost and latency.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false consensus, shared training-data correlations, model version drift, remote logging or retention, and provider-specific prompt injection.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display individual opinions, weight uncertainty, pin model aliases or record resolved versions, and allow a local-only mode.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11.2 Consensus without authority laundering</w:t>
      </w:r>
    </w:p>
    <w:p>
      <w:r>
        <w:t>Council aggregation must summarize votes and disagreement without converting model plurality into evidence or automated authority. A defensible implementation must preserve this separation throughout the pipeline. CyberForge treats the statement as a design hypothesis that must be represented in data, implemented in code, and evaluated through reproducible tests. The relevant mechanism includes priority vectors are tallied, controls are deduplicated, and uncertainty weights reduce influence. These elements are not interchangeable: each introduces a different source of evidence, uncertainty, and potential error. The design is grounded in the project source and in established guidance on digital twins, risk management, AI assurance, and cybersecurity controls [R6][R32][R33]. Throughout this paper, the term ‘risk’ refers to a comparative planning index unless an empirical calibration study is explicitly described.</w:t>
      </w:r>
    </w:p>
    <w:p>
      <w:r>
        <w:t>The system implements the idea through a sequence of bounded transformations. First, it must priority vectors are tallied; second, it must controls are deduplicated; and third, it must uncertainty weights reduce influence. Where additional mechanisms are present, the implementation also has to provider errors receive maximum uncertainty, disagreement remains visible, and unknown output fields are discarded.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Ensembles improve robustness only under suitable diversity and calibration; a unanimous hallucination remains a hallucination; and dissent can identify ambiguous assumptions.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If four models prioritize credential controls but one emphasizes vendor assurance, the report should retain both the consensus and the minority rationale. A human can then request the evidence needed to distinguish them.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calibration against expert panels, marginal value of each provider, stability across model versions, and sensitivity to aggregation weights.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majority voting on factual claims, hiding provider failures, and using confidence words instead of calibrated uncertainty.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aggregate recommendations, not facts, preserve provenance, and require evidence before action.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Design an aggregation rule that preserves minority opinions.</w:t>
      </w:r>
    </w:p>
    <w:p>
      <w:pPr>
        <w:pStyle w:val="ListNumber"/>
      </w:pPr>
      <w:r>
        <w:t>Specify three fields that remote models must never receive.</w:t>
      </w:r>
    </w:p>
    <w:p>
      <w:pPr>
        <w:pStyle w:val="ListNumber"/>
      </w:pPr>
      <w:r>
        <w:t>Define an experiment to measure the marginal value of one council member.</w:t>
      </w:r>
    </w:p>
    <w:p>
      <w:pPr>
        <w:pStyle w:val="Heading2"/>
      </w:pPr>
      <w:r>
        <w:t>Chapter Takeaways</w:t>
      </w:r>
    </w:p>
    <w:p>
      <w:r>
        <w:t>Chapter 11 establishes that the council uses heterogeneous models as independent critics of a common redacted packet rather than as agents that operate on the environment. The implementation consequence is to display individual opinions, while the research consequence is to measure agreement and disagreement rates. The chapter also shows why ensembles improve robustness only under suitable diversity and calibration and why a defensible deployment must explicitly guard against majority voting on factual claims.</w:t>
      </w:r>
    </w:p>
    <w:p>
      <w:r>
        <w:br w:type="page"/>
      </w:r>
    </w:p>
    <w:p>
      <w:pPr>
        <w:pStyle w:val="Heading1"/>
      </w:pPr>
      <w:r>
        <w:t>Chapter 12. Defensive Prompt Architecture and Output Validation</w:t>
      </w:r>
    </w:p>
    <w:p>
      <w:r>
        <w:t>Describes role-separated prompts, injection resistance, strict schemas, and no-offense output policies.</w:t>
      </w:r>
    </w:p>
    <w:p>
      <w:pPr>
        <w:pStyle w:val="Heading2"/>
      </w:pPr>
      <w:r>
        <w:t>12.1 Role-separated prompts</w:t>
      </w:r>
    </w:p>
    <w:p>
      <w:r>
        <w:t>CyberForge maintains separate system prompts for the micro-scanner, private synthesizer, cloud critics, BOOTCOM, and SIMCOM so one context cannot silently broaden another role. The practical consequence is significant. CyberForge treats the statement as a design hypothesis that must be represented in data, implemented in code, and evaluated through reproducible tests. The relevant mechanism includes fixed system instructions are outside scenario data, each role has a narrow output schema, and untrusted scenario text is delimited and treated as data. These elements are not interchangeable: each introduces a different source of evidence, uncertainty, and potential error. The design is grounded in the project source and in established guidance on digital twins, risk management, AI assurance, and cybersecurity controls [R1][R29][R30]. Throughout this paper, the term ‘risk’ refers to a comparative planning index unless an empirical calibration study is explicitly described.</w:t>
      </w:r>
    </w:p>
    <w:p>
      <w:r>
        <w:t>The system implements the idea through a sequence of bounded transformations. First, it must fixed system instructions are outside scenario data; second, it must each role has a narrow output schema; and third, it must untrusted scenario text is delimited and treated as data. Where additional mechanisms are present, the implementation also has to remote prompts include only redacted summaries and SIMCOM commands map to safe functions.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Prompt separation reduces privilege; small prompts are easier to test; and role-specific refusal language prevents ambiguous escalation.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string inside a surface signal that says “ignore all instructions” remains an untrusted signal. It is not concatenated into a tool-enabled agent prompt and its output cannot introduce new schema fields.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prompt regression suites, injection corpus tests, schema rejection rate, and role-boundary review.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indirect injection through imported documents, system prompt leakage, instruction collisions, and unsafe output rendered or executed downstream.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treat model output as untrusted, never execute generated code, use allow-list parsing, and maintain a deterministic guardrail before and after inference.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12.2 Guardrails and semantic output constraints</w:t>
      </w:r>
    </w:p>
    <w:p>
      <w:r>
        <w:t>Guardrails must operate at intent, data, and output layers because a single keyword filter cannot enforce defensive purpose. This distinction matters operationally. CyberForge treats the statement as a design hypothesis that must be represented in data, implemented in code, and evaluated through reproducible tests. The relevant mechanism includes authorization gate checks ownership and scope, intent inspection blocks malware, credential theft, phishing content, bypass, and physical intrusion procedures, and secret redaction scans nested structures. These elements are not interchangeable: each introduces a different source of evidence, uncertainty, and potential error. The design is grounded in the project source and in established guidance on digital twins, risk management, AI assurance, and cybersecurity controls [R1][R29][R30]. Throughout this paper, the term ‘risk’ refers to a comparative planning index unless an empirical calibration study is explicitly described.</w:t>
      </w:r>
    </w:p>
    <w:p>
      <w:r>
        <w:t>The system implements the idea through a sequence of bounded transformations. First, it must authorization gate checks ownership and scope; second, it must intent inspection blocks malware, credential theft, phishing content, bypass, and physical intrusion procedures; and third, it must secret redaction scans nested structures. Where additional mechanisms are present, the implementation also has to output validation accepts only known dimensions and fields and attribution commands return an evidence boundary.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Defense-first safety is architectural, not merely textual; multiple layers reduce single-point failure; and blocked content can be redirected toward controls and evidence.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request to model phishing susceptibility is permitted when it asks for training and control gaps; a request to write a convincing credential-harvesting message is refused. The distinction is based on action and harm, not the presence of the word phishing.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false-positive and false-negative tests, policy consistency, red-team review using synthetic inputs, and audit logs without sensitive text.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obfuscation bypass, overblocking legitimate research, output fields that carry hidden instructions, and operator attempts to relabel offensive work as simulation.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combine semantic and pattern checks, require bounded defensive deliverables, and escalate ambiguous high-risk requests to human review.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Write two allowed and two prohibited requests that use the same technical vocabulary.</w:t>
      </w:r>
    </w:p>
    <w:p>
      <w:pPr>
        <w:pStyle w:val="ListNumber"/>
      </w:pPr>
      <w:r>
        <w:t>Create an allow-list for a model opinion object.</w:t>
      </w:r>
    </w:p>
    <w:p>
      <w:pPr>
        <w:pStyle w:val="ListNumber"/>
      </w:pPr>
      <w:r>
        <w:t>Design a prompt-injection regression test using synthetic data.</w:t>
      </w:r>
    </w:p>
    <w:p>
      <w:pPr>
        <w:pStyle w:val="Heading2"/>
      </w:pPr>
      <w:r>
        <w:t>Chapter Takeaways</w:t>
      </w:r>
    </w:p>
    <w:p>
      <w:r>
        <w:t>Chapter 12 establishes that cyberForge maintains separate system prompts for the micro-scanner, private synthesizer, cloud critics, BOOTCOM, and SIMCOM so one context cannot silently broaden another role. The implementation consequence is to treat model output as untrusted, while the research consequence is to measure prompt regression suites. The chapter also shows why defense-first safety is architectural, not merely textual and why a defensible deployment must explicitly guard against obfuscation bypass.</w:t>
      </w:r>
    </w:p>
    <w:p>
      <w:r>
        <w:br w:type="page"/>
      </w:r>
    </w:p>
    <w:p>
      <w:pPr>
        <w:pStyle w:val="Heading1"/>
      </w:pPr>
      <w:r>
        <w:t>Chapter 13. AES-GCM Vault and Secure Key Handling</w:t>
      </w:r>
    </w:p>
    <w:p>
      <w:r>
        <w:t>Explains the vault, password derivation, per-record authenticated encryption, session boundaries, and key rotation.</w:t>
      </w:r>
    </w:p>
    <w:p>
      <w:pPr>
        <w:keepNext/>
        <w:jc w:val="center"/>
      </w:pPr>
      <w:r>
        <w:drawing>
          <wp:inline xmlns:a="http://schemas.openxmlformats.org/drawingml/2006/main" xmlns:pic="http://schemas.openxmlformats.org/drawingml/2006/picture">
            <wp:extent cx="5897880" cy="3777225"/>
            <wp:docPr id="6" name="Picture 6" title="Figure 4 Vault and model key hierarchy" descr="Cryptographic hierarchy showing password derivation, wrapped vault root, index key, rotatable data keys, encrypted provider secrets, and encrypted local model artifacts."/>
            <wp:cNvGraphicFramePr>
              <a:graphicFrameLocks noChangeAspect="1"/>
            </wp:cNvGraphicFramePr>
            <a:graphic>
              <a:graphicData uri="http://schemas.openxmlformats.org/drawingml/2006/picture">
                <pic:pic>
                  <pic:nvPicPr>
                    <pic:cNvPr id="0" name="figure_04_crypto_hierarchy.png"/>
                    <pic:cNvPicPr/>
                  </pic:nvPicPr>
                  <pic:blipFill>
                    <a:blip r:embed="rId16"/>
                    <a:stretch>
                      <a:fillRect/>
                    </a:stretch>
                  </pic:blipFill>
                  <pic:spPr>
                    <a:xfrm>
                      <a:off x="0" y="0"/>
                      <a:ext cx="5897880" cy="3777225"/>
                    </a:xfrm>
                    <a:prstGeom prst="rect"/>
                  </pic:spPr>
                </pic:pic>
              </a:graphicData>
            </a:graphic>
          </wp:inline>
        </w:drawing>
      </w:r>
    </w:p>
    <w:p>
      <w:pPr>
        <w:spacing w:after="160"/>
        <w:jc w:val="center"/>
      </w:pPr>
      <w:r>
        <w:rPr>
          <w:i/>
          <w:color w:val="666666"/>
          <w:sz w:val="17"/>
        </w:rPr>
        <w:t>Figure 4. Vault and model key hierarchy.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7365D"/>
          </w:tcPr>
          <w:p>
            <w:pPr>
              <w:spacing w:after="0"/>
            </w:pPr>
            <w:r/>
            <w:r>
              <w:rPr>
                <w:rFonts w:ascii="Lato" w:hAnsi="Lato"/>
                <w:b/>
                <w:color w:val="FFFFFF"/>
                <w:sz w:val="15"/>
              </w:rPr>
              <w:t>Primitive / mechanism</w:t>
            </w:r>
          </w:p>
        </w:tc>
        <w:tc>
          <w:tcPr>
            <w:tcW w:type="dxa" w:w="3168"/>
            <w:vAlign w:val="center"/>
            <w:shd w:fill="17365D"/>
          </w:tcPr>
          <w:p>
            <w:pPr>
              <w:spacing w:after="0"/>
            </w:pPr>
            <w:r/>
            <w:r>
              <w:rPr>
                <w:rFonts w:ascii="Lato" w:hAnsi="Lato"/>
                <w:b/>
                <w:color w:val="FFFFFF"/>
                <w:sz w:val="15"/>
              </w:rPr>
              <w:t>Use</w:t>
            </w:r>
          </w:p>
        </w:tc>
        <w:tc>
          <w:tcPr>
            <w:tcW w:type="dxa" w:w="3816"/>
            <w:vAlign w:val="center"/>
            <w:shd w:fill="17365D"/>
          </w:tcPr>
          <w:p>
            <w:pPr>
              <w:spacing w:after="0"/>
            </w:pPr>
            <w:r/>
            <w:r>
              <w:rPr>
                <w:rFonts w:ascii="Lato" w:hAnsi="Lato"/>
                <w:b/>
                <w:color w:val="FFFFFF"/>
                <w:sz w:val="15"/>
              </w:rPr>
              <w:t>Boundary / caveat</w:t>
            </w:r>
          </w:p>
        </w:tc>
      </w:tr>
      <w:tr>
        <w:tc>
          <w:tcPr>
            <w:tcW w:type="dxa" w:w="2160"/>
            <w:vAlign w:val="center"/>
          </w:tcPr>
          <w:p>
            <w:pPr>
              <w:spacing w:after="0"/>
            </w:pPr>
            <w:r/>
            <w:r>
              <w:rPr>
                <w:rFonts w:ascii="Lato" w:hAnsi="Lato"/>
                <w:b w:val="0"/>
                <w:sz w:val="15"/>
              </w:rPr>
              <w:t>Argon2id</w:t>
            </w:r>
          </w:p>
        </w:tc>
        <w:tc>
          <w:tcPr>
            <w:tcW w:type="dxa" w:w="3168"/>
            <w:vAlign w:val="center"/>
          </w:tcPr>
          <w:p>
            <w:pPr>
              <w:spacing w:after="0"/>
            </w:pPr>
            <w:r/>
            <w:r>
              <w:rPr>
                <w:rFonts w:ascii="Lato" w:hAnsi="Lato"/>
                <w:b w:val="0"/>
                <w:sz w:val="15"/>
              </w:rPr>
              <w:t>Password-derived wrapping key</w:t>
            </w:r>
          </w:p>
        </w:tc>
        <w:tc>
          <w:tcPr>
            <w:tcW w:type="dxa" w:w="3816"/>
            <w:vAlign w:val="center"/>
          </w:tcPr>
          <w:p>
            <w:pPr>
              <w:spacing w:after="0"/>
            </w:pPr>
            <w:r/>
            <w:r>
              <w:rPr>
                <w:rFonts w:ascii="Lato" w:hAnsi="Lato"/>
                <w:b w:val="0"/>
                <w:sz w:val="15"/>
              </w:rPr>
              <w:t>Strength depends on password and policy parameters.</w:t>
            </w:r>
          </w:p>
        </w:tc>
      </w:tr>
      <w:tr>
        <w:tc>
          <w:tcPr>
            <w:tcW w:type="dxa" w:w="2160"/>
            <w:vAlign w:val="center"/>
            <w:shd w:fill="F3F6F8"/>
          </w:tcPr>
          <w:p>
            <w:pPr>
              <w:spacing w:after="0"/>
            </w:pPr>
            <w:r/>
            <w:r>
              <w:rPr>
                <w:rFonts w:ascii="Lato" w:hAnsi="Lato"/>
                <w:b w:val="0"/>
                <w:sz w:val="15"/>
              </w:rPr>
              <w:t>AES-256-GCM</w:t>
            </w:r>
          </w:p>
        </w:tc>
        <w:tc>
          <w:tcPr>
            <w:tcW w:type="dxa" w:w="3168"/>
            <w:vAlign w:val="center"/>
            <w:shd w:fill="F3F6F8"/>
          </w:tcPr>
          <w:p>
            <w:pPr>
              <w:spacing w:after="0"/>
            </w:pPr>
            <w:r/>
            <w:r>
              <w:rPr>
                <w:rFonts w:ascii="Lato" w:hAnsi="Lato"/>
                <w:b w:val="0"/>
                <w:sz w:val="15"/>
              </w:rPr>
              <w:t>Vault records and model files</w:t>
            </w:r>
          </w:p>
        </w:tc>
        <w:tc>
          <w:tcPr>
            <w:tcW w:type="dxa" w:w="3816"/>
            <w:vAlign w:val="center"/>
            <w:shd w:fill="F3F6F8"/>
          </w:tcPr>
          <w:p>
            <w:pPr>
              <w:spacing w:after="0"/>
            </w:pPr>
            <w:r/>
            <w:r>
              <w:rPr>
                <w:rFonts w:ascii="Lato" w:hAnsi="Lato"/>
                <w:b w:val="0"/>
                <w:sz w:val="15"/>
              </w:rPr>
              <w:t>Requires unique nonces; does not hide database metadata.</w:t>
            </w:r>
          </w:p>
        </w:tc>
      </w:tr>
      <w:tr>
        <w:tc>
          <w:tcPr>
            <w:tcW w:type="dxa" w:w="2160"/>
            <w:vAlign w:val="center"/>
          </w:tcPr>
          <w:p>
            <w:pPr>
              <w:spacing w:after="0"/>
            </w:pPr>
            <w:r/>
            <w:r>
              <w:rPr>
                <w:rFonts w:ascii="Lato" w:hAnsi="Lato"/>
                <w:b w:val="0"/>
                <w:sz w:val="15"/>
              </w:rPr>
              <w:t>HMAC / HKDF</w:t>
            </w:r>
          </w:p>
        </w:tc>
        <w:tc>
          <w:tcPr>
            <w:tcW w:type="dxa" w:w="3168"/>
            <w:vAlign w:val="center"/>
          </w:tcPr>
          <w:p>
            <w:pPr>
              <w:spacing w:after="0"/>
            </w:pPr>
            <w:r/>
            <w:r>
              <w:rPr>
                <w:rFonts w:ascii="Lato" w:hAnsi="Lato"/>
                <w:b w:val="0"/>
                <w:sz w:val="15"/>
              </w:rPr>
              <w:t>Hashed identifiers and key derivation</w:t>
            </w:r>
          </w:p>
        </w:tc>
        <w:tc>
          <w:tcPr>
            <w:tcW w:type="dxa" w:w="3816"/>
            <w:vAlign w:val="center"/>
          </w:tcPr>
          <w:p>
            <w:pPr>
              <w:spacing w:after="0"/>
            </w:pPr>
            <w:r/>
            <w:r>
              <w:rPr>
                <w:rFonts w:ascii="Lato" w:hAnsi="Lato"/>
                <w:b w:val="0"/>
                <w:sz w:val="15"/>
              </w:rPr>
              <w:t>Domain separation and input validation are required.</w:t>
            </w:r>
          </w:p>
        </w:tc>
      </w:tr>
      <w:tr>
        <w:tc>
          <w:tcPr>
            <w:tcW w:type="dxa" w:w="2160"/>
            <w:vAlign w:val="center"/>
            <w:shd w:fill="F3F6F8"/>
          </w:tcPr>
          <w:p>
            <w:pPr>
              <w:spacing w:after="0"/>
            </w:pPr>
            <w:r/>
            <w:r>
              <w:rPr>
                <w:rFonts w:ascii="Lato" w:hAnsi="Lato"/>
                <w:b w:val="0"/>
                <w:sz w:val="15"/>
              </w:rPr>
              <w:t>Platform secure storage</w:t>
            </w:r>
          </w:p>
        </w:tc>
        <w:tc>
          <w:tcPr>
            <w:tcW w:type="dxa" w:w="3168"/>
            <w:vAlign w:val="center"/>
            <w:shd w:fill="F3F6F8"/>
          </w:tcPr>
          <w:p>
            <w:pPr>
              <w:spacing w:after="0"/>
            </w:pPr>
            <w:r/>
            <w:r>
              <w:rPr>
                <w:rFonts w:ascii="Lato" w:hAnsi="Lato"/>
                <w:b w:val="0"/>
                <w:sz w:val="15"/>
              </w:rPr>
              <w:t>Optional device unlock and UI session token</w:t>
            </w:r>
          </w:p>
        </w:tc>
        <w:tc>
          <w:tcPr>
            <w:tcW w:type="dxa" w:w="3816"/>
            <w:vAlign w:val="center"/>
            <w:shd w:fill="F3F6F8"/>
          </w:tcPr>
          <w:p>
            <w:pPr>
              <w:spacing w:after="0"/>
            </w:pPr>
            <w:r/>
            <w:r>
              <w:rPr>
                <w:rFonts w:ascii="Lato" w:hAnsi="Lato"/>
                <w:b w:val="0"/>
                <w:sz w:val="15"/>
              </w:rPr>
              <w:t>Security depends on host OS and account state.</w:t>
            </w:r>
          </w:p>
        </w:tc>
      </w:tr>
      <w:tr>
        <w:tc>
          <w:tcPr>
            <w:tcW w:type="dxa" w:w="2160"/>
            <w:vAlign w:val="center"/>
          </w:tcPr>
          <w:p>
            <w:pPr>
              <w:spacing w:after="0"/>
            </w:pPr>
            <w:r/>
            <w:r>
              <w:rPr>
                <w:rFonts w:ascii="Lato" w:hAnsi="Lato"/>
                <w:b w:val="0"/>
                <w:sz w:val="15"/>
              </w:rPr>
              <w:t>Short-lived bearer token</w:t>
            </w:r>
          </w:p>
        </w:tc>
        <w:tc>
          <w:tcPr>
            <w:tcW w:type="dxa" w:w="3168"/>
            <w:vAlign w:val="center"/>
          </w:tcPr>
          <w:p>
            <w:pPr>
              <w:spacing w:after="0"/>
            </w:pPr>
            <w:r/>
            <w:r>
              <w:rPr>
                <w:rFonts w:ascii="Lato" w:hAnsi="Lato"/>
                <w:b w:val="0"/>
                <w:sz w:val="15"/>
              </w:rPr>
              <w:t>Flutter-to-sidecar authorization</w:t>
            </w:r>
          </w:p>
        </w:tc>
        <w:tc>
          <w:tcPr>
            <w:tcW w:type="dxa" w:w="3816"/>
            <w:vAlign w:val="center"/>
          </w:tcPr>
          <w:p>
            <w:pPr>
              <w:spacing w:after="0"/>
            </w:pPr>
            <w:r/>
            <w:r>
              <w:rPr>
                <w:rFonts w:ascii="Lato" w:hAnsi="Lato"/>
                <w:b w:val="0"/>
                <w:sz w:val="15"/>
              </w:rPr>
              <w:t>Loopback is still preferred; token must expire and be revocable.</w:t>
            </w:r>
          </w:p>
        </w:tc>
      </w:tr>
    </w:tbl>
    <w:p>
      <w:pPr>
        <w:spacing w:after="0"/>
      </w:pPr>
    </w:p>
    <w:p>
      <w:pPr>
        <w:pStyle w:val="Heading2"/>
      </w:pPr>
      <w:r>
        <w:t>13.1 Vault key hierarchy and record protection</w:t>
      </w:r>
    </w:p>
    <w:p>
      <w:r>
        <w:t>The vault protects provider secrets and model-encryption keys with a layered hierarchy rather than storing API keys in configuration files, scenario JSON, or process environments. The architecture therefore makes a deliberate trade-off. CyberForge treats the statement as a design hypothesis that must be represented in data, implemented in code, and evaluated through reproducible tests. The relevant mechanism includes Argon2id derives a password key, a platform device key may assist local unlock, and the stable vault root key wraps an index key and data-key ring. These elements are not interchangeable: each introduces a different source of evidence, uncertainty, and potential error. The design is grounded in the project source and in established guidance on digital twins, risk management, AI assurance, and cybersecurity controls [R1][R2][R14][R15][R16]. Throughout this paper, the term ‘risk’ refers to a comparative planning index unless an empirical calibration study is explicitly described.</w:t>
      </w:r>
    </w:p>
    <w:p>
      <w:r>
        <w:t>The system implements the idea through a sequence of bounded transformations. First, it must Argon2id derives a password key; second, it must a platform device key may assist local unlock; and third, it must the stable vault root key wraps an index key and data-key ring. Where additional mechanisms are present, the implementation also has to logical record identifiers are hashed, each record uses AES-256-GCM with unique nonce and associated data, and short-lived bearer sessions authorize sidecar operations.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Memory-hard derivation raises offline guessing cost; separate data keys permit rotation; and associated data binds ciphertext to record identity and key version.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An OpenAI key, a DigitalOcean token, and a local model key are separate encrypted records. The Flutter layer stores only a short-lived session token in platform secure storage and does not persist provider secrets.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round-trip tests, wrong-password rejection, nonce uniqueness, rotation completeness, session expiry, and file-permission review.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nonce reuse, weak passwords, plaintext diagnostic logging, compromised endpoint after unlock, and managed-runtime memory copies.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generate nonces with a cryptographic RNG, never export secrets through reports, rotate data keys transactionally, and recommend full-disk encryption.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13.2 What AES-GCM does and does not guarantee</w:t>
      </w:r>
    </w:p>
    <w:p>
      <w:r>
        <w:t>AES-GCM provides confidentiality and integrity for records when keys and nonces are handled correctly, but it does not transform SQLite into opaque page encryption or protect data after a fully compromised runtime decrypts it. From a research perspective, the important point is not the label but the testable behavior. CyberForge treats the statement as a design hypothesis that must be represented in data, implemented in code, and evaluated through reproducible tests. The relevant mechanism includes ciphertext and authentication tag protect record content, associated data authenticates metadata, and database schema, row count, timestamps, and ciphertext lengths may remain visible. These elements are not interchangeable: each introduces a different source of evidence, uncertainty, and potential error. The design is grounded in the project source and in established guidance on digital twins, risk management, AI assurance, and cybersecurity controls [R1][R14][R15]. Throughout this paper, the term ‘risk’ refers to a comparative planning index unless an empirical calibration study is explicitly described.</w:t>
      </w:r>
    </w:p>
    <w:p>
      <w:r>
        <w:t>The system implements the idea through a sequence of bounded transformations. First, it must ciphertext and authentication tag protect record content; second, it must associated data authenticates metadata; and third, it must database schema, row count, timestamps, and ciphertext lengths may remain visible. Where additional mechanisms are present, the implementation also has to temporary plaintext and process memory remain endpoint risks.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Accurate security claims prevent overreliance; residual metadata can be sensitive; and endpoint compromise dominates cryptographic strength after unlock.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CyberForge documentation explicitly states that record encryption is not page encryption and that best-effort zeroization is not a formal memory-safety guarantee. These limitations should remain in user-facing documentation.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tamper tests, metadata exposure review, crash-recovery tests, backup restoration tests, and operating-system threat assessment.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claiming “military-grade” security, assuming encryption replaces access control, and writing keys to swap or crash dumps.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state precise guarantees, use hardened operating systems, minimize unlocked time, and support lock and secret deletion.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Draw the vault key hierarchy from password to provider secret.</w:t>
      </w:r>
    </w:p>
    <w:p>
      <w:pPr>
        <w:pStyle w:val="ListNumber"/>
      </w:pPr>
      <w:r>
        <w:t>List metadata still visible under record-level encryption.</w:t>
      </w:r>
    </w:p>
    <w:p>
      <w:pPr>
        <w:pStyle w:val="ListNumber"/>
      </w:pPr>
      <w:r>
        <w:t>Design a data-key rotation test that detects partial migration.</w:t>
      </w:r>
    </w:p>
    <w:p>
      <w:pPr>
        <w:pStyle w:val="Heading2"/>
      </w:pPr>
      <w:r>
        <w:t>Chapter Takeaways</w:t>
      </w:r>
    </w:p>
    <w:p>
      <w:r>
        <w:t>Chapter 13 establishes that the vault protects provider secrets and model-encryption keys with a layered hierarchy rather than storing API keys in configuration files, scenario JSON, or process environments. The implementation consequence is to generate nonces with a cryptographic RNG, while the research consequence is to measure round-trip tests. The chapter also shows why accurate security claims prevent overreliance and why a defensible deployment must explicitly guard against claiming “military-grade” security.</w:t>
      </w:r>
    </w:p>
    <w:p>
      <w:r>
        <w:br w:type="page"/>
      </w:r>
    </w:p>
    <w:p>
      <w:pPr>
        <w:pStyle w:val="Heading1"/>
      </w:pPr>
      <w:r>
        <w:t>Chapter 14. Model Supply-Chain Security and Encrypted Lifecycle</w:t>
      </w:r>
    </w:p>
    <w:p>
      <w:r>
        <w:t>Examines pinned hashes, download verification, encrypted storage, temporary loading, dependencies, and provenance.</w:t>
      </w:r>
    </w:p>
    <w:p>
      <w:pPr>
        <w:pStyle w:val="Heading2"/>
      </w:pPr>
      <w:r>
        <w:t>14.1 Pinned artifacts and verified installation</w:t>
      </w:r>
    </w:p>
    <w:p>
      <w:r>
        <w:t>Local model safety begins before inference: CyberForge pins model profiles, streams downloads, computes SHA-256, compares the digest in constant time, encrypts the verified file, and deletes the clear download. For a blue team, this changes the unit of analysis. CyberForge treats the statement as a design hypothesis that must be represented in data, implemented in code, and evaluated through reproducible tests. The relevant mechanism includes profile includes file name, runtime, source, context size, and expected digest, download is streamed to a temporary path, and fsync occurs before verification. These elements are not interchangeable: each introduces a different source of evidence, uncertainty, and potential error. The design is grounded in the project source and in established guidance on digital twins, risk management, AI assurance, and cybersecurity controls [R1][R3][R25][R26][R37][R38]. Throughout this paper, the term ‘risk’ refers to a comparative planning index unless an empirical calibration study is explicitly described.</w:t>
      </w:r>
    </w:p>
    <w:p>
      <w:r>
        <w:t>The system implements the idea through a sequence of bounded transformations. First, it must profile includes file name, runtime, source, context size, and expected digest; second, it must download is streamed to a temporary path; and third, it must fsync occurs before verification. Where additional mechanisms are present, the implementation also has to AES-GCM encrypts the model at rest and metadata records the plaintext digest and runtime.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Model substitution can alter output and introduce backdoors; large files make manual verification unreliable; and repeatable profiles support deployment review.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Gemma profile identifies a .litertlm artifact and LiteRT-LM runtime; the Llama profile identifies a GGUF artifact and llama.cpp runtime. Neither model is bundled inside the source archive.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digest mismatch rejection, interrupted-download cleanup, source availability tests, signed-release verification when available, and software bill of materials.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compromised upstream hosting, incorrect pinned hash, dependency confusion, and unreviewed runtime updates.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record provenance, prefer signed artifacts, update pins through reviewed changes, and separate model and runtime trust.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14.2 Verified temporary decryption and runtime isolation</w:t>
      </w:r>
    </w:p>
    <w:p>
      <w:r>
        <w:t>Loading reverses encrypted storage into a restrictive temporary file, verifies the plaintext digest again, starts the runtime, and removes the temporary file on unload or failure. The design becomes useful only when the claim can be traced and challenged. CyberForge treats the statement as a design hypothesis that must be represented in data, implemented in code, and evaluated through reproducible tests. The relevant mechanism includes vault session gates decryption, a restrictive temporary path is allocated, and the file is decrypted and rehashed. These elements are not interchangeable: each introduces a different source of evidence, uncertainty, and potential error. The design is grounded in the project source and in established guidance on digital twins, risk management, AI assurance, and cybersecurity controls [R1][R25][R37][R38]. Throughout this paper, the term ‘risk’ refers to a comparative planning index unless an empirical calibration study is explicitly described.</w:t>
      </w:r>
    </w:p>
    <w:p>
      <w:r>
        <w:t>The system implements the idea through a sequence of bounded transformations. First, it must vault session gates decryption; second, it must a restrictive temporary path is allocated; and third, it must the file is decrypted and rehashed. Where additional mechanisms are present, the implementation also has to the runtime is loaded with bounded context and threads and cleanup executes on success and exception.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A second verification detects storage corruption or wrong keys; temporary exposure is narrower than permanent plaintext; and runtime failure isolation preserves the scanner.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On copy-on-write filesystems and SSDs, overwriting a temporary file cannot guarantee physical erasure. The security argument therefore depends on full-disk encryption, restrictive permissions, and minimizing plaintext lifetime.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temporary-file permission tests, cleanup after forced crashes, hash verification after decrypt, and runtime sandbox tests.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plaintext copied by antivirus or indexing, core dumps, runtime native-code vulnerabilities, and model extraction from memory.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use encrypted disks, disable indexing for model directories, drop container capabilities, and treat model secrecy as defense in depth.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Write a secure model installation state machine.</w:t>
      </w:r>
    </w:p>
    <w:p>
      <w:pPr>
        <w:pStyle w:val="ListNumber"/>
      </w:pPr>
      <w:r>
        <w:t>Identify three supply-chain controls beyond SHA-256.</w:t>
      </w:r>
    </w:p>
    <w:p>
      <w:pPr>
        <w:pStyle w:val="ListNumber"/>
      </w:pPr>
      <w:r>
        <w:t>Explain why file overwrite is not guaranteed secure deletion on SSDs.</w:t>
      </w:r>
    </w:p>
    <w:p>
      <w:pPr>
        <w:pStyle w:val="Heading2"/>
      </w:pPr>
      <w:r>
        <w:t>Chapter Takeaways</w:t>
      </w:r>
    </w:p>
    <w:p>
      <w:r>
        <w:t>Chapter 14 establishes that local model safety begins before inference: CyberForge pins model profiles, streams downloads, computes SHA-256, compares the digest in constant time, encrypts the verified file, and deletes the clear download. The implementation consequence is to record provenance, while the research consequence is to measure digest mismatch rejection. The chapter also shows why a second verification detects storage corruption or wrong keys and why a defensible deployment must explicitly guard against plaintext copied by antivirus or indexing.</w:t>
      </w:r>
    </w:p>
    <w:p>
      <w:r>
        <w:br w:type="page"/>
      </w:r>
    </w:p>
    <w:p>
      <w:pPr>
        <w:pStyle w:val="Heading1"/>
      </w:pPr>
      <w:r>
        <w:t>Chapter 15. Post-Quantum Recovery and Hybrid Cryptography</w:t>
      </w:r>
    </w:p>
    <w:p>
      <w:r>
        <w:t>Explains ML-KEM, X25519, HKDF, AES-GCM, ML-DSA, capability gating, and recovery separation.</w:t>
      </w:r>
    </w:p>
    <w:p>
      <w:pPr>
        <w:pStyle w:val="Heading2"/>
      </w:pPr>
      <w:r>
        <w:t>15.1 Hybrid recovery identity</w:t>
      </w:r>
    </w:p>
    <w:p>
      <w:r>
        <w:t>CyberForge adapts a hybrid recovery design in which ML-KEM and X25519 independently contribute shared-secret material that is combined through HKDF before AES-GCM protects the recovery payload. This is also where many security dashboards become misleading. CyberForge treats the statement as a design hypothesis that must be represented in data, implemented in code, and evaluated through reproducible tests. The relevant mechanism includes ML-KEM provides a standardized post-quantum KEM, X25519 provides a mature classical component, and HKDF combines and separates key material. These elements are not interchangeable: each introduces a different source of evidence, uncertainty, and potential error. The design is grounded in the project source and in established guidance on digital twins, risk management, AI assurance, and cybersecurity controls [R2][R17][R18][R19][R20][R34]. Throughout this paper, the term ‘risk’ refers to a comparative planning index unless an empirical calibration study is explicitly described.</w:t>
      </w:r>
    </w:p>
    <w:p>
      <w:r>
        <w:t>The system implements the idea through a sequence of bounded transformations. First, it must ML-KEM provides a standardized post-quantum KEM; second, it must X25519 provides a mature classical component; and third, it must HKDF combines and separates key material. Where additional mechanisms are present, the implementation also has to AES-GCM protects payload confidentiality and integrity and ML-DSA can authenticate advanced recovery packages.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Hybrid construction reduces dependence on a single primitive during transition; recovery keys can be stored separately from the live vault; and standardized algorithms improve interoperability and review.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public recovery package can remain with the application, while the password-encrypted private kit is copied to offline media. Creating an authenticated backup requires possession of the appropriate private recovery material.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known-answer tests, cross-implementation vectors, wrong-recipient rejection, signature verification, and password-policy tests.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algorithm naming without a conformant implementation, keeping private recovery material on the same device, and believing PQ recovery protects a compromised endpoint.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capability-gate optional libraries, document parameter sets, separate live unlock from recovery, and follow FIPS errata and migration guidance.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15.2 Migration, agility, and limitations</w:t>
      </w:r>
    </w:p>
    <w:p>
      <w:r>
        <w:t>Post-quantum design is an agility problem as much as an algorithm problem because standards, implementations, hardware, and interoperability continue to evolve. A defensible implementation must preserve this separation throughout the pipeline. CyberForge treats the statement as a design hypothesis that must be represented in data, implemented in code, and evaluated through reproducible tests. The relevant mechanism includes version every envelope, store suite and parameter identifiers, and support rotation to new recipients. These elements are not interchangeable: each introduces a different source of evidence, uncertainty, and potential error. The design is grounded in the project source and in established guidance on digital twins, risk management, AI assurance, and cybersecurity controls [R17][R18][R34][R40]. Throughout this paper, the term ‘risk’ refers to a comparative planning index unless an empirical calibration study is explicitly described.</w:t>
      </w:r>
    </w:p>
    <w:p>
      <w:r>
        <w:t>The system implements the idea through a sequence of bounded transformations. First, it must version every envelope; second, it must store suite and parameter identifiers; and third, it must support rotation to new recipients. Where additional mechanisms are present, the implementation also has to retain classical and post-quantum components during transition and test restore before relying on backup.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Long-lived secrets face harvest-now-decrypt-later concerns; recovery formats may outlive application versions; and cryptographic agility reduces emergency migration cost.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CyberForge falls back to AES-GCM vault operation when a compatible liboqs environment is unavailable. This is preferable to falsely reporting ML-KEM protection, but the UI must make capability status explicit.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algorithm availability, restore success across versions, performance and package size, and migration rehearsal.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silent downgrade, unreadable future backups, parameter mismatch, and weak recovery password.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fail visibly, preserve format metadata, maintain independent recovery tests, and monitor NIST updates.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Design a recovery format version field and migration rule.</w:t>
      </w:r>
    </w:p>
    <w:p>
      <w:pPr>
        <w:pStyle w:val="ListNumber"/>
      </w:pPr>
      <w:r>
        <w:t>Explain the security purpose of combining ML-KEM and X25519.</w:t>
      </w:r>
    </w:p>
    <w:p>
      <w:pPr>
        <w:pStyle w:val="ListNumber"/>
      </w:pPr>
      <w:r>
        <w:t>Create a checklist for storing the private recovery kit.</w:t>
      </w:r>
    </w:p>
    <w:p>
      <w:pPr>
        <w:pStyle w:val="Heading2"/>
      </w:pPr>
      <w:r>
        <w:t>Chapter Takeaways</w:t>
      </w:r>
    </w:p>
    <w:p>
      <w:r>
        <w:t>Chapter 15 establishes that cyberForge adapts a hybrid recovery design in which ML-KEM and X25519 independently contribute shared-secret material that is combined through HKDF before AES-GCM protects the recovery payload. The implementation consequence is to capability-gate optional libraries, while the research consequence is to measure known-answer tests. The chapter also shows why long-lived secrets face harvest-now-decrypt-later concerns and why a defensible deployment must explicitly guard against silent downgrade.</w:t>
      </w:r>
    </w:p>
    <w:p>
      <w:r>
        <w:br w:type="page"/>
      </w:r>
    </w:p>
    <w:p>
      <w:pPr>
        <w:pStyle w:val="Heading1"/>
      </w:pPr>
      <w:r>
        <w:t>Chapter 16. Authorization, Privacy, Governance, and Human Oversight</w:t>
      </w:r>
    </w:p>
    <w:p>
      <w:r>
        <w:t>Integrates ownership checks, data minimization, risk governance, decision boundaries, and accountability.</w:t>
      </w:r>
    </w:p>
    <w:p>
      <w:pPr>
        <w:pStyle w:val="Heading2"/>
      </w:pPr>
      <w:r>
        <w:t>16.1 Authorization and scope as executable controls</w:t>
      </w:r>
    </w:p>
    <w:p>
      <w:r>
        <w:t>Authorization is represented in the scenario and enforced before scanning so ethical scope is part of runtime behavior rather than a disclaimer outside the system. The practical consequence is significant. CyberForge treats the statement as a design hypothesis that must be represented in data, implemented in code, and evaluated through reproducible tests. The relevant mechanism includes scenario states authorized status, statement, scope, and synthetic flag, guardrails inspect intent, and world and surface counts are bounded. These elements are not interchangeable: each introduces a different source of evidence, uncertainty, and potential error. The design is grounded in the project source and in established guidance on digital twins, risk management, AI assurance, and cybersecurity controls [R1][R5][R6][R11]. Throughout this paper, the term ‘risk’ refers to a comparative planning index unless an empirical calibration study is explicitly described.</w:t>
      </w:r>
    </w:p>
    <w:p>
      <w:r>
        <w:t>The system implements the idea through a sequence of bounded transformations. First, it must scenario states authorized status, statement, scope, and synthetic flag; second, it must guardrails inspect intent; and third, it must world and surface counts are bounded. Where additional mechanisms are present, the implementation also has to non-loopback binding requires an explicit override and remote models require separate per-scan opt-in.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Technical capability should not erase governance; scope metadata supports audit and review; and bounded defaults reduce accidental misuse.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researcher can run a synthetic scenario with abstract identifiers. An assessor working on an owned environment can record the approved scope. A request aimed at an unowned live target is rejected rather than simulated.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authorization test coverage, scope-review logs, number of blocked unsafe requests, and remote opt-in audit.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self-asserted authorization used dishonestly, scope creep, and shared reports losing their authorization context.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require organizational process for real deployments, bind reports to scenario digests, and include scope on every export.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16.2 Privacy and consequential-decision limits</w:t>
      </w:r>
    </w:p>
    <w:p>
      <w:r>
        <w:t>CyberForge favors role aggregates, synthetic identifiers, optional geography, and minimum necessary telemetry because simulation outputs can harm people when treated as behavioral proof. This distinction matters operationally. CyberForge treats the statement as a design hypothesis that must be represented in data, implemented in code, and evaluated through reproducible tests. The relevant mechanism includes human surfaces represent groups or roles, personal names are unnecessary for most control questions, and cloud packets are recursively redacted. These elements are not interchangeable: each introduces a different source of evidence, uncertainty, and potential error. The design is grounded in the project source and in established guidance on digital twins, risk management, AI assurance, and cybersecurity controls [R5][R6][R8]. Throughout this paper, the term ‘risk’ refers to a comparative planning index unless an empirical calibration study is explicitly described.</w:t>
      </w:r>
    </w:p>
    <w:p>
      <w:r>
        <w:t>The system implements the idea through a sequence of bounded transformations. First, it must human surfaces represent groups or roles; second, it must personal names are unnecessary for most control questions; and third, it must cloud packets are recursively redacted. Where additional mechanisms are present, the implementation also has to reports prohibit discipline or law-enforcement referral based only on scores and human reviewers validate consequential conclusions.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Privacy risk can arise from inference even without direct identifiers; a high-risk user score can become discriminatory; and data minimization improves both security and governance.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phishing-susceptibility model should identify training and workflow pressure at a role level. It should not rank named employees or claim that a person will fall for an attack.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privacy impact assessments, re-identification testing, reviewer sign-off, and appeal and correction mechanisms.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employee surveillance, location tracking, automated access denial, and public disclosure of model opinions.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aggregate by role, define retention periods, separate planning from personnel decisions, and provide correction workflows.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Write an authorization object for a synthetic tabletop exercise.</w:t>
      </w:r>
    </w:p>
    <w:p>
      <w:pPr>
        <w:pStyle w:val="ListNumber"/>
      </w:pPr>
      <w:r>
        <w:t>Transform a person-level risk feature into a role-level feature.</w:t>
      </w:r>
    </w:p>
    <w:p>
      <w:pPr>
        <w:pStyle w:val="ListNumber"/>
      </w:pPr>
      <w:r>
        <w:t>List five consequential decisions that require evidence beyond CyberForge.</w:t>
      </w:r>
    </w:p>
    <w:p>
      <w:pPr>
        <w:pStyle w:val="Heading2"/>
      </w:pPr>
      <w:r>
        <w:t>Chapter Takeaways</w:t>
      </w:r>
    </w:p>
    <w:p>
      <w:r>
        <w:t>Chapter 16 establishes that authorization is represented in the scenario and enforced before scanning so ethical scope is part of runtime behavior rather than a disclaimer outside the system. The implementation consequence is to require organizational process for real deployments, while the research consequence is to measure authorization test coverage. The chapter also shows why privacy risk can arise from inference even without direct identifiers and why a defensible deployment must explicitly guard against employee surveillance.</w:t>
      </w:r>
    </w:p>
    <w:p>
      <w:r>
        <w:br w:type="page"/>
      </w:r>
    </w:p>
    <w:p>
      <w:pPr>
        <w:pStyle w:val="Heading1"/>
      </w:pPr>
      <w:r>
        <w:t>Chapter 17. Experimental Methodology and Reproducibility</w:t>
      </w:r>
    </w:p>
    <w:p>
      <w:r>
        <w:t>Documents the source tree, tests, synthetic scenarios, metrics, ablations, and limits of the current evaluation.</w:t>
      </w:r>
    </w:p>
    <w:p>
      <w:pPr>
        <w:pStyle w:val="Heading2"/>
      </w:pPr>
      <w:r>
        <w:t>17.1 Evaluation design</w:t>
      </w:r>
    </w:p>
    <w:p>
      <w:r>
        <w:t>The present evaluation measures software behavior, determinism, monotonic response, guardrail enforcement, and cryptographic round trips; it does not claim validated prediction of real incidents. The architecture therefore makes a deliberate trade-off. CyberForge treats the statement as a design hypothesis that must be represented in data, implemented in code, and evaluated through reproducible tests. The relevant mechanism includes source inspection covers Flutter, Python, prompts, and documentation, eleven automated sidecar tests cover crypto, guardrails, providers, scanning, SIMCOM, and vault rotation, and the default scenario uses six surfaces and six links. These elements are not interchangeable: each introduces a different source of evidence, uncertainty, and potential error. The design is grounded in the project source and in established guidance on digital twins, risk management, AI assurance, and cybersecurity controls [R1][R9][R37]. Throughout this paper, the term ‘risk’ refers to a comparative planning index unless an empirical calibration study is explicitly described.</w:t>
      </w:r>
    </w:p>
    <w:p>
      <w:r>
        <w:t>The system implements the idea through a sequence of bounded transformations. First, it must source inspection covers Flutter, Python, prompts, and documentation; second, it must eleven automated sidecar tests cover crypto, guardrails, providers, scanning, SIMCOM, and vault rotation; and third, it must the default scenario uses six surfaces and six links. Where additional mechanisms are present, the implementation also has to experiments vary world count, control strength, graph assumptions, and telemetry confidence.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Construct-validity checks precede operational validation; synthetic experiments can reveal implementation defects; and clear limits prevent benchmark theater.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package contains 35 Dart files with approximately 6,644 lines, 18 Python files with approximately 3,512 lines, and 17 Markdown files. The source archive contains 111 files excluding repository metadata.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test pass rate, runtime, deterministic digest, monotonicity, effect under ablation, and schema round trips.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counting lines as quality, using unit tests as security certification, and tuning scenarios to produce desired results.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publish scripts and seeds, retain environment details, and separate measured and proposed claims.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17.2 Reproducible synthetic experiment protocol</w:t>
      </w:r>
    </w:p>
    <w:p>
      <w:r>
        <w:t>Each experiment begins from the same default packet, changes one defined factor, executes the scanner, and stores structured JSON so results can be independently recomputed. From a research perspective, the important point is not the label but the testable behavior. CyberForge treats the statement as a design hypothesis that must be represented in data, implemented in code, and evaluated through reproducible tests. The relevant mechanism includes convergence uses 1,000, 3,000, 12,000, and 50,000 worlds, control ablation sets uniform node and link controls from 0.30 to 0.90, and graph ablation compares no links, weak links, default links, and strong links. These elements are not interchangeable: each introduces a different source of evidence, uncertainty, and potential error. The design is grounded in the project source and in established guidance on digital twins, risk management, AI assurance, and cybersecurity controls [R1][R31]. Throughout this paper, the term ‘risk’ refers to a comparative planning index unless an empirical calibration study is explicitly described.</w:t>
      </w:r>
    </w:p>
    <w:p>
      <w:r>
        <w:t>The system implements the idea through a sequence of bounded transformations. First, it must convergence uses 1,000, 3,000, 12,000, and 50,000 worlds; second, it must control ablation sets uniform node and link controls from 0.30 to 0.90; and third, it must graph ablation compares no links, weak links, default links, and strong links. Where additional mechanisms are present, the implementation also has to telemetry ablation varies confidence from 0.30 to 0.90 and twenty or ten seed repetitions are recorded.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One-factor changes improve interpretation; JSON artifacts support audit; and recorded seeds make simulation reproducible.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experiment script executed 210 scans. Because the analytical risk index is deterministic for a fixed scenario, repeated seeds produced the same overall risk; Monte Carlo affected-equivalent values converged as world count increased.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raw results archive, code commit identifier, Python and dependency versions, and hardware and runtime measurements.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pseudo-replication, unreported warm-up effects, and using deterministic repetitions as independent samples.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report deterministic behavior honestly, use heterogeneous scenario variants for statistical generalization, and publish exact scripts.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Reproduce one control-strength ablation.</w:t>
      </w:r>
    </w:p>
    <w:p>
      <w:pPr>
        <w:pStyle w:val="ListNumber"/>
      </w:pPr>
      <w:r>
        <w:t>Explain why deterministic repeated runs do not create independent evidence.</w:t>
      </w:r>
    </w:p>
    <w:p>
      <w:pPr>
        <w:pStyle w:val="ListNumber"/>
      </w:pPr>
      <w:r>
        <w:t>Define a future operational validation protocol.</w:t>
      </w:r>
    </w:p>
    <w:p>
      <w:pPr>
        <w:pStyle w:val="Heading2"/>
      </w:pPr>
      <w:r>
        <w:t>Chapter Takeaways</w:t>
      </w:r>
    </w:p>
    <w:p>
      <w:r>
        <w:t>Chapter 17 establishes that the present evaluation measures software behavior, determinism, monotonic response, guardrail enforcement, and cryptographic round trips; it does not claim validated prediction of real incidents. The implementation consequence is to publish scripts and seeds, while the research consequence is to measure test pass rate. The chapter also shows why one-factor changes improve interpretation and why a defensible deployment must explicitly guard against pseudo-replication.</w:t>
      </w:r>
    </w:p>
    <w:p>
      <w:r>
        <w:br w:type="page"/>
      </w:r>
    </w:p>
    <w:p>
      <w:pPr>
        <w:pStyle w:val="Heading1"/>
      </w:pPr>
      <w:r>
        <w:t>Chapter 18. Evaluation Results and Interpretation</w:t>
      </w:r>
    </w:p>
    <w:p>
      <w:r>
        <w:t>Presents the measured default scenario, performance scaling, ablations, test results, and cautious interpretation.</w:t>
      </w:r>
    </w:p>
    <w:p>
      <w:pPr>
        <w:keepNext/>
        <w:jc w:val="center"/>
      </w:pPr>
      <w:r>
        <w:drawing>
          <wp:inline xmlns:a="http://schemas.openxmlformats.org/drawingml/2006/main" xmlns:pic="http://schemas.openxmlformats.org/drawingml/2006/picture">
            <wp:extent cx="5897880" cy="3945981"/>
            <wp:docPr id="7" name="Picture 7" title="Figure 6 Runtime scaling" descr="Line chart showing approximately linear numerical-core runtime growth as Monte Carlo worlds increase from one thousand to fifty thousand."/>
            <wp:cNvGraphicFramePr>
              <a:graphicFrameLocks noChangeAspect="1"/>
            </wp:cNvGraphicFramePr>
            <a:graphic>
              <a:graphicData uri="http://schemas.openxmlformats.org/drawingml/2006/picture">
                <pic:pic>
                  <pic:nvPicPr>
                    <pic:cNvPr id="0" name="figure_06_runtime_scaling.png"/>
                    <pic:cNvPicPr/>
                  </pic:nvPicPr>
                  <pic:blipFill>
                    <a:blip r:embed="rId17"/>
                    <a:stretch>
                      <a:fillRect/>
                    </a:stretch>
                  </pic:blipFill>
                  <pic:spPr>
                    <a:xfrm>
                      <a:off x="0" y="0"/>
                      <a:ext cx="5897880" cy="3945981"/>
                    </a:xfrm>
                    <a:prstGeom prst="rect"/>
                  </pic:spPr>
                </pic:pic>
              </a:graphicData>
            </a:graphic>
          </wp:inline>
        </w:drawing>
      </w:r>
    </w:p>
    <w:p>
      <w:pPr>
        <w:spacing w:after="160"/>
        <w:jc w:val="center"/>
      </w:pPr>
      <w:r>
        <w:rPr>
          <w:i/>
          <w:color w:val="666666"/>
          <w:sz w:val="17"/>
        </w:rPr>
        <w:t>Figure 6. Runtime scaling of the numerical core.</w:t>
      </w:r>
    </w:p>
    <w:p>
      <w:pPr>
        <w:pStyle w:val="Heading2"/>
      </w:pPr>
      <w:r>
        <w:t>18.1 Default scenario and software validation results</w:t>
      </w:r>
    </w:p>
    <w:p>
      <w:r>
        <w:t>The current source package passed all eleven Python tests and produced a complete offline report without local or cloud models, demonstrating graceful baseline operation. For a blue team, this changes the unit of analysis. CyberForge treats the statement as a design hypothesis that must be represented in data, implemented in code, and evaluated through reproducible tests. The relevant mechanism includes overall modeled risk was 0.324, credential pressure reached the normalized cap of 1.0, and data and availability were the next highest dimensions. These elements are not interchangeable: each introduces a different source of evidence, uncertainty, and potential error. The design is grounded in the project source and in established guidance on digital twins, risk management, AI assurance, and cybersecurity controls [R1]. Throughout this paper, the term ‘risk’ refers to a comparative planning index unless an empirical calibration study is explicitly described.</w:t>
      </w:r>
    </w:p>
    <w:p>
      <w:r>
        <w:t>The system implements the idea through a sequence of bounded transformations. First, it must overall modeled risk was 0.324; second, it must credential pressure reached the normalized cap of 1.0; and third, it must data and availability were the next highest dimensions. Where additional mechanisms are present, the implementation also has to remote access was the highest-risk surface, the strongest path was vendor support to remote access, and the numerical telemetry reported 12,000 worlds and six propagated paths.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Offline completion is a resilience requirement; dimension scores reveal model behavior; and the result is a synthetic index, not a real organization assessment.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default impact median was 1,618 affected-equivalent units of 6,744 modeled, or approximately 24.0 percent. The low and high range was broad, emphasizing that tail assumptions dominate interpretation.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test coverage expansion, comparison against hand-calculated cases, scenario-family benchmarks, and expert review.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credential saturation obscuring differences, tail range too broad for action, and surface rankings driven by hand-set priors.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calibrate priors, show saturation warnings, and connect each recommendation to evidence.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3384"/>
            <w:vAlign w:val="center"/>
            <w:shd w:fill="17365D"/>
          </w:tcPr>
          <w:p>
            <w:pPr>
              <w:spacing w:after="0"/>
            </w:pPr>
            <w:r/>
            <w:r>
              <w:rPr>
                <w:rFonts w:ascii="Lato" w:hAnsi="Lato"/>
                <w:b/>
                <w:color w:val="FFFFFF"/>
                <w:sz w:val="15"/>
              </w:rPr>
              <w:t>Surface</w:t>
            </w:r>
          </w:p>
        </w:tc>
        <w:tc>
          <w:tcPr>
            <w:tcW w:type="dxa" w:w="1008"/>
            <w:vAlign w:val="center"/>
            <w:shd w:fill="17365D"/>
          </w:tcPr>
          <w:p>
            <w:pPr>
              <w:spacing w:after="0"/>
            </w:pPr>
            <w:r/>
            <w:r>
              <w:rPr>
                <w:rFonts w:ascii="Lato" w:hAnsi="Lato"/>
                <w:b/>
                <w:color w:val="FFFFFF"/>
                <w:sz w:val="15"/>
              </w:rPr>
              <w:t>Risk</w:t>
            </w:r>
          </w:p>
        </w:tc>
        <w:tc>
          <w:tcPr>
            <w:tcW w:type="dxa" w:w="1080"/>
            <w:vAlign w:val="center"/>
            <w:shd w:fill="17365D"/>
          </w:tcPr>
          <w:p>
            <w:pPr>
              <w:spacing w:after="0"/>
            </w:pPr>
            <w:r/>
            <w:r>
              <w:rPr>
                <w:rFonts w:ascii="Lato" w:hAnsi="Lato"/>
                <w:b/>
                <w:color w:val="FFFFFF"/>
                <w:sz w:val="15"/>
              </w:rPr>
              <w:t>Pressure</w:t>
            </w:r>
          </w:p>
        </w:tc>
        <w:tc>
          <w:tcPr>
            <w:tcW w:type="dxa" w:w="1008"/>
            <w:vAlign w:val="center"/>
            <w:shd w:fill="17365D"/>
          </w:tcPr>
          <w:p>
            <w:pPr>
              <w:spacing w:after="0"/>
            </w:pPr>
            <w:r/>
            <w:r>
              <w:rPr>
                <w:rFonts w:ascii="Lato" w:hAnsi="Lato"/>
                <w:b/>
                <w:color w:val="FFFFFF"/>
                <w:sz w:val="15"/>
              </w:rPr>
              <w:t>Impact</w:t>
            </w:r>
          </w:p>
        </w:tc>
        <w:tc>
          <w:tcPr>
            <w:tcW w:type="dxa" w:w="1152"/>
            <w:vAlign w:val="center"/>
            <w:shd w:fill="17365D"/>
          </w:tcPr>
          <w:p>
            <w:pPr>
              <w:spacing w:after="0"/>
            </w:pPr>
            <w:r/>
            <w:r>
              <w:rPr>
                <w:rFonts w:ascii="Lato" w:hAnsi="Lato"/>
                <w:b/>
                <w:color w:val="FFFFFF"/>
                <w:sz w:val="15"/>
              </w:rPr>
              <w:t>Confidence</w:t>
            </w:r>
          </w:p>
        </w:tc>
      </w:tr>
      <w:tr>
        <w:tc>
          <w:tcPr>
            <w:tcW w:type="dxa" w:w="3384"/>
            <w:vAlign w:val="center"/>
          </w:tcPr>
          <w:p>
            <w:pPr>
              <w:spacing w:after="0"/>
            </w:pPr>
            <w:r/>
            <w:r>
              <w:rPr>
                <w:rFonts w:ascii="Lato" w:hAnsi="Lato"/>
                <w:b w:val="0"/>
                <w:sz w:val="15"/>
              </w:rPr>
              <w:t>Remote access gateway</w:t>
            </w:r>
          </w:p>
        </w:tc>
        <w:tc>
          <w:tcPr>
            <w:tcW w:type="dxa" w:w="1008"/>
            <w:vAlign w:val="center"/>
          </w:tcPr>
          <w:p>
            <w:pPr>
              <w:spacing w:after="0"/>
            </w:pPr>
            <w:r/>
            <w:r>
              <w:rPr>
                <w:rFonts w:ascii="Lato" w:hAnsi="Lato"/>
                <w:b w:val="0"/>
                <w:sz w:val="15"/>
              </w:rPr>
              <w:t>0.428</w:t>
            </w:r>
          </w:p>
        </w:tc>
        <w:tc>
          <w:tcPr>
            <w:tcW w:type="dxa" w:w="1080"/>
            <w:vAlign w:val="center"/>
          </w:tcPr>
          <w:p>
            <w:pPr>
              <w:spacing w:after="0"/>
            </w:pPr>
            <w:r/>
            <w:r>
              <w:rPr>
                <w:rFonts w:ascii="Lato" w:hAnsi="Lato"/>
                <w:b w:val="0"/>
                <w:sz w:val="15"/>
              </w:rPr>
              <w:t>0.476</w:t>
            </w:r>
          </w:p>
        </w:tc>
        <w:tc>
          <w:tcPr>
            <w:tcW w:type="dxa" w:w="1008"/>
            <w:vAlign w:val="center"/>
          </w:tcPr>
          <w:p>
            <w:pPr>
              <w:spacing w:after="0"/>
            </w:pPr>
            <w:r/>
            <w:r>
              <w:rPr>
                <w:rFonts w:ascii="Lato" w:hAnsi="Lato"/>
                <w:b w:val="0"/>
                <w:sz w:val="15"/>
              </w:rPr>
              <w:t>0.899</w:t>
            </w:r>
          </w:p>
        </w:tc>
        <w:tc>
          <w:tcPr>
            <w:tcW w:type="dxa" w:w="1152"/>
            <w:vAlign w:val="center"/>
          </w:tcPr>
          <w:p>
            <w:pPr>
              <w:spacing w:after="0"/>
            </w:pPr>
            <w:r/>
            <w:r>
              <w:rPr>
                <w:rFonts w:ascii="Lato" w:hAnsi="Lato"/>
                <w:b w:val="0"/>
                <w:sz w:val="15"/>
              </w:rPr>
              <w:t>0.904</w:t>
            </w:r>
          </w:p>
        </w:tc>
      </w:tr>
      <w:tr>
        <w:tc>
          <w:tcPr>
            <w:tcW w:type="dxa" w:w="3384"/>
            <w:vAlign w:val="center"/>
            <w:shd w:fill="F3F6F8"/>
          </w:tcPr>
          <w:p>
            <w:pPr>
              <w:spacing w:after="0"/>
            </w:pPr>
            <w:r/>
            <w:r>
              <w:rPr>
                <w:rFonts w:ascii="Lato" w:hAnsi="Lato"/>
                <w:b w:val="0"/>
                <w:sz w:val="15"/>
              </w:rPr>
              <w:t>Workforce identity plane</w:t>
            </w:r>
          </w:p>
        </w:tc>
        <w:tc>
          <w:tcPr>
            <w:tcW w:type="dxa" w:w="1008"/>
            <w:vAlign w:val="center"/>
            <w:shd w:fill="F3F6F8"/>
          </w:tcPr>
          <w:p>
            <w:pPr>
              <w:spacing w:after="0"/>
            </w:pPr>
            <w:r/>
            <w:r>
              <w:rPr>
                <w:rFonts w:ascii="Lato" w:hAnsi="Lato"/>
                <w:b w:val="0"/>
                <w:sz w:val="15"/>
              </w:rPr>
              <w:t>0.354</w:t>
            </w:r>
          </w:p>
        </w:tc>
        <w:tc>
          <w:tcPr>
            <w:tcW w:type="dxa" w:w="1080"/>
            <w:vAlign w:val="center"/>
            <w:shd w:fill="F3F6F8"/>
          </w:tcPr>
          <w:p>
            <w:pPr>
              <w:spacing w:after="0"/>
            </w:pPr>
            <w:r/>
            <w:r>
              <w:rPr>
                <w:rFonts w:ascii="Lato" w:hAnsi="Lato"/>
                <w:b w:val="0"/>
                <w:sz w:val="15"/>
              </w:rPr>
              <w:t>0.403</w:t>
            </w:r>
          </w:p>
        </w:tc>
        <w:tc>
          <w:tcPr>
            <w:tcW w:type="dxa" w:w="1008"/>
            <w:vAlign w:val="center"/>
            <w:shd w:fill="F3F6F8"/>
          </w:tcPr>
          <w:p>
            <w:pPr>
              <w:spacing w:after="0"/>
            </w:pPr>
            <w:r/>
            <w:r>
              <w:rPr>
                <w:rFonts w:ascii="Lato" w:hAnsi="Lato"/>
                <w:b w:val="0"/>
                <w:sz w:val="15"/>
              </w:rPr>
              <w:t>0.877</w:t>
            </w:r>
          </w:p>
        </w:tc>
        <w:tc>
          <w:tcPr>
            <w:tcW w:type="dxa" w:w="1152"/>
            <w:vAlign w:val="center"/>
            <w:shd w:fill="F3F6F8"/>
          </w:tcPr>
          <w:p>
            <w:pPr>
              <w:spacing w:after="0"/>
            </w:pPr>
            <w:r/>
            <w:r>
              <w:rPr>
                <w:rFonts w:ascii="Lato" w:hAnsi="Lato"/>
                <w:b w:val="0"/>
                <w:sz w:val="15"/>
              </w:rPr>
              <w:t>0.880</w:t>
            </w:r>
          </w:p>
        </w:tc>
      </w:tr>
      <w:tr>
        <w:tc>
          <w:tcPr>
            <w:tcW w:type="dxa" w:w="3384"/>
            <w:vAlign w:val="center"/>
          </w:tcPr>
          <w:p>
            <w:pPr>
              <w:spacing w:after="0"/>
            </w:pPr>
            <w:r/>
            <w:r>
              <w:rPr>
                <w:rFonts w:ascii="Lato" w:hAnsi="Lato"/>
                <w:b w:val="0"/>
                <w:sz w:val="15"/>
              </w:rPr>
              <w:t>Third-party support mesh</w:t>
            </w:r>
          </w:p>
        </w:tc>
        <w:tc>
          <w:tcPr>
            <w:tcW w:type="dxa" w:w="1008"/>
            <w:vAlign w:val="center"/>
          </w:tcPr>
          <w:p>
            <w:pPr>
              <w:spacing w:after="0"/>
            </w:pPr>
            <w:r/>
            <w:r>
              <w:rPr>
                <w:rFonts w:ascii="Lato" w:hAnsi="Lato"/>
                <w:b w:val="0"/>
                <w:sz w:val="15"/>
              </w:rPr>
              <w:t>0.352</w:t>
            </w:r>
          </w:p>
        </w:tc>
        <w:tc>
          <w:tcPr>
            <w:tcW w:type="dxa" w:w="1080"/>
            <w:vAlign w:val="center"/>
          </w:tcPr>
          <w:p>
            <w:pPr>
              <w:spacing w:after="0"/>
            </w:pPr>
            <w:r/>
            <w:r>
              <w:rPr>
                <w:rFonts w:ascii="Lato" w:hAnsi="Lato"/>
                <w:b w:val="0"/>
                <w:sz w:val="15"/>
              </w:rPr>
              <w:t>0.428</w:t>
            </w:r>
          </w:p>
        </w:tc>
        <w:tc>
          <w:tcPr>
            <w:tcW w:type="dxa" w:w="1008"/>
            <w:vAlign w:val="center"/>
          </w:tcPr>
          <w:p>
            <w:pPr>
              <w:spacing w:after="0"/>
            </w:pPr>
            <w:r/>
            <w:r>
              <w:rPr>
                <w:rFonts w:ascii="Lato" w:hAnsi="Lato"/>
                <w:b w:val="0"/>
                <w:sz w:val="15"/>
              </w:rPr>
              <w:t>0.823</w:t>
            </w:r>
          </w:p>
        </w:tc>
        <w:tc>
          <w:tcPr>
            <w:tcW w:type="dxa" w:w="1152"/>
            <w:vAlign w:val="center"/>
          </w:tcPr>
          <w:p>
            <w:pPr>
              <w:spacing w:after="0"/>
            </w:pPr>
            <w:r/>
            <w:r>
              <w:rPr>
                <w:rFonts w:ascii="Lato" w:hAnsi="Lato"/>
                <w:b w:val="0"/>
                <w:sz w:val="15"/>
              </w:rPr>
              <w:t>0.796</w:t>
            </w:r>
          </w:p>
        </w:tc>
      </w:tr>
      <w:tr>
        <w:tc>
          <w:tcPr>
            <w:tcW w:type="dxa" w:w="3384"/>
            <w:vAlign w:val="center"/>
            <w:shd w:fill="F3F6F8"/>
          </w:tcPr>
          <w:p>
            <w:pPr>
              <w:spacing w:after="0"/>
            </w:pPr>
            <w:r/>
            <w:r>
              <w:rPr>
                <w:rFonts w:ascii="Lato" w:hAnsi="Lato"/>
                <w:b w:val="0"/>
                <w:sz w:val="15"/>
              </w:rPr>
              <w:t>Visitor and delivery access</w:t>
            </w:r>
          </w:p>
        </w:tc>
        <w:tc>
          <w:tcPr>
            <w:tcW w:type="dxa" w:w="1008"/>
            <w:vAlign w:val="center"/>
            <w:shd w:fill="F3F6F8"/>
          </w:tcPr>
          <w:p>
            <w:pPr>
              <w:spacing w:after="0"/>
            </w:pPr>
            <w:r/>
            <w:r>
              <w:rPr>
                <w:rFonts w:ascii="Lato" w:hAnsi="Lato"/>
                <w:b w:val="0"/>
                <w:sz w:val="15"/>
              </w:rPr>
              <w:t>0.296</w:t>
            </w:r>
          </w:p>
        </w:tc>
        <w:tc>
          <w:tcPr>
            <w:tcW w:type="dxa" w:w="1080"/>
            <w:vAlign w:val="center"/>
            <w:shd w:fill="F3F6F8"/>
          </w:tcPr>
          <w:p>
            <w:pPr>
              <w:spacing w:after="0"/>
            </w:pPr>
            <w:r/>
            <w:r>
              <w:rPr>
                <w:rFonts w:ascii="Lato" w:hAnsi="Lato"/>
                <w:b w:val="0"/>
                <w:sz w:val="15"/>
              </w:rPr>
              <w:t>0.420</w:t>
            </w:r>
          </w:p>
        </w:tc>
        <w:tc>
          <w:tcPr>
            <w:tcW w:type="dxa" w:w="1008"/>
            <w:vAlign w:val="center"/>
            <w:shd w:fill="F3F6F8"/>
          </w:tcPr>
          <w:p>
            <w:pPr>
              <w:spacing w:after="0"/>
            </w:pPr>
            <w:r/>
            <w:r>
              <w:rPr>
                <w:rFonts w:ascii="Lato" w:hAnsi="Lato"/>
                <w:b w:val="0"/>
                <w:sz w:val="15"/>
              </w:rPr>
              <w:t>0.705</w:t>
            </w:r>
          </w:p>
        </w:tc>
        <w:tc>
          <w:tcPr>
            <w:tcW w:type="dxa" w:w="1152"/>
            <w:vAlign w:val="center"/>
            <w:shd w:fill="F3F6F8"/>
          </w:tcPr>
          <w:p>
            <w:pPr>
              <w:spacing w:after="0"/>
            </w:pPr>
            <w:r/>
            <w:r>
              <w:rPr>
                <w:rFonts w:ascii="Lato" w:hAnsi="Lato"/>
                <w:b w:val="0"/>
                <w:sz w:val="15"/>
              </w:rPr>
              <w:t>0.828</w:t>
            </w:r>
          </w:p>
        </w:tc>
      </w:tr>
      <w:tr>
        <w:tc>
          <w:tcPr>
            <w:tcW w:type="dxa" w:w="3384"/>
            <w:vAlign w:val="center"/>
          </w:tcPr>
          <w:p>
            <w:pPr>
              <w:spacing w:after="0"/>
            </w:pPr>
            <w:r/>
            <w:r>
              <w:rPr>
                <w:rFonts w:ascii="Lato" w:hAnsi="Lato"/>
                <w:b w:val="0"/>
                <w:sz w:val="15"/>
              </w:rPr>
              <w:t>Managed endpoint fleet</w:t>
            </w:r>
          </w:p>
        </w:tc>
        <w:tc>
          <w:tcPr>
            <w:tcW w:type="dxa" w:w="1008"/>
            <w:vAlign w:val="center"/>
          </w:tcPr>
          <w:p>
            <w:pPr>
              <w:spacing w:after="0"/>
            </w:pPr>
            <w:r/>
            <w:r>
              <w:rPr>
                <w:rFonts w:ascii="Lato" w:hAnsi="Lato"/>
                <w:b w:val="0"/>
                <w:sz w:val="15"/>
              </w:rPr>
              <w:t>0.284</w:t>
            </w:r>
          </w:p>
        </w:tc>
        <w:tc>
          <w:tcPr>
            <w:tcW w:type="dxa" w:w="1080"/>
            <w:vAlign w:val="center"/>
          </w:tcPr>
          <w:p>
            <w:pPr>
              <w:spacing w:after="0"/>
            </w:pPr>
            <w:r/>
            <w:r>
              <w:rPr>
                <w:rFonts w:ascii="Lato" w:hAnsi="Lato"/>
                <w:b w:val="0"/>
                <w:sz w:val="15"/>
              </w:rPr>
              <w:t>0.357</w:t>
            </w:r>
          </w:p>
        </w:tc>
        <w:tc>
          <w:tcPr>
            <w:tcW w:type="dxa" w:w="1008"/>
            <w:vAlign w:val="center"/>
          </w:tcPr>
          <w:p>
            <w:pPr>
              <w:spacing w:after="0"/>
            </w:pPr>
            <w:r/>
            <w:r>
              <w:rPr>
                <w:rFonts w:ascii="Lato" w:hAnsi="Lato"/>
                <w:b w:val="0"/>
                <w:sz w:val="15"/>
              </w:rPr>
              <w:t>0.796</w:t>
            </w:r>
          </w:p>
        </w:tc>
        <w:tc>
          <w:tcPr>
            <w:tcW w:type="dxa" w:w="1152"/>
            <w:vAlign w:val="center"/>
          </w:tcPr>
          <w:p>
            <w:pPr>
              <w:spacing w:after="0"/>
            </w:pPr>
            <w:r/>
            <w:r>
              <w:rPr>
                <w:rFonts w:ascii="Lato" w:hAnsi="Lato"/>
                <w:b w:val="0"/>
                <w:sz w:val="15"/>
              </w:rPr>
              <w:t>0.852</w:t>
            </w:r>
          </w:p>
        </w:tc>
      </w:tr>
      <w:tr>
        <w:tc>
          <w:tcPr>
            <w:tcW w:type="dxa" w:w="3384"/>
            <w:vAlign w:val="center"/>
            <w:shd w:fill="F3F6F8"/>
          </w:tcPr>
          <w:p>
            <w:pPr>
              <w:spacing w:after="0"/>
            </w:pPr>
            <w:r/>
            <w:r>
              <w:rPr>
                <w:rFonts w:ascii="Lato" w:hAnsi="Lato"/>
                <w:b w:val="0"/>
                <w:sz w:val="15"/>
              </w:rPr>
              <w:t>Cloud control plane</w:t>
            </w:r>
          </w:p>
        </w:tc>
        <w:tc>
          <w:tcPr>
            <w:tcW w:type="dxa" w:w="1008"/>
            <w:vAlign w:val="center"/>
            <w:shd w:fill="F3F6F8"/>
          </w:tcPr>
          <w:p>
            <w:pPr>
              <w:spacing w:after="0"/>
            </w:pPr>
            <w:r/>
            <w:r>
              <w:rPr>
                <w:rFonts w:ascii="Lato" w:hAnsi="Lato"/>
                <w:b w:val="0"/>
                <w:sz w:val="15"/>
              </w:rPr>
              <w:t>0.232</w:t>
            </w:r>
          </w:p>
        </w:tc>
        <w:tc>
          <w:tcPr>
            <w:tcW w:type="dxa" w:w="1080"/>
            <w:vAlign w:val="center"/>
            <w:shd w:fill="F3F6F8"/>
          </w:tcPr>
          <w:p>
            <w:pPr>
              <w:spacing w:after="0"/>
            </w:pPr>
            <w:r/>
            <w:r>
              <w:rPr>
                <w:rFonts w:ascii="Lato" w:hAnsi="Lato"/>
                <w:b w:val="0"/>
                <w:sz w:val="15"/>
              </w:rPr>
              <w:t>0.267</w:t>
            </w:r>
          </w:p>
        </w:tc>
        <w:tc>
          <w:tcPr>
            <w:tcW w:type="dxa" w:w="1008"/>
            <w:vAlign w:val="center"/>
            <w:shd w:fill="F3F6F8"/>
          </w:tcPr>
          <w:p>
            <w:pPr>
              <w:spacing w:after="0"/>
            </w:pPr>
            <w:r/>
            <w:r>
              <w:rPr>
                <w:rFonts w:ascii="Lato" w:hAnsi="Lato"/>
                <w:b w:val="0"/>
                <w:sz w:val="15"/>
              </w:rPr>
              <w:t>0.870</w:t>
            </w:r>
          </w:p>
        </w:tc>
        <w:tc>
          <w:tcPr>
            <w:tcW w:type="dxa" w:w="1152"/>
            <w:vAlign w:val="center"/>
            <w:shd w:fill="F3F6F8"/>
          </w:tcPr>
          <w:p>
            <w:pPr>
              <w:spacing w:after="0"/>
            </w:pPr>
            <w:r/>
            <w:r>
              <w:rPr>
                <w:rFonts w:ascii="Lato" w:hAnsi="Lato"/>
                <w:b w:val="0"/>
                <w:sz w:val="15"/>
              </w:rPr>
              <w:t>0.896</w:t>
            </w:r>
          </w:p>
        </w:tc>
      </w:tr>
    </w:tbl>
    <w:p>
      <w:pPr>
        <w:spacing w:after="0"/>
      </w:pPr>
    </w:p>
    <w:p>
      <w:pPr>
        <w:keepNext/>
        <w:jc w:val="center"/>
      </w:pPr>
      <w:r>
        <w:drawing>
          <wp:inline xmlns:a="http://schemas.openxmlformats.org/drawingml/2006/main" xmlns:pic="http://schemas.openxmlformats.org/drawingml/2006/picture">
            <wp:extent cx="5212080" cy="3243719"/>
            <wp:docPr id="8" name="Picture 8" title="Figure 10 Default scenario dimensions" descr="Horizontal bar chart of default synthetic scenario risk dimensions, with credential risk highest and progressively lower data, availability, physical, API, vendor, endpoint, cloud, and identity scores."/>
            <wp:cNvGraphicFramePr>
              <a:graphicFrameLocks noChangeAspect="1"/>
            </wp:cNvGraphicFramePr>
            <a:graphic>
              <a:graphicData uri="http://schemas.openxmlformats.org/drawingml/2006/picture">
                <pic:pic>
                  <pic:nvPicPr>
                    <pic:cNvPr id="0" name="figure_10_dimension_scores.png"/>
                    <pic:cNvPicPr/>
                  </pic:nvPicPr>
                  <pic:blipFill>
                    <a:blip r:embed="rId18"/>
                    <a:stretch>
                      <a:fillRect/>
                    </a:stretch>
                  </pic:blipFill>
                  <pic:spPr>
                    <a:xfrm>
                      <a:off x="0" y="0"/>
                      <a:ext cx="5212080" cy="3243719"/>
                    </a:xfrm>
                    <a:prstGeom prst="rect"/>
                  </pic:spPr>
                </pic:pic>
              </a:graphicData>
            </a:graphic>
          </wp:inline>
        </w:drawing>
      </w:r>
    </w:p>
    <w:p>
      <w:pPr>
        <w:spacing w:after="160"/>
        <w:jc w:val="center"/>
      </w:pPr>
      <w:r>
        <w:rPr>
          <w:i/>
          <w:color w:val="666666"/>
          <w:sz w:val="17"/>
        </w:rPr>
        <w:t>Figure 10. Default synthetic scenario dimension scores.</w:t>
      </w:r>
    </w:p>
    <w:p>
      <w:pPr>
        <w:pStyle w:val="Heading2"/>
      </w:pPr>
      <w:r>
        <w:t>18.2 Ablation and runtime findings</w:t>
      </w:r>
    </w:p>
    <w:p>
      <w:r>
        <w:t>The experiments show expected directional behavior for control, graph, and telemetry inputs while also revealing that the current risk index is largely analytical rather than seed-sensitive. The design becomes useful only when the claim can be traced and challenged. CyberForge treats the statement as a design hypothesis that must be represented in data, implemented in code, and evaluated through reproducible tests. The relevant mechanism includes mean runtime increased from about 3.3 ms at 1,000 worlds to 23.2 ms at 50,000 worlds, overall risk fell from 0.471 at uniform control 0.30 to 0.231 at control 0.90, and median affected-equivalent share fell sharply at high control. These elements are not interchangeable: each introduces a different source of evidence, uncertainty, and potential error. The design is grounded in the project source and in established guidance on digital twins, risk management, AI assurance, and cybersecurity controls [R1][R31][R32]. Throughout this paper, the term ‘risk’ refers to a comparative planning index unless an empirical calibration study is explicitly described.</w:t>
      </w:r>
    </w:p>
    <w:p>
      <w:r>
        <w:t>The system implements the idea through a sequence of bounded transformations. First, it must mean runtime increased from about 3.3 ms at 1,000 worlds to 23.2 ms at 50,000 worlds; second, it must overall risk fell from 0.471 at uniform control 0.30 to 0.231 at control 0.90; and third, it must median affected-equivalent share fell sharply at high control. Where additional mechanisms are present, the implementation also has to strong links increased risk above the default graph and higher telemetry confidence reduced uncertainty-related risk and increased finding confidence.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Directional monotonicity supports implementation sanity; runtime is suitable for interactive synthetic studies; and determinism improves auditability but limits probabilistic variation in the index itself.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The telemetry-confidence experiment also showed noisy wall-clock timing at the highest level due to the small absolute runtimes and host scheduling. The result illustrates why microbenchmarks need repeated controlled environments.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confidence intervals across machines, profiled component timing, random scenario generation, and calibration against observed exercises.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overinterpreting tiny runtime differences, confusing monotonicity with validity, and reporting synthetic sensitivity as predictive accuracy.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state what was measured, expand scenario diversity, and add preregistered acceptance thresholds.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keepNext/>
        <w:jc w:val="center"/>
      </w:pPr>
      <w:r>
        <w:drawing>
          <wp:inline xmlns:a="http://schemas.openxmlformats.org/drawingml/2006/main" xmlns:pic="http://schemas.openxmlformats.org/drawingml/2006/picture">
            <wp:extent cx="5212080" cy="3530764"/>
            <wp:docPr id="9" name="Picture 9" title="Figure 7 Control-strength ablation" descr="Line chart showing modeled overall risk and median affected-equivalent share decreasing as uniform control strength increases."/>
            <wp:cNvGraphicFramePr>
              <a:graphicFrameLocks noChangeAspect="1"/>
            </wp:cNvGraphicFramePr>
            <a:graphic>
              <a:graphicData uri="http://schemas.openxmlformats.org/drawingml/2006/picture">
                <pic:pic>
                  <pic:nvPicPr>
                    <pic:cNvPr id="0" name="figure_07_control_ablation.png"/>
                    <pic:cNvPicPr/>
                  </pic:nvPicPr>
                  <pic:blipFill>
                    <a:blip r:embed="rId19"/>
                    <a:stretch>
                      <a:fillRect/>
                    </a:stretch>
                  </pic:blipFill>
                  <pic:spPr>
                    <a:xfrm>
                      <a:off x="0" y="0"/>
                      <a:ext cx="5212080" cy="3530764"/>
                    </a:xfrm>
                    <a:prstGeom prst="rect"/>
                  </pic:spPr>
                </pic:pic>
              </a:graphicData>
            </a:graphic>
          </wp:inline>
        </w:drawing>
      </w:r>
    </w:p>
    <w:p>
      <w:pPr>
        <w:spacing w:after="160"/>
        <w:jc w:val="center"/>
      </w:pPr>
      <w:r>
        <w:rPr>
          <w:i/>
          <w:color w:val="666666"/>
          <w:sz w:val="17"/>
        </w:rPr>
        <w:t>Figure 7. Uniform control-strength ablation.</w:t>
      </w:r>
    </w:p>
    <w:p>
      <w:pPr>
        <w:keepNext/>
        <w:jc w:val="center"/>
      </w:pPr>
      <w:r>
        <w:drawing>
          <wp:inline xmlns:a="http://schemas.openxmlformats.org/drawingml/2006/main" xmlns:pic="http://schemas.openxmlformats.org/drawingml/2006/picture">
            <wp:extent cx="5212080" cy="3348202"/>
            <wp:docPr id="10" name="Picture 10" title="Figure 8 Trust-graph ablation" descr="Bar chart comparing overall risk and top-path pressure under no links, weak links, default links, and strong links."/>
            <wp:cNvGraphicFramePr>
              <a:graphicFrameLocks noChangeAspect="1"/>
            </wp:cNvGraphicFramePr>
            <a:graphic>
              <a:graphicData uri="http://schemas.openxmlformats.org/drawingml/2006/picture">
                <pic:pic>
                  <pic:nvPicPr>
                    <pic:cNvPr id="0" name="figure_08_graph_ablation.png"/>
                    <pic:cNvPicPr/>
                  </pic:nvPicPr>
                  <pic:blipFill>
                    <a:blip r:embed="rId20"/>
                    <a:stretch>
                      <a:fillRect/>
                    </a:stretch>
                  </pic:blipFill>
                  <pic:spPr>
                    <a:xfrm>
                      <a:off x="0" y="0"/>
                      <a:ext cx="5212080" cy="3348202"/>
                    </a:xfrm>
                    <a:prstGeom prst="rect"/>
                  </pic:spPr>
                </pic:pic>
              </a:graphicData>
            </a:graphic>
          </wp:inline>
        </w:drawing>
      </w:r>
    </w:p>
    <w:p>
      <w:pPr>
        <w:spacing w:after="160"/>
        <w:jc w:val="center"/>
      </w:pPr>
      <w:r>
        <w:rPr>
          <w:i/>
          <w:color w:val="666666"/>
          <w:sz w:val="17"/>
        </w:rPr>
        <w:t>Figure 8. Trust-graph ablation.</w:t>
      </w:r>
    </w:p>
    <w:p>
      <w:pPr>
        <w:keepNext/>
        <w:jc w:val="center"/>
      </w:pPr>
      <w:r>
        <w:drawing>
          <wp:inline xmlns:a="http://schemas.openxmlformats.org/drawingml/2006/main" xmlns:pic="http://schemas.openxmlformats.org/drawingml/2006/picture">
            <wp:extent cx="5212080" cy="3530764"/>
            <wp:docPr id="11" name="Picture 11" title="Figure 9 Telemetry-confidence ablation" descr="Line chart showing overall modeled risk decreasing while mean finding confidence increases as telemetry-confidence input rises."/>
            <wp:cNvGraphicFramePr>
              <a:graphicFrameLocks noChangeAspect="1"/>
            </wp:cNvGraphicFramePr>
            <a:graphic>
              <a:graphicData uri="http://schemas.openxmlformats.org/drawingml/2006/picture">
                <pic:pic>
                  <pic:nvPicPr>
                    <pic:cNvPr id="0" name="figure_09_telemetry_ablation.png"/>
                    <pic:cNvPicPr/>
                  </pic:nvPicPr>
                  <pic:blipFill>
                    <a:blip r:embed="rId21"/>
                    <a:stretch>
                      <a:fillRect/>
                    </a:stretch>
                  </pic:blipFill>
                  <pic:spPr>
                    <a:xfrm>
                      <a:off x="0" y="0"/>
                      <a:ext cx="5212080" cy="3530764"/>
                    </a:xfrm>
                    <a:prstGeom prst="rect"/>
                  </pic:spPr>
                </pic:pic>
              </a:graphicData>
            </a:graphic>
          </wp:inline>
        </w:drawing>
      </w:r>
    </w:p>
    <w:p>
      <w:pPr>
        <w:spacing w:after="160"/>
        <w:jc w:val="center"/>
      </w:pPr>
      <w:r>
        <w:rPr>
          <w:i/>
          <w:color w:val="666666"/>
          <w:sz w:val="17"/>
        </w:rPr>
        <w:t>Figure 9. Telemetry-confidence ablation.</w:t>
      </w:r>
    </w:p>
    <w:p>
      <w:pPr>
        <w:pStyle w:val="Heading2"/>
      </w:pPr>
      <w:r>
        <w:t>Chapter Research and Implementation Exercises</w:t>
      </w:r>
    </w:p>
    <w:p>
      <w:pPr>
        <w:pStyle w:val="ListNumber"/>
      </w:pPr>
      <w:r>
        <w:t>Interpret the control-ablation curve without claiming predictive accuracy.</w:t>
      </w:r>
    </w:p>
    <w:p>
      <w:pPr>
        <w:pStyle w:val="ListNumber"/>
      </w:pPr>
      <w:r>
        <w:t>Identify one saturation problem in the default output.</w:t>
      </w:r>
    </w:p>
    <w:p>
      <w:pPr>
        <w:pStyle w:val="ListNumber"/>
      </w:pPr>
      <w:r>
        <w:t>Propose a benchmark that would test real operational usefulness.</w:t>
      </w:r>
    </w:p>
    <w:p>
      <w:pPr>
        <w:pStyle w:val="Heading2"/>
      </w:pPr>
      <w:r>
        <w:t>Chapter Takeaways</w:t>
      </w:r>
    </w:p>
    <w:p>
      <w:r>
        <w:t>Chapter 18 establishes that the current source package passed all eleven Python tests and produced a complete offline report without local or cloud models, demonstrating graceful baseline operation. The implementation consequence is to calibrate priors, while the research consequence is to measure test coverage expansion. The chapter also shows why directional monotonicity supports implementation sanity and why a defensible deployment must explicitly guard against overinterpreting tiny runtime differences.</w:t>
      </w:r>
    </w:p>
    <w:p>
      <w:r>
        <w:br w:type="page"/>
      </w:r>
    </w:p>
    <w:p>
      <w:pPr>
        <w:pStyle w:val="Heading1"/>
      </w:pPr>
      <w:r>
        <w:t>Chapter 19. Failure Modes, Calibration, and Security Limitations</w:t>
      </w:r>
    </w:p>
    <w:p>
      <w:r>
        <w:t>Catalogs model, simulation, cryptographic, operational, and governance failures and proposes mitigations.</w:t>
      </w:r>
    </w:p>
    <w:p>
      <w:pPr>
        <w:pStyle w:val="Heading2"/>
      </w:pPr>
      <w:r>
        <w:t>19.1 Model and simulation failure modes</w:t>
      </w:r>
    </w:p>
    <w:p>
      <w:r>
        <w:t>CyberForge can fail through wrong priors, incomplete topology, prompt injection, hallucinated synthesis, shared model bias, uncalibrated scores, or operator misinterpretation even when the software behaves exactly as implemented. This is also where many security dashboards become misleading. CyberForge treats the statement as a design hypothesis that must be represented in data, implemented in code, and evaluated through reproducible tests. The relevant mechanism includes priors may encode stale assumptions, missing edges hide systemic dependencies, and local quantization may reduce reasoning quality. These elements are not interchangeable: each introduces a different source of evidence, uncertainty, and potential error. The design is grounded in the project source and in established guidance on digital twins, risk management, AI assurance, and cybersecurity controls [R6][R29][R30][R32][R33]. Throughout this paper, the term ‘risk’ refers to a comparative planning index unless an empirical calibration study is explicitly described.</w:t>
      </w:r>
    </w:p>
    <w:p>
      <w:r>
        <w:t>The system implements the idea through a sequence of bounded transformations. First, it must priors may encode stale assumptions; second, it must missing edges hide systemic dependencies; and third, it must local quantization may reduce reasoning quality. Where additional mechanisms are present, the implementation also has to cloud models may share correlated errors, confidence may reflect input quality rather than empirical calibration, and visual polish may increase unwarranted trust.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Risk systems are socio-technical instruments; uncertainty display does not eliminate cognitive bias; and model diversity is not independence.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model council may unanimously recommend a control because the redacted packet emphasizes one dimension. Without checking omitted evidence and scenario construction, unanimity can amplify the author’s assumptions.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expert blind review, calibration against exercises, counterfactual scenario testing, adversarial prompt tests, and user comprehension studies.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automation bias, confirmation bias, metric gaming, and silent provider version changes.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preserve raw inputs, show disagreement, record model versions, and require human approval.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19.2 Cryptographic and endpoint limitations</w:t>
      </w:r>
    </w:p>
    <w:p>
      <w:r>
        <w:t>Cryptographic controls reduce exposure but cannot secure a fully compromised endpoint, guarantee memory erasure, validate every native dependency, or make a cloud provider invisible. A defensible implementation must preserve this separation throughout the pipeline. CyberForge treats the statement as a design hypothesis that must be represented in data, implemented in code, and evaluated through reproducible tests. The relevant mechanism includes unlocked secrets exist in process memory, remote providers learn that requests occur, and regex redaction misses unknown formats. These elements are not interchangeable: each introduces a different source of evidence, uncertainty, and potential error. The design is grounded in the project source and in established guidance on digital twins, risk management, AI assurance, and cybersecurity controls [R1][R14][R15][R17][R37]. Throughout this paper, the term ‘risk’ refers to a comparative planning index unless an empirical calibration study is explicitly described.</w:t>
      </w:r>
    </w:p>
    <w:p>
      <w:r>
        <w:t>The system implements the idea through a sequence of bounded transformations. First, it must unlocked secrets exist in process memory; second, it must remote providers learn that requests occur; and third, it must regex redaction misses unknown formats. Where additional mechanisms are present, the implementation also has to temporary files may persist at the storage layer, native model runtimes enlarge the attack surface, and PQ support depends on implementation quality.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Precise residual-risk statements are part of secure design; defense in depth requires operating-system and deployment controls; and cryptography cannot compensate for authorization failure.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device with malware running under the user account may capture a provider key during use even though the key is encrypted at rest. The appropriate response is endpoint hardening, session minimization, provider-side restrictions, and key rotation.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endpoint threat modeling, secret-use telemetry, dependency scanning, incident drills, and restore testing.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security theater, unsafe debug builds, overbroad provider keys, and unpatched native libraries.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least-privilege tokens, loopback binding, read-only containers, and rapid lock and rotation.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Create a failure-mode and effects analysis for one scanner stage.</w:t>
      </w:r>
    </w:p>
    <w:p>
      <w:pPr>
        <w:pStyle w:val="ListNumber"/>
      </w:pPr>
      <w:r>
        <w:t>Explain why multi-model agreement can increase risk.</w:t>
      </w:r>
    </w:p>
    <w:p>
      <w:pPr>
        <w:pStyle w:val="ListNumber"/>
      </w:pPr>
      <w:r>
        <w:t>Design an endpoint-compromise response for the provider vault.</w:t>
      </w:r>
    </w:p>
    <w:p>
      <w:pPr>
        <w:pStyle w:val="Heading2"/>
      </w:pPr>
      <w:r>
        <w:t>Chapter Takeaways</w:t>
      </w:r>
    </w:p>
    <w:p>
      <w:r>
        <w:t>Chapter 19 establishes that cyberForge can fail through wrong priors, incomplete topology, prompt injection, hallucinated synthesis, shared model bias, uncalibrated scores, or operator misinterpretation even when the software behaves exactly as implemented. The implementation consequence is to preserve raw inputs, while the research consequence is to measure expert blind review. The chapter also shows why precise residual-risk statements are part of secure design and why a defensible deployment must explicitly guard against security theater.</w:t>
      </w:r>
    </w:p>
    <w:p>
      <w:r>
        <w:br w:type="page"/>
      </w:r>
    </w:p>
    <w:p>
      <w:pPr>
        <w:pStyle w:val="Heading1"/>
      </w:pPr>
      <w:r>
        <w:t>Chapter 20. Operational Deployment, Research Roadmap, and Conclusion</w:t>
      </w:r>
    </w:p>
    <w:p>
      <w:r>
        <w:t>Converts the architecture into blue-team workflows and identifies the experiments required before stronger claims are justified.</w:t>
      </w:r>
    </w:p>
    <w:p>
      <w:pPr>
        <w:pStyle w:val="Heading2"/>
      </w:pPr>
      <w:r>
        <w:t>20.1 Deployment patterns and blue-team workflows</w:t>
      </w:r>
    </w:p>
    <w:p>
      <w:r>
        <w:t>CyberForge is best deployed as a planning and tabletop instrument integrated with governance, control assessment, incident response, and evidence collection rather than as an autonomous security operator. The practical consequence is significant. CyberForge treats the statement as a design hypothesis that must be represented in data, implemented in code, and evaluated through reproducible tests. The relevant mechanism includes baseline posture review, change-impact simulation, and supplier assurance review. These elements are not interchangeable: each introduces a different source of evidence, uncertainty, and potential error. The design is grounded in the project source and in established guidance on digital twins, risk management, AI assurance, and cybersecurity controls [R5][R8][R10][R35]. Throughout this paper, the term ‘risk’ refers to a comparative planning index unless an empirical calibration study is explicitly described.</w:t>
      </w:r>
    </w:p>
    <w:p>
      <w:r>
        <w:t>The system implements the idea through a sequence of bounded transformations. First, it must baseline posture review; second, it must change-impact simulation; and third, it must supplier assurance review. Where additional mechanisms are present, the implementation also has to phishing-resilience planning, physical-cyber dependency tabletop, incident recovery prioritization, and control evidence backlog.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Integration with CSF and SP 800-53 makes findings actionable; local-only mode supports sensitive and disconnected settings; and repeatable scenarios support before-and-after comparison.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A monthly review can import abstract control evidence, rerun the prior scenario, inspect changed paths, and assign evidence requests. During an incident, a separate scenario can explore recovery dependencies without claiming forensic facts.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decision lead time, evidence closure rate, control implementation follow-through, user comprehension, and false-priority rate.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using the simulator as a live attack console, uncontrolled scenario proliferation, and scores replacing control owners.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assign scenario owners, define retention and review cadence, and connect every priority to a verification task.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20.2 Research roadmap and conclusion</w:t>
      </w:r>
    </w:p>
    <w:p>
      <w:r>
        <w:t>The most important next step is not adding more cinematic capability but validating calibration, human usefulness, model contribution, and security under realistic authorized studies. This distinction matters operationally. CyberForge treats the statement as a design hypothesis that must be represented in data, implemented in code, and evaluated through reproducible tests. The relevant mechanism includes develop sector-specific but interoperable overlays, collect anonymized exercise outcomes, and evaluate local models on curated defensive datasets. These elements are not interchangeable: each introduces a different source of evidence, uncertainty, and potential error. The design is grounded in the project source and in established guidance on digital twins, risk management, AI assurance, and cybersecurity controls [R1][R4][R5][R6]. Throughout this paper, the term ‘risk’ refers to a comparative planning index unless an empirical calibration study is explicitly described.</w:t>
      </w:r>
    </w:p>
    <w:p>
      <w:r>
        <w:t>The system implements the idea through a sequence of bounded transformations. First, it must develop sector-specific but interoperable overlays; second, it must collect anonymized exercise outcomes; and third, it must evaluate local models on curated defensive datasets. Where additional mechanisms are present, the implementation also has to measure council marginal value, add OSCAL export, support signed scenario and report attestations, and conduct usability and automation-bias studies. The sequence is important because later stages inherit the errors and permissions of earlier stages. A malformed identifier, an unjustified confidence value, or an unredacted secret can propagate through simulation and model synthesis even when every downstream component is functioning correctly. For that reason, CyberForge favors explicit schemas, small interfaces, immutable report artifacts, and stage-specific failure states over a single opaque prompt.</w:t>
      </w:r>
    </w:p>
    <w:p>
      <w:r>
        <w:t>The rationale for this design has several layers. Stronger evidence can convert a design study into an evaluated instrument; negative results should remove unnecessary complexity; and open schemas enable independent implementations. These reasons explain why the platform is local-first rather than cloud-dependent and why it records disagreement instead of presenting one authoritative answer. Security decision support is most valuable when it helps a reviewer decide what to verify next. It is least valuable when it replaces missing evidence with fluent language. Accordingly, the system is designed to produce control hypotheses, evidence requests, sensitivity information, and bounded impact estimates rather than operational claims about an adversary.</w:t>
      </w:r>
    </w:p>
    <w:p>
      <w:r>
        <w:t>A concrete example illustrates the intended semantics. CyberForge’s principal contribution is an architecture for disciplined uncertainty: it creates a place where inventories, controls, dependencies, models, simulations, and evidence requests can meet without pretending that computation has already discovered the truth. The example is deliberately framed around defensive state and operational consequence. It does not require exploit reproduction, credential collection, deceptive content, or physical-entry procedures. This matters because a simulator can be technically sophisticated while still being unsafe if its examples teach the very actions it claims to analyze. CyberForge instead asks which controls would reduce the modeled pressure, which logs or assessments would reduce uncertainty, and which dependencies should be exercised in a tabletop or recovery drill.</w:t>
      </w:r>
    </w:p>
    <w:p>
      <w:r>
        <w:t>Evaluation should focus on observable properties rather than presentation quality. Relevant measures include multi-site pilot studies, pre-registered benchmarks, external code audit, cryptographic interoperability, and longitudinal calibration. No single metric is sufficient. A deterministic report can be reproducible but wrong; an accurate recommendation can be impossible to trace; and a secure local model can still generate an unhelpful narrative. The research program therefore combines code tests, schema tests, ablations, performance measurements, expert review, and—where authorized evidence is available—calibration against later observations. Each evaluation result must state the hardware, software version, scenario, seed, baseline, and statistical treatment used.</w:t>
      </w:r>
    </w:p>
    <w:p>
      <w:r>
        <w:t>The principal failure modes are expanding scope before validation, chasing model versions, and turning metaphor into unsupported scientific claims. These are not edge cases. They are predictable consequences of using abstract scores, generative models, and incomplete representations in a high-consequence domain. The architecture must therefore be judged partly by how visibly it fails. Provider errors should appear as failed opinions rather than disappear; wide impact ranges should remain wide; and missing evidence should reduce confidence rather than trigger invented detail. When a claim cannot be supported, the correct output is a limitation or evidence request.</w:t>
      </w:r>
    </w:p>
    <w:p>
      <w:r>
        <w:t>The resulting design rules are straightforward to state but demanding to maintain: prioritize falsifiability, keep local-first and offline operation, and retain the no-attribution boundary. These rules translate the chapter’s argument into implementation criteria. A code review can ask whether the rule is enforced, a test can attempt to violate it, and an operator can see whether the report communicates it. This makes the paper’s architecture falsifiable: a future implementation that silently sends raw scenarios to cloud models, hides dissent, or reports attribution from simulation would not merely be a different configuration; it would violate the stated system model.</w:t>
      </w:r>
    </w:p>
    <w:p>
      <w:r>
        <w:t>A further implication concerns institutional learning. When the platform stores only a final severity label, the organization cannot distinguish improved controls from changed assumptions or changed model behavior. When it stores the scenario version, evidence links, numerical components, model identities, and report digest, the same analysis becomes a longitudinal research object. Reviewers can compare quarters, reproduce prior outputs, identify model drift, and audit why a priority moved. The objective is not to freeze the environment into a perfect twin; it is to create a disciplined record of what was believed, why it was believed, what was simulated, and what evidence later confirmed or rejected the hypothesis.</w:t>
      </w:r>
    </w:p>
    <w:p>
      <w:pPr>
        <w:pStyle w:val="Heading2"/>
      </w:pPr>
      <w:r>
        <w:t>Chapter Research and Implementation Exercises</w:t>
      </w:r>
    </w:p>
    <w:p>
      <w:pPr>
        <w:pStyle w:val="ListNumber"/>
      </w:pPr>
      <w:r>
        <w:t>Write a six-month pilot protocol for an authorized organization.</w:t>
      </w:r>
    </w:p>
    <w:p>
      <w:pPr>
        <w:pStyle w:val="ListNumber"/>
      </w:pPr>
      <w:r>
        <w:t>Choose one component that should be removed if it adds no measured value.</w:t>
      </w:r>
    </w:p>
    <w:p>
      <w:pPr>
        <w:pStyle w:val="ListNumber"/>
      </w:pPr>
      <w:r>
        <w:t>State the strongest claim the current evidence supports and one claim it does not support.</w:t>
      </w:r>
    </w:p>
    <w:p>
      <w:pPr>
        <w:pStyle w:val="Heading2"/>
      </w:pPr>
      <w:r>
        <w:t>Chapter Takeaways</w:t>
      </w:r>
    </w:p>
    <w:p>
      <w:r>
        <w:t>Chapter 20 establishes that cyberForge is best deployed as a planning and tabletop instrument integrated with governance, control assessment, incident response, and evidence collection rather than as an autonomous security operator. The implementation consequence is to assign scenario owners, while the research consequence is to measure decision lead time. The chapter also shows why stronger evidence can convert a design study into an evaluated instrument and why a defensible deployment must explicitly guard against expanding scope before validation.</w:t>
      </w:r>
    </w:p>
    <w:p>
      <w:r>
        <w:br w:type="page"/>
      </w:r>
    </w:p>
    <w:p>
      <w:pPr>
        <w:pStyle w:val="Heading1"/>
      </w:pPr>
      <w:r>
        <w:t>Appendix A. Mathematical Definitions and Pseudocode</w:t>
      </w:r>
    </w:p>
    <w:p>
      <w:r>
        <w:t>This appendix collects the explicit mathematical and algorithmic objects needed to reproduce or replace the current engine. The equations are design definitions, not calibrated laws of cyber incidents.</w:t>
      </w:r>
    </w:p>
    <w:p>
      <w:pPr>
        <w:spacing w:before="120" w:after="120"/>
        <w:jc w:val="center"/>
      </w:pPr>
      <w:r>
        <w:rPr>
          <w:rFonts w:ascii="DejaVu Serif" w:hAnsi="DejaVu Serif"/>
          <w:i/>
          <w:sz w:val="21"/>
        </w:rPr>
        <w:t>V = {v_1, …, v_n},  E ⊆ V × V × T    (A1)</w:t>
      </w:r>
    </w:p>
    <w:p>
      <w:pPr>
        <w:spacing w:before="120" w:after="120"/>
        <w:jc w:val="center"/>
      </w:pPr>
      <w:r>
        <w:rPr>
          <w:rFonts w:ascii="DejaVu Serif" w:hAnsi="DejaVu Serif"/>
          <w:i/>
          <w:sz w:val="21"/>
        </w:rPr>
        <w:t>d_i = 1 - s_i  (control deficit)    (A2)</w:t>
      </w:r>
    </w:p>
    <w:p>
      <w:pPr>
        <w:spacing w:before="120" w:after="120"/>
        <w:jc w:val="center"/>
      </w:pPr>
      <w:r>
        <w:rPr>
          <w:rFonts w:ascii="DejaVu Serif" w:hAnsi="DejaVu Serif"/>
          <w:i/>
          <w:sz w:val="21"/>
        </w:rPr>
        <w:t>u_i = 1 - q_i  (evidence uncertainty)    (A3)</w:t>
      </w:r>
    </w:p>
    <w:p>
      <w:pPr>
        <w:spacing w:before="120" w:after="120"/>
        <w:jc w:val="center"/>
      </w:pPr>
      <w:r>
        <w:rPr>
          <w:rFonts w:ascii="DejaVu Serif" w:hAnsi="DejaVu Serif"/>
          <w:i/>
          <w:sz w:val="21"/>
        </w:rPr>
        <w:t>b_i = clip(c_i(w_e e_i + w_d d_i + w_h h_i + w_u u_i), 0, 1)    (A4)</w:t>
      </w:r>
    </w:p>
    <w:p>
      <w:pPr>
        <w:spacing w:before="120" w:after="120"/>
        <w:jc w:val="center"/>
      </w:pPr>
      <w:r>
        <w:rPr>
          <w:rFonts w:ascii="DejaVu Serif" w:hAnsi="DejaVu Serif"/>
          <w:i/>
          <w:sz w:val="21"/>
        </w:rPr>
        <w:t>a_{ji} = p_j τ_{ji}(1 - κ_{ji})    (A5)</w:t>
      </w:r>
    </w:p>
    <w:p>
      <w:pPr>
        <w:spacing w:before="120" w:after="120"/>
        <w:jc w:val="center"/>
      </w:pPr>
      <w:r>
        <w:rPr>
          <w:rFonts w:ascii="DejaVu Serif" w:hAnsi="DejaVu Serif"/>
          <w:i/>
          <w:sz w:val="21"/>
        </w:rPr>
        <w:t>p_i^{t+1} = clip(b_i + α Σ_{j:(j,i)∈E} a_{ji}^{t}, 0, 1)    (A6)</w:t>
      </w:r>
    </w:p>
    <w:p>
      <w:pPr>
        <w:spacing w:before="120" w:after="120"/>
        <w:jc w:val="center"/>
      </w:pPr>
      <w:r>
        <w:rPr>
          <w:rFonts w:ascii="DejaVu Serif" w:hAnsi="DejaVu Serif"/>
          <w:i/>
          <w:sz w:val="21"/>
        </w:rPr>
        <w:t>I^{(m)} = Σ_i n_i c_i Z_i^{(m)}    (A7)</w:t>
      </w:r>
    </w:p>
    <w:p>
      <w:pPr>
        <w:spacing w:before="120" w:after="120"/>
        <w:jc w:val="center"/>
      </w:pPr>
      <w:r>
        <w:rPr>
          <w:rFonts w:ascii="DejaVu Serif" w:hAnsi="DejaVu Serif"/>
          <w:i/>
          <w:sz w:val="21"/>
        </w:rPr>
        <w:t>R = Σ_d ω_d r_d,  Σ_d ω_d = 1    (A8)</w:t>
      </w:r>
    </w:p>
    <w:p>
      <w:pPr>
        <w:pStyle w:val="CodeBlock"/>
      </w:pPr>
      <w:r>
        <w:rPr>
          <w:rFonts w:ascii="Liberation Mono" w:hAnsi="Liberation Mono"/>
          <w:sz w:val="16"/>
        </w:rPr>
        <w:t>function SUPER_SCAN(scenario, seed, worlds):</w:t>
        <w:br/>
      </w:r>
      <w:r>
        <w:rPr>
          <w:rFonts w:ascii="Liberation Mono" w:hAnsi="Liberation Mono"/>
          <w:sz w:val="16"/>
        </w:rPr>
        <w:t xml:space="preserve">    require_authorization(scenario.authorization)</w:t>
        <w:br/>
      </w:r>
      <w:r>
        <w:rPr>
          <w:rFonts w:ascii="Liberation Mono" w:hAnsi="Liberation Mono"/>
          <w:sz w:val="16"/>
        </w:rPr>
        <w:t xml:space="preserve">    inspect_intent(scenario)</w:t>
        <w:br/>
      </w:r>
      <w:r>
        <w:rPr>
          <w:rFonts w:ascii="Liberation Mono" w:hAnsi="Liberation Mono"/>
          <w:sz w:val="16"/>
        </w:rPr>
        <w:t xml:space="preserve">    normalized = validate_and_normalize(scenario)</w:t>
        <w:br/>
      </w:r>
      <w:r>
        <w:rPr>
          <w:rFonts w:ascii="Liberation Mono" w:hAnsi="Liberation Mono"/>
          <w:sz w:val="16"/>
        </w:rPr>
        <w:t xml:space="preserve">    redacted = recursively_redact(normalized)</w:t>
        <w:br/>
      </w:r>
      <w:r>
        <w:rPr>
          <w:rFonts w:ascii="Liberation Mono" w:hAnsi="Liberation Mono"/>
          <w:sz w:val="16"/>
        </w:rPr>
        <w:br/>
      </w:r>
      <w:r>
        <w:rPr>
          <w:rFonts w:ascii="Liberation Mono" w:hAnsi="Liberation Mono"/>
          <w:sz w:val="16"/>
        </w:rPr>
        <w:t xml:space="preserve">    local_opinions = []</w:t>
        <w:br/>
      </w:r>
      <w:r>
        <w:rPr>
          <w:rFonts w:ascii="Liberation Mono" w:hAnsi="Liberation Mono"/>
          <w:sz w:val="16"/>
        </w:rPr>
        <w:t xml:space="preserve">    if llama_is_loaded:</w:t>
        <w:br/>
      </w:r>
      <w:r>
        <w:rPr>
          <w:rFonts w:ascii="Liberation Mono" w:hAnsi="Liberation Mono"/>
          <w:sz w:val="16"/>
        </w:rPr>
        <w:t xml:space="preserve">        for surface in highest_pressure_surfaces(redacted, limit=24):</w:t>
        <w:br/>
      </w:r>
      <w:r>
        <w:rPr>
          <w:rFonts w:ascii="Liberation Mono" w:hAnsi="Liberation Mono"/>
          <w:sz w:val="16"/>
        </w:rPr>
        <w:t xml:space="preserve">            local_opinions.append(parse_allowlisted_json(llama(surface)))</w:t>
        <w:br/>
      </w:r>
      <w:r>
        <w:rPr>
          <w:rFonts w:ascii="Liberation Mono" w:hAnsi="Liberation Mono"/>
          <w:sz w:val="16"/>
        </w:rPr>
        <w:br/>
      </w:r>
      <w:r>
        <w:rPr>
          <w:rFonts w:ascii="Liberation Mono" w:hAnsi="Liberation Mono"/>
          <w:sz w:val="16"/>
        </w:rPr>
        <w:t xml:space="preserve">    node_pressure = base_pressure(redacted.surfaces, local_opinions)</w:t>
        <w:br/>
      </w:r>
      <w:r>
        <w:rPr>
          <w:rFonts w:ascii="Liberation Mono" w:hAnsi="Liberation Mono"/>
          <w:sz w:val="16"/>
        </w:rPr>
        <w:t xml:space="preserve">    paths = bounded_message_passing(node_pressure, redacted.links, rounds=3)</w:t>
        <w:br/>
      </w:r>
      <w:r>
        <w:rPr>
          <w:rFonts w:ascii="Liberation Mono" w:hAnsi="Liberation Mono"/>
          <w:sz w:val="16"/>
        </w:rPr>
        <w:t xml:space="preserve">    distribution = monte_carlo(node_pressure, paths, worlds, seed)</w:t>
        <w:br/>
      </w:r>
      <w:r>
        <w:rPr>
          <w:rFonts w:ascii="Liberation Mono" w:hAnsi="Liberation Mono"/>
          <w:sz w:val="16"/>
        </w:rPr>
        <w:t xml:space="preserve">    numerical_report = summarize(distribution, paths, redacted)</w:t>
        <w:br/>
      </w:r>
      <w:r>
        <w:rPr>
          <w:rFonts w:ascii="Liberation Mono" w:hAnsi="Liberation Mono"/>
          <w:sz w:val="16"/>
        </w:rPr>
        <w:br/>
      </w:r>
      <w:r>
        <w:rPr>
          <w:rFonts w:ascii="Liberation Mono" w:hAnsi="Liberation Mono"/>
          <w:sz w:val="16"/>
        </w:rPr>
        <w:t xml:space="preserve">    if gemma_is_loaded:</w:t>
        <w:br/>
      </w:r>
      <w:r>
        <w:rPr>
          <w:rFonts w:ascii="Liberation Mono" w:hAnsi="Liberation Mono"/>
          <w:sz w:val="16"/>
        </w:rPr>
        <w:t xml:space="preserve">        numerical_report.local_synthesis = parse_allowlisted_json(gemma(numerical_report))</w:t>
        <w:br/>
      </w:r>
      <w:r>
        <w:rPr>
          <w:rFonts w:ascii="Liberation Mono" w:hAnsi="Liberation Mono"/>
          <w:sz w:val="16"/>
        </w:rPr>
        <w:br/>
      </w:r>
      <w:r>
        <w:rPr>
          <w:rFonts w:ascii="Liberation Mono" w:hAnsi="Liberation Mono"/>
          <w:sz w:val="16"/>
        </w:rPr>
        <w:t xml:space="preserve">    opinions = [offline_calibrator(numerical_report)]</w:t>
        <w:br/>
      </w:r>
      <w:r>
        <w:rPr>
          <w:rFonts w:ascii="Liberation Mono" w:hAnsi="Liberation Mono"/>
          <w:sz w:val="16"/>
        </w:rPr>
        <w:t xml:space="preserve">    if scenario.includeRemoteModels:</w:t>
        <w:br/>
      </w:r>
      <w:r>
        <w:rPr>
          <w:rFonts w:ascii="Liberation Mono" w:hAnsi="Liberation Mono"/>
          <w:sz w:val="16"/>
        </w:rPr>
        <w:t xml:space="preserve">        packet = redact_for_remote(numerical_report)</w:t>
        <w:br/>
      </w:r>
      <w:r>
        <w:rPr>
          <w:rFonts w:ascii="Liberation Mono" w:hAnsi="Liberation Mono"/>
          <w:sz w:val="16"/>
        </w:rPr>
        <w:t xml:space="preserve">        opinions += isolated_remote_critics(packet)</w:t>
        <w:br/>
      </w:r>
      <w:r>
        <w:rPr>
          <w:rFonts w:ascii="Liberation Mono" w:hAnsi="Liberation Mono"/>
          <w:sz w:val="16"/>
        </w:rPr>
        <w:br/>
      </w:r>
      <w:r>
        <w:rPr>
          <w:rFonts w:ascii="Liberation Mono" w:hAnsi="Liberation Mono"/>
          <w:sz w:val="16"/>
        </w:rPr>
        <w:t xml:space="preserve">    return report_with_truth_labels(numerical_report, aggregate(opinions))</w:t>
        <w:br/>
      </w:r>
    </w:p>
    <w:p>
      <w:pPr>
        <w:pStyle w:val="Heading2"/>
      </w:pPr>
      <w:r>
        <w:t>A.1 Weight selection</w:t>
      </w:r>
    </w:p>
    <w:p>
      <w:r>
        <w:t>Weights should initially be treated as transparent policy parameters. A calibration program may estimate them from historical exercise and control-assessment data, but the fitted values must be evaluated out of sample and compared with simple baselines.</w:t>
      </w:r>
    </w:p>
    <w:p>
      <w:r>
        <w:t>Implementation note: Weights should initially be treated as transparent policy parameters. A calibration program may estimate them from historical exercise and control-assessment data, but the fitted values must be evaluated out of sample and compared with simple baselines. A reproducible implementation should store the configuration and code revision with every output so later changes can be distinguished from evidence updates.</w:t>
      </w:r>
    </w:p>
    <w:p>
      <w:pPr>
        <w:pStyle w:val="Heading2"/>
      </w:pPr>
      <w:r>
        <w:t>A.2 Correlation structure</w:t>
      </w:r>
    </w:p>
    <w:p>
      <w:r>
        <w:t>A common-pressure factor is a compact way to represent correlated degradation. Future versions should support sector-specific copulas or hierarchical latent factors while retaining an interpretable fallback.</w:t>
      </w:r>
    </w:p>
    <w:p>
      <w:r>
        <w:t>Implementation note: A common-pressure factor is a compact way to represent correlated degradation. Future versions should support sector-specific copulas or hierarchical latent factors while retaining an interpretable fallback. A reproducible implementation should store the configuration and code revision with every output so later changes can be distinguished from evidence updates.</w:t>
      </w:r>
    </w:p>
    <w:p>
      <w:pPr>
        <w:pStyle w:val="Heading2"/>
      </w:pPr>
      <w:r>
        <w:t>A.3 Confidence propagation</w:t>
      </w:r>
    </w:p>
    <w:p>
      <w:r>
        <w:t>Confidence should decrease when a conclusion depends on several low-confidence inputs. It should not rise merely because several models repeat the same assumption.</w:t>
      </w:r>
    </w:p>
    <w:p>
      <w:r>
        <w:t>Implementation note: Confidence should decrease when a conclusion depends on several low-confidence inputs. It should not rise merely because several models repeat the same assumption. A reproducible implementation should store the configuration and code revision with every output so later changes can be distinguished from evidence updates.</w:t>
      </w:r>
    </w:p>
    <w:p>
      <w:pPr>
        <w:pStyle w:val="Heading2"/>
      </w:pPr>
      <w:r>
        <w:t>A.4 Saturation</w:t>
      </w:r>
    </w:p>
    <w:p>
      <w:r>
        <w:t>Clipping protects numerical bounds but can hide differences when a dimension reaches 1.0. Reports should mark saturation and expose the unclipped pre-score for diagnostics.</w:t>
      </w:r>
    </w:p>
    <w:p>
      <w:r>
        <w:t>Implementation note: Clipping protects numerical bounds but can hide differences when a dimension reaches 1.0. Reports should mark saturation and expose the unclipped pre-score for diagnostics. A reproducible implementation should store the configuration and code revision with every output so later changes can be distinguished from evidence updates.</w:t>
      </w:r>
    </w:p>
    <w:p>
      <w:pPr>
        <w:pStyle w:val="Heading2"/>
      </w:pPr>
      <w:r>
        <w:t>A.5 Calibration</w:t>
      </w:r>
    </w:p>
    <w:p>
      <w:r>
        <w:t>When observed outcome labels become available, calibration should use temporal holdouts, proper scoring rules, reliability diagrams, and decision-utility analysis rather than accuracy alone.</w:t>
      </w:r>
    </w:p>
    <w:p>
      <w:r>
        <w:t>Implementation note: When observed outcome labels become available, calibration should use temporal holdouts, proper scoring rules, reliability diagrams, and decision-utility analysis rather than accuracy alone. A reproducible implementation should store the configuration and code revision with every output so later changes can be distinguished from evidence updates.</w:t>
      </w:r>
    </w:p>
    <w:p>
      <w:r>
        <w:br w:type="page"/>
      </w:r>
    </w:p>
    <w:p>
      <w:pPr>
        <w:pStyle w:val="Heading1"/>
      </w:pPr>
      <w:r>
        <w:t>Appendix B. Scenario and Report Schemas</w:t>
      </w:r>
    </w:p>
    <w:p>
      <w:r>
        <w:t>The following illustrative schemas summarize the implemented objects. Production deployments should use the source Pydantic and Dart definitions as the authoritative machine-readable contracts.</w:t>
      </w:r>
    </w:p>
    <w:p>
      <w:pPr>
        <w:pStyle w:val="CodeBlock"/>
      </w:pPr>
      <w:r>
        <w:rPr>
          <w:rFonts w:ascii="Liberation Mono" w:hAnsi="Liberation Mono"/>
          <w:sz w:val="16"/>
        </w:rPr>
        <w:t>{</w:t>
        <w:br/>
      </w:r>
      <w:r>
        <w:rPr>
          <w:rFonts w:ascii="Liberation Mono" w:hAnsi="Liberation Mono"/>
          <w:sz w:val="16"/>
        </w:rPr>
        <w:t xml:space="preserve">  "name": "Synthetic Multisite Operations Twin",</w:t>
        <w:br/>
      </w:r>
      <w:r>
        <w:rPr>
          <w:rFonts w:ascii="Liberation Mono" w:hAnsi="Liberation Mono"/>
          <w:sz w:val="16"/>
        </w:rPr>
        <w:t xml:space="preserve">  "description": "Authorized defensive simulation",</w:t>
        <w:br/>
      </w:r>
      <w:r>
        <w:rPr>
          <w:rFonts w:ascii="Liberation Mono" w:hAnsi="Liberation Mono"/>
          <w:sz w:val="16"/>
        </w:rPr>
        <w:t xml:space="preserve">  "authorization": {</w:t>
        <w:br/>
      </w:r>
      <w:r>
        <w:rPr>
          <w:rFonts w:ascii="Liberation Mono" w:hAnsi="Liberation Mono"/>
          <w:sz w:val="16"/>
        </w:rPr>
        <w:t xml:space="preserve">    "authorized": true,</w:t>
        <w:br/>
      </w:r>
      <w:r>
        <w:rPr>
          <w:rFonts w:ascii="Liberation Mono" w:hAnsi="Liberation Mono"/>
          <w:sz w:val="16"/>
        </w:rPr>
        <w:t xml:space="preserve">    "statement": "I own or am explicitly authorized...",</w:t>
        <w:br/>
      </w:r>
      <w:r>
        <w:rPr>
          <w:rFonts w:ascii="Liberation Mono" w:hAnsi="Liberation Mono"/>
          <w:sz w:val="16"/>
        </w:rPr>
        <w:t xml:space="preserve">    "scope": "Synthetic digital twin",</w:t>
        <w:br/>
      </w:r>
      <w:r>
        <w:rPr>
          <w:rFonts w:ascii="Liberation Mono" w:hAnsi="Liberation Mono"/>
          <w:sz w:val="16"/>
        </w:rPr>
        <w:t xml:space="preserve">    "synthetic": true</w:t>
        <w:br/>
      </w:r>
      <w:r>
        <w:rPr>
          <w:rFonts w:ascii="Liberation Mono" w:hAnsi="Liberation Mono"/>
          <w:sz w:val="16"/>
        </w:rPr>
        <w:t xml:space="preserve">  },</w:t>
        <w:br/>
      </w:r>
      <w:r>
        <w:rPr>
          <w:rFonts w:ascii="Liberation Mono" w:hAnsi="Liberation Mono"/>
          <w:sz w:val="16"/>
        </w:rPr>
        <w:t xml:space="preserve">  "location": {</w:t>
        <w:br/>
      </w:r>
      <w:r>
        <w:rPr>
          <w:rFonts w:ascii="Liberation Mono" w:hAnsi="Liberation Mono"/>
          <w:sz w:val="16"/>
        </w:rPr>
        <w:t xml:space="preserve">    "name": "Named region only",</w:t>
        <w:br/>
      </w:r>
      <w:r>
        <w:rPr>
          <w:rFonts w:ascii="Liberation Mono" w:hAnsi="Liberation Mono"/>
          <w:sz w:val="16"/>
        </w:rPr>
        <w:t xml:space="preserve">    "latitude": null,</w:t>
        <w:br/>
      </w:r>
      <w:r>
        <w:rPr>
          <w:rFonts w:ascii="Liberation Mono" w:hAnsi="Liberation Mono"/>
          <w:sz w:val="16"/>
        </w:rPr>
        <w:t xml:space="preserve">    "longitude": null</w:t>
        <w:br/>
      </w:r>
      <w:r>
        <w:rPr>
          <w:rFonts w:ascii="Liberation Mono" w:hAnsi="Liberation Mono"/>
          <w:sz w:val="16"/>
        </w:rPr>
        <w:t xml:space="preserve">  },</w:t>
        <w:br/>
      </w:r>
      <w:r>
        <w:rPr>
          <w:rFonts w:ascii="Liberation Mono" w:hAnsi="Liberation Mono"/>
          <w:sz w:val="16"/>
        </w:rPr>
        <w:t xml:space="preserve">  "worlds": 12000,</w:t>
        <w:br/>
      </w:r>
      <w:r>
        <w:rPr>
          <w:rFonts w:ascii="Liberation Mono" w:hAnsi="Liberation Mono"/>
          <w:sz w:val="16"/>
        </w:rPr>
        <w:t xml:space="preserve">  "seed": 3923929,</w:t>
        <w:br/>
      </w:r>
      <w:r>
        <w:rPr>
          <w:rFonts w:ascii="Liberation Mono" w:hAnsi="Liberation Mono"/>
          <w:sz w:val="16"/>
        </w:rPr>
        <w:t xml:space="preserve">  "includeRemoteModels": false,</w:t>
        <w:br/>
      </w:r>
      <w:r>
        <w:rPr>
          <w:rFonts w:ascii="Liberation Mono" w:hAnsi="Liberation Mono"/>
          <w:sz w:val="16"/>
        </w:rPr>
        <w:t xml:space="preserve">  "surfaces": [</w:t>
        <w:br/>
      </w:r>
      <w:r>
        <w:rPr>
          <w:rFonts w:ascii="Liberation Mono" w:hAnsi="Liberation Mono"/>
          <w:sz w:val="16"/>
        </w:rPr>
        <w:t xml:space="preserve">    {</w:t>
        <w:br/>
      </w:r>
      <w:r>
        <w:rPr>
          <w:rFonts w:ascii="Liberation Mono" w:hAnsi="Liberation Mono"/>
          <w:sz w:val="16"/>
        </w:rPr>
        <w:t xml:space="preserve">      "id": "identity-workforce",</w:t>
        <w:br/>
      </w:r>
      <w:r>
        <w:rPr>
          <w:rFonts w:ascii="Liberation Mono" w:hAnsi="Liberation Mono"/>
          <w:sz w:val="16"/>
        </w:rPr>
        <w:t xml:space="preserve">      "label": "Workforce identity plane",</w:t>
        <w:br/>
      </w:r>
      <w:r>
        <w:rPr>
          <w:rFonts w:ascii="Liberation Mono" w:hAnsi="Liberation Mono"/>
          <w:sz w:val="16"/>
        </w:rPr>
        <w:t xml:space="preserve">      "kind": "identity",</w:t>
        <w:br/>
      </w:r>
      <w:r>
        <w:rPr>
          <w:rFonts w:ascii="Liberation Mono" w:hAnsi="Liberation Mono"/>
          <w:sz w:val="16"/>
        </w:rPr>
        <w:t xml:space="preserve">      "criticality": 0.94,</w:t>
        <w:br/>
      </w:r>
      <w:r>
        <w:rPr>
          <w:rFonts w:ascii="Liberation Mono" w:hAnsi="Liberation Mono"/>
          <w:sz w:val="16"/>
        </w:rPr>
        <w:t xml:space="preserve">      "exposure": 0.62,</w:t>
        <w:br/>
      </w:r>
      <w:r>
        <w:rPr>
          <w:rFonts w:ascii="Liberation Mono" w:hAnsi="Liberation Mono"/>
          <w:sz w:val="16"/>
        </w:rPr>
        <w:t xml:space="preserve">      "controlStrength": 0.64,</w:t>
        <w:br/>
      </w:r>
      <w:r>
        <w:rPr>
          <w:rFonts w:ascii="Liberation Mono" w:hAnsi="Liberation Mono"/>
          <w:sz w:val="16"/>
        </w:rPr>
        <w:t xml:space="preserve">      "humanPressure": 0.73,</w:t>
        <w:br/>
      </w:r>
      <w:r>
        <w:rPr>
          <w:rFonts w:ascii="Liberation Mono" w:hAnsi="Liberation Mono"/>
          <w:sz w:val="16"/>
        </w:rPr>
        <w:t xml:space="preserve">      "telemetryConfidence": 0.82,</w:t>
        <w:br/>
      </w:r>
      <w:r>
        <w:rPr>
          <w:rFonts w:ascii="Liberation Mono" w:hAnsi="Liberation Mono"/>
          <w:sz w:val="16"/>
        </w:rPr>
        <w:t xml:space="preserve">      "inventoryCount": 1600,</w:t>
        <w:br/>
      </w:r>
      <w:r>
        <w:rPr>
          <w:rFonts w:ascii="Liberation Mono" w:hAnsi="Liberation Mono"/>
          <w:sz w:val="16"/>
        </w:rPr>
        <w:t xml:space="preserve">      "signals": [</w:t>
        <w:br/>
      </w:r>
      <w:r>
        <w:rPr>
          <w:rFonts w:ascii="Liberation Mono" w:hAnsi="Liberation Mono"/>
          <w:sz w:val="16"/>
        </w:rPr>
        <w:t xml:space="preserve">        "mixed MFA coverage"</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"links": [</w:t>
        <w:br/>
      </w:r>
      <w:r>
        <w:rPr>
          <w:rFonts w:ascii="Liberation Mono" w:hAnsi="Liberation Mono"/>
          <w:sz w:val="16"/>
        </w:rPr>
        <w:t xml:space="preserve">    {</w:t>
        <w:br/>
      </w:r>
      <w:r>
        <w:rPr>
          <w:rFonts w:ascii="Liberation Mono" w:hAnsi="Liberation Mono"/>
          <w:sz w:val="16"/>
        </w:rPr>
        <w:t xml:space="preserve">      "source": "identity-workforce",</w:t>
        <w:br/>
      </w:r>
      <w:r>
        <w:rPr>
          <w:rFonts w:ascii="Liberation Mono" w:hAnsi="Liberation Mono"/>
          <w:sz w:val="16"/>
        </w:rPr>
        <w:t xml:space="preserve">      "target": "remote-access",</w:t>
        <w:br/>
      </w:r>
      <w:r>
        <w:rPr>
          <w:rFonts w:ascii="Liberation Mono" w:hAnsi="Liberation Mono"/>
          <w:sz w:val="16"/>
        </w:rPr>
        <w:t xml:space="preserve">      "type": "authenticates",</w:t>
        <w:br/>
      </w:r>
      <w:r>
        <w:rPr>
          <w:rFonts w:ascii="Liberation Mono" w:hAnsi="Liberation Mono"/>
          <w:sz w:val="16"/>
        </w:rPr>
        <w:t xml:space="preserve">      "trust": 0.82,</w:t>
        <w:br/>
      </w:r>
      <w:r>
        <w:rPr>
          <w:rFonts w:ascii="Liberation Mono" w:hAnsi="Liberation Mono"/>
          <w:sz w:val="16"/>
        </w:rPr>
        <w:t xml:space="preserve">      "controlStrength": 0.66</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w:t>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7365D"/>
          </w:tcPr>
          <w:p>
            <w:pPr>
              <w:spacing w:after="0"/>
            </w:pPr>
            <w:r/>
            <w:r>
              <w:rPr>
                <w:rFonts w:ascii="Lato" w:hAnsi="Lato"/>
                <w:b/>
                <w:color w:val="FFFFFF"/>
                <w:sz w:val="15"/>
              </w:rPr>
              <w:t>Report object</w:t>
            </w:r>
          </w:p>
        </w:tc>
        <w:tc>
          <w:tcPr>
            <w:tcW w:type="dxa" w:w="7056"/>
            <w:vAlign w:val="center"/>
            <w:shd w:fill="17365D"/>
          </w:tcPr>
          <w:p>
            <w:pPr>
              <w:spacing w:after="0"/>
            </w:pPr>
            <w:r/>
            <w:r>
              <w:rPr>
                <w:rFonts w:ascii="Lato" w:hAnsi="Lato"/>
                <w:b/>
                <w:color w:val="FFFFFF"/>
                <w:sz w:val="15"/>
              </w:rPr>
              <w:t>Required semantics</w:t>
            </w:r>
          </w:p>
        </w:tc>
      </w:tr>
      <w:tr>
        <w:tc>
          <w:tcPr>
            <w:tcW w:type="dxa" w:w="2304"/>
            <w:vAlign w:val="center"/>
          </w:tcPr>
          <w:p>
            <w:pPr>
              <w:spacing w:after="0"/>
            </w:pPr>
            <w:r/>
            <w:r>
              <w:rPr>
                <w:rFonts w:ascii="Lato" w:hAnsi="Lato"/>
                <w:b w:val="0"/>
                <w:sz w:val="15"/>
              </w:rPr>
              <w:t>overallRisk</w:t>
            </w:r>
          </w:p>
        </w:tc>
        <w:tc>
          <w:tcPr>
            <w:tcW w:type="dxa" w:w="7056"/>
            <w:vAlign w:val="center"/>
          </w:tcPr>
          <w:p>
            <w:pPr>
              <w:spacing w:after="0"/>
            </w:pPr>
            <w:r/>
            <w:r>
              <w:rPr>
                <w:rFonts w:ascii="Lato" w:hAnsi="Lato"/>
                <w:b w:val="0"/>
                <w:sz w:val="15"/>
              </w:rPr>
              <w:t>Comparative normalized planning index; not a guaranteed event probability.</w:t>
            </w:r>
          </w:p>
        </w:tc>
      </w:tr>
      <w:tr>
        <w:tc>
          <w:tcPr>
            <w:tcW w:type="dxa" w:w="2304"/>
            <w:vAlign w:val="center"/>
            <w:shd w:fill="F3F6F8"/>
          </w:tcPr>
          <w:p>
            <w:pPr>
              <w:spacing w:after="0"/>
            </w:pPr>
            <w:r/>
            <w:r>
              <w:rPr>
                <w:rFonts w:ascii="Lato" w:hAnsi="Lato"/>
                <w:b w:val="0"/>
                <w:sz w:val="15"/>
              </w:rPr>
              <w:t>dimensionScores</w:t>
            </w:r>
          </w:p>
        </w:tc>
        <w:tc>
          <w:tcPr>
            <w:tcW w:type="dxa" w:w="7056"/>
            <w:vAlign w:val="center"/>
            <w:shd w:fill="F3F6F8"/>
          </w:tcPr>
          <w:p>
            <w:pPr>
              <w:spacing w:after="0"/>
            </w:pPr>
            <w:r/>
            <w:r>
              <w:rPr>
                <w:rFonts w:ascii="Lato" w:hAnsi="Lato"/>
                <w:b w:val="0"/>
                <w:sz w:val="15"/>
              </w:rPr>
              <w:t>Credential, phishing, endpoint, API, cloud, physical, vendor, availability, and data pressure.</w:t>
            </w:r>
          </w:p>
        </w:tc>
      </w:tr>
      <w:tr>
        <w:tc>
          <w:tcPr>
            <w:tcW w:type="dxa" w:w="2304"/>
            <w:vAlign w:val="center"/>
          </w:tcPr>
          <w:p>
            <w:pPr>
              <w:spacing w:after="0"/>
            </w:pPr>
            <w:r/>
            <w:r>
              <w:rPr>
                <w:rFonts w:ascii="Lato" w:hAnsi="Lato"/>
                <w:b w:val="0"/>
                <w:sz w:val="15"/>
              </w:rPr>
              <w:t>findings</w:t>
            </w:r>
          </w:p>
        </w:tc>
        <w:tc>
          <w:tcPr>
            <w:tcW w:type="dxa" w:w="7056"/>
            <w:vAlign w:val="center"/>
          </w:tcPr>
          <w:p>
            <w:pPr>
              <w:spacing w:after="0"/>
            </w:pPr>
            <w:r/>
            <w:r>
              <w:rPr>
                <w:rFonts w:ascii="Lato" w:hAnsi="Lato"/>
                <w:b w:val="0"/>
                <w:sz w:val="15"/>
              </w:rPr>
              <w:t>Surface-level risk, pressure, impact, confidence, controls, assumptions, and evidence needs.</w:t>
            </w:r>
          </w:p>
        </w:tc>
      </w:tr>
      <w:tr>
        <w:tc>
          <w:tcPr>
            <w:tcW w:type="dxa" w:w="2304"/>
            <w:vAlign w:val="center"/>
            <w:shd w:fill="F3F6F8"/>
          </w:tcPr>
          <w:p>
            <w:pPr>
              <w:spacing w:after="0"/>
            </w:pPr>
            <w:r/>
            <w:r>
              <w:rPr>
                <w:rFonts w:ascii="Lato" w:hAnsi="Lato"/>
                <w:b w:val="0"/>
                <w:sz w:val="15"/>
              </w:rPr>
              <w:t>attackPaths</w:t>
            </w:r>
          </w:p>
        </w:tc>
        <w:tc>
          <w:tcPr>
            <w:tcW w:type="dxa" w:w="7056"/>
            <w:vAlign w:val="center"/>
            <w:shd w:fill="F3F6F8"/>
          </w:tcPr>
          <w:p>
            <w:pPr>
              <w:spacing w:after="0"/>
            </w:pPr>
            <w:r/>
            <w:r>
              <w:rPr>
                <w:rFonts w:ascii="Lato" w:hAnsi="Lato"/>
                <w:b w:val="0"/>
                <w:sz w:val="15"/>
              </w:rPr>
              <w:t>Bounded trust-path amplification with explicit non-operational interpretation.</w:t>
            </w:r>
          </w:p>
        </w:tc>
      </w:tr>
      <w:tr>
        <w:tc>
          <w:tcPr>
            <w:tcW w:type="dxa" w:w="2304"/>
            <w:vAlign w:val="center"/>
          </w:tcPr>
          <w:p>
            <w:pPr>
              <w:spacing w:after="0"/>
            </w:pPr>
            <w:r/>
            <w:r>
              <w:rPr>
                <w:rFonts w:ascii="Lato" w:hAnsi="Lato"/>
                <w:b w:val="0"/>
                <w:sz w:val="15"/>
              </w:rPr>
              <w:t>impactEstimate</w:t>
            </w:r>
          </w:p>
        </w:tc>
        <w:tc>
          <w:tcPr>
            <w:tcW w:type="dxa" w:w="7056"/>
            <w:vAlign w:val="center"/>
          </w:tcPr>
          <w:p>
            <w:pPr>
              <w:spacing w:after="0"/>
            </w:pPr>
            <w:r/>
            <w:r>
              <w:rPr>
                <w:rFonts w:ascii="Lato" w:hAnsi="Lato"/>
                <w:b w:val="0"/>
                <w:sz w:val="15"/>
              </w:rPr>
              <w:t>Affected-equivalent inventory range and percentage with interpretation.</w:t>
            </w:r>
          </w:p>
        </w:tc>
      </w:tr>
      <w:tr>
        <w:tc>
          <w:tcPr>
            <w:tcW w:type="dxa" w:w="2304"/>
            <w:vAlign w:val="center"/>
            <w:shd w:fill="F3F6F8"/>
          </w:tcPr>
          <w:p>
            <w:pPr>
              <w:spacing w:after="0"/>
            </w:pPr>
            <w:r/>
            <w:r>
              <w:rPr>
                <w:rFonts w:ascii="Lato" w:hAnsi="Lato"/>
                <w:b w:val="0"/>
                <w:sz w:val="15"/>
              </w:rPr>
              <w:t>timeline</w:t>
            </w:r>
          </w:p>
        </w:tc>
        <w:tc>
          <w:tcPr>
            <w:tcW w:type="dxa" w:w="7056"/>
            <w:vAlign w:val="center"/>
            <w:shd w:fill="F3F6F8"/>
          </w:tcPr>
          <w:p>
            <w:pPr>
              <w:spacing w:after="0"/>
            </w:pPr>
            <w:r/>
            <w:r>
              <w:rPr>
                <w:rFonts w:ascii="Lato" w:hAnsi="Lato"/>
                <w:b w:val="0"/>
                <w:sz w:val="15"/>
              </w:rPr>
              <w:t>Relative pressure by hour; not forensic time.</w:t>
            </w:r>
          </w:p>
        </w:tc>
      </w:tr>
      <w:tr>
        <w:tc>
          <w:tcPr>
            <w:tcW w:type="dxa" w:w="2304"/>
            <w:vAlign w:val="center"/>
          </w:tcPr>
          <w:p>
            <w:pPr>
              <w:spacing w:after="0"/>
            </w:pPr>
            <w:r/>
            <w:r>
              <w:rPr>
                <w:rFonts w:ascii="Lato" w:hAnsi="Lato"/>
                <w:b w:val="0"/>
                <w:sz w:val="15"/>
              </w:rPr>
              <w:t>hotspots</w:t>
            </w:r>
          </w:p>
        </w:tc>
        <w:tc>
          <w:tcPr>
            <w:tcW w:type="dxa" w:w="7056"/>
            <w:vAlign w:val="center"/>
          </w:tcPr>
          <w:p>
            <w:pPr>
              <w:spacing w:after="0"/>
            </w:pPr>
            <w:r/>
            <w:r>
              <w:rPr>
                <w:rFonts w:ascii="Lato" w:hAnsi="Lato"/>
                <w:b w:val="0"/>
                <w:sz w:val="15"/>
              </w:rPr>
              <w:t>Optional named-location aggregation; not geographic attribution.</w:t>
            </w:r>
          </w:p>
        </w:tc>
      </w:tr>
      <w:tr>
        <w:tc>
          <w:tcPr>
            <w:tcW w:type="dxa" w:w="2304"/>
            <w:vAlign w:val="center"/>
            <w:shd w:fill="F3F6F8"/>
          </w:tcPr>
          <w:p>
            <w:pPr>
              <w:spacing w:after="0"/>
            </w:pPr>
            <w:r/>
            <w:r>
              <w:rPr>
                <w:rFonts w:ascii="Lato" w:hAnsi="Lato"/>
                <w:b w:val="0"/>
                <w:sz w:val="15"/>
              </w:rPr>
              <w:t>council</w:t>
            </w:r>
          </w:p>
        </w:tc>
        <w:tc>
          <w:tcPr>
            <w:tcW w:type="dxa" w:w="7056"/>
            <w:vAlign w:val="center"/>
            <w:shd w:fill="F3F6F8"/>
          </w:tcPr>
          <w:p>
            <w:pPr>
              <w:spacing w:after="0"/>
            </w:pPr>
            <w:r/>
            <w:r>
              <w:rPr>
                <w:rFonts w:ascii="Lato" w:hAnsi="Lato"/>
                <w:b w:val="0"/>
                <w:sz w:val="15"/>
              </w:rPr>
              <w:t>Individual model opinions, consensus, disagreement, and failure state.</w:t>
            </w:r>
          </w:p>
        </w:tc>
      </w:tr>
      <w:tr>
        <w:tc>
          <w:tcPr>
            <w:tcW w:type="dxa" w:w="2304"/>
            <w:vAlign w:val="center"/>
          </w:tcPr>
          <w:p>
            <w:pPr>
              <w:spacing w:after="0"/>
            </w:pPr>
            <w:r/>
            <w:r>
              <w:rPr>
                <w:rFonts w:ascii="Lato" w:hAnsi="Lato"/>
                <w:b w:val="0"/>
                <w:sz w:val="15"/>
              </w:rPr>
              <w:t>telemetry</w:t>
            </w:r>
          </w:p>
        </w:tc>
        <w:tc>
          <w:tcPr>
            <w:tcW w:type="dxa" w:w="7056"/>
            <w:vAlign w:val="center"/>
          </w:tcPr>
          <w:p>
            <w:pPr>
              <w:spacing w:after="0"/>
            </w:pPr>
            <w:r/>
            <w:r>
              <w:rPr>
                <w:rFonts w:ascii="Lato" w:hAnsi="Lato"/>
                <w:b w:val="0"/>
                <w:sz w:val="15"/>
              </w:rPr>
              <w:t>Engine truth label, seed, worlds, duration, model status, redactions, and graph size.</w:t>
            </w:r>
          </w:p>
        </w:tc>
      </w:tr>
      <w:tr>
        <w:tc>
          <w:tcPr>
            <w:tcW w:type="dxa" w:w="2304"/>
            <w:vAlign w:val="center"/>
            <w:shd w:fill="F3F6F8"/>
          </w:tcPr>
          <w:p>
            <w:pPr>
              <w:spacing w:after="0"/>
            </w:pPr>
            <w:r/>
            <w:r>
              <w:rPr>
                <w:rFonts w:ascii="Lato" w:hAnsi="Lato"/>
                <w:b w:val="0"/>
                <w:sz w:val="15"/>
              </w:rPr>
              <w:t>packetDigest</w:t>
            </w:r>
          </w:p>
        </w:tc>
        <w:tc>
          <w:tcPr>
            <w:tcW w:type="dxa" w:w="7056"/>
            <w:vAlign w:val="center"/>
            <w:shd w:fill="F3F6F8"/>
          </w:tcPr>
          <w:p>
            <w:pPr>
              <w:spacing w:after="0"/>
            </w:pPr>
            <w:r/>
            <w:r>
              <w:rPr>
                <w:rFonts w:ascii="Lato" w:hAnsi="Lato"/>
                <w:b w:val="0"/>
                <w:sz w:val="15"/>
              </w:rPr>
              <w:t>Digest binding the report to its redacted input packet.</w:t>
            </w:r>
          </w:p>
        </w:tc>
      </w:tr>
    </w:tbl>
    <w:p>
      <w:pPr>
        <w:spacing w:after="0"/>
      </w:pPr>
    </w:p>
    <w:p>
      <w:pPr>
        <w:pStyle w:val="Heading2"/>
      </w:pPr>
      <w:r>
        <w:t>B.1 Schema evolution</w:t>
      </w:r>
    </w:p>
    <w:p>
      <w:r>
        <w:t>Schema versions must be explicit. A new field should state whether it is required, optional, derived, sensitive, and safe for remote packets. Migration code should be tested with archived scenarios.</w:t>
      </w:r>
    </w:p>
    <w:p>
      <w:r>
        <w:t>Schema versions must be explicit. A new field should state whether it is required, optional, derived, sensitive, and safe for remote packets. Migration code should be tested with archived scenarios. The operational reason is auditability: without stable contracts, a changed parser or model adapter can alter conclusions without an obvious scenario change.</w:t>
      </w:r>
    </w:p>
    <w:p>
      <w:pPr>
        <w:pStyle w:val="Heading2"/>
      </w:pPr>
      <w:r>
        <w:t>B.2 Identifier policy</w:t>
      </w:r>
    </w:p>
    <w:p>
      <w:r>
        <w:t>Identifiers should be stable within a scenario history but synthetic or pseudonymous whenever direct names do not improve the decision. A report should not make re-identification easier.</w:t>
      </w:r>
    </w:p>
    <w:p>
      <w:r>
        <w:t>Identifiers should be stable within a scenario history but synthetic or pseudonymous whenever direct names do not improve the decision. A report should not make re-identification easier. The operational reason is auditability: without stable contracts, a changed parser or model adapter can alter conclusions without an obvious scenario change.</w:t>
      </w:r>
    </w:p>
    <w:p>
      <w:pPr>
        <w:pStyle w:val="Heading2"/>
      </w:pPr>
      <w:r>
        <w:t>B.3 Validation rules</w:t>
      </w:r>
    </w:p>
    <w:p>
      <w:r>
        <w:t>Numeric values are bounded from zero to one, inventory is nonnegative, links reference existing surfaces, world counts are capped, and authorization fields are required.</w:t>
      </w:r>
    </w:p>
    <w:p>
      <w:r>
        <w:t>Numeric values are bounded from zero to one, inventory is nonnegative, links reference existing surfaces, world counts are capped, and authorization fields are required. The operational reason is auditability: without stable contracts, a changed parser or model adapter can alter conclusions without an obvious scenario change.</w:t>
      </w:r>
    </w:p>
    <w:p>
      <w:pPr>
        <w:pStyle w:val="Heading2"/>
      </w:pPr>
      <w:r>
        <w:t>B.4 Export policy</w:t>
      </w:r>
    </w:p>
    <w:p>
      <w:r>
        <w:t>Exports include truth labels, scope, digest, model versions, and evidence classifications. Secrets, raw private keys, and unredacted scenario text are excluded.</w:t>
      </w:r>
    </w:p>
    <w:p>
      <w:r>
        <w:t>Exports include truth labels, scope, digest, model versions, and evidence classifications. Secrets, raw private keys, and unredacted scenario text are excluded. The operational reason is auditability: without stable contracts, a changed parser or model adapter can alter conclusions without an obvious scenario change.</w:t>
      </w:r>
    </w:p>
    <w:p>
      <w:pPr>
        <w:pStyle w:val="Heading2"/>
      </w:pPr>
      <w:r>
        <w:t>B.5 Interoperability</w:t>
      </w:r>
    </w:p>
    <w:p>
      <w:r>
        <w:t>A future OSCAL mapping can represent control evidence and assessment procedures while the CyberForge schema retains simulation-specific quantities.</w:t>
      </w:r>
    </w:p>
    <w:p>
      <w:r>
        <w:t>A future OSCAL mapping can represent control evidence and assessment procedures while the CyberForge schema retains simulation-specific quantities. The operational reason is auditability: without stable contracts, a changed parser or model adapter can alter conclusions without an obvious scenario change.</w:t>
      </w:r>
    </w:p>
    <w:p>
      <w:r>
        <w:br w:type="page"/>
      </w:r>
    </w:p>
    <w:p>
      <w:pPr>
        <w:pStyle w:val="Heading1"/>
      </w:pPr>
      <w:r>
        <w:t>Appendix C. Defensive Prompt Surfaces</w:t>
      </w:r>
    </w:p>
    <w:p>
      <w:r>
        <w:t>The full repository contains separate prompt files. The following condensed forms document the intended role and prohibited behavior without reproducing provider-specific boilerplate.</w:t>
      </w:r>
    </w:p>
    <w:p>
      <w:pPr>
        <w:pStyle w:val="Heading2"/>
      </w:pPr>
      <w:r>
        <w:t>C.1 Surface micro-scanner</w:t>
      </w:r>
    </w:p>
    <w:tbl>
      <w:tblPr>
        <w:tblStyle w:val="TableGrid"/>
        <w:tblW w:type="auto" w:w="0"/>
        <w:jc w:val="center"/>
        <w:tblLook w:firstColumn="1" w:firstRow="1" w:lastColumn="0" w:lastRow="0" w:noHBand="0" w:noVBand="1" w:val="04A0"/>
      </w:tblPr>
      <w:tblGrid>
        <w:gridCol w:w="10080"/>
      </w:tblGrid>
      <w:tr>
        <w:trPr>
          <w:tblHeader/>
        </w:trPr>
        <w:tc>
          <w:tcPr>
            <w:tcW w:type="dxa" w:w="10080"/>
            <w:shd w:fill="EAF2F3"/>
          </w:tcPr>
          <w:p>
            <w:pPr>
              <w:spacing w:after="60"/>
            </w:pPr>
            <w:r/>
            <w:r>
              <w:rPr>
                <w:b/>
                <w:color w:val="17365D"/>
              </w:rPr>
              <w:t>Condensed system prompt</w:t>
            </w:r>
          </w:p>
          <w:p>
            <w:pPr>
              <w:spacing w:after="0"/>
            </w:pPr>
            <w:r>
              <w:t>You are a defensive surface reviewer. Analyze one synthetic or authorized surface. Return JSON only with bounded riskAdjustment, priorityDimensions, controls, assumptions, and evidenceNeeded. Do not provide exploitation, phishing, credential theft, bypass, persistence, malware, or physical-entry instructions. Do not infer an actor, country, person, or forensic fact.</w:t>
            </w:r>
          </w:p>
        </w:tc>
      </w:tr>
    </w:tbl>
    <w:p>
      <w:pPr>
        <w:spacing w:after="0"/>
      </w:pPr>
    </w:p>
    <w:p>
      <w:r>
        <w:t>Test requirement: inject conflicting instructions into scenario data and verify that the fixed role, schema, and post-parser prevent privilege expansion. Record both blocked and allowed cases to avoid an overbroad filter.</w:t>
      </w:r>
    </w:p>
    <w:p>
      <w:pPr>
        <w:pStyle w:val="Heading2"/>
      </w:pPr>
      <w:r>
        <w:t>C.2 Private synthesizer</w:t>
      </w:r>
    </w:p>
    <w:tbl>
      <w:tblPr>
        <w:tblStyle w:val="TableGrid"/>
        <w:tblW w:type="auto" w:w="0"/>
        <w:jc w:val="center"/>
        <w:tblLook w:firstColumn="1" w:firstRow="1" w:lastColumn="0" w:lastRow="0" w:noHBand="0" w:noVBand="1" w:val="04A0"/>
      </w:tblPr>
      <w:tblGrid>
        <w:gridCol w:w="10080"/>
      </w:tblGrid>
      <w:tr>
        <w:trPr>
          <w:tblHeader/>
        </w:trPr>
        <w:tc>
          <w:tcPr>
            <w:tcW w:type="dxa" w:w="10080"/>
            <w:shd w:fill="EAF2F3"/>
          </w:tcPr>
          <w:p>
            <w:pPr>
              <w:spacing w:after="60"/>
            </w:pPr>
            <w:r/>
            <w:r>
              <w:rPr>
                <w:b/>
                <w:color w:val="17365D"/>
              </w:rPr>
              <w:t>Condensed system prompt</w:t>
            </w:r>
          </w:p>
          <w:p>
            <w:pPr>
              <w:spacing w:after="0"/>
            </w:pPr>
            <w:r>
              <w:t>Explain the supplied numerical report faithfully. Preserve uncertainty, distinguish observations from assumptions, and connect priorities to evidence and controls. Do not create new incident facts or convert trust paths into operational steps.</w:t>
            </w:r>
          </w:p>
        </w:tc>
      </w:tr>
    </w:tbl>
    <w:p>
      <w:pPr>
        <w:spacing w:after="0"/>
      </w:pPr>
    </w:p>
    <w:p>
      <w:r>
        <w:t>Test requirement: inject conflicting instructions into scenario data and verify that the fixed role, schema, and post-parser prevent privilege expansion. Record both blocked and allowed cases to avoid an overbroad filter.</w:t>
      </w:r>
    </w:p>
    <w:p>
      <w:pPr>
        <w:pStyle w:val="Heading2"/>
      </w:pPr>
      <w:r>
        <w:t>C.3 Cloud critic</w:t>
      </w:r>
    </w:p>
    <w:tbl>
      <w:tblPr>
        <w:tblStyle w:val="TableGrid"/>
        <w:tblW w:type="auto" w:w="0"/>
        <w:jc w:val="center"/>
        <w:tblLook w:firstColumn="1" w:firstRow="1" w:lastColumn="0" w:lastRow="0" w:noHBand="0" w:noVBand="1" w:val="04A0"/>
      </w:tblPr>
      <w:tblGrid>
        <w:gridCol w:w="10080"/>
      </w:tblGrid>
      <w:tr>
        <w:trPr>
          <w:tblHeader/>
        </w:trPr>
        <w:tc>
          <w:tcPr>
            <w:tcW w:type="dxa" w:w="10080"/>
            <w:shd w:fill="EAF2F3"/>
          </w:tcPr>
          <w:p>
            <w:pPr>
              <w:spacing w:after="60"/>
            </w:pPr>
            <w:r/>
            <w:r>
              <w:rPr>
                <w:b/>
                <w:color w:val="17365D"/>
              </w:rPr>
              <w:t>Condensed system prompt</w:t>
            </w:r>
          </w:p>
          <w:p>
            <w:pPr>
              <w:spacing w:after="0"/>
            </w:pPr>
            <w:r>
              <w:t>Independently critique the redacted defensive report. Return allow-listed JSON. Identify blind spots, alternative explanations, control priorities, evidence requirements, and uncertainty. Do not request secrets or identify a real actor.</w:t>
            </w:r>
          </w:p>
        </w:tc>
      </w:tr>
    </w:tbl>
    <w:p>
      <w:pPr>
        <w:spacing w:after="0"/>
      </w:pPr>
    </w:p>
    <w:p>
      <w:r>
        <w:t>Test requirement: inject conflicting instructions into scenario data and verify that the fixed role, schema, and post-parser prevent privilege expansion. Record both blocked and allowed cases to avoid an overbroad filter.</w:t>
      </w:r>
    </w:p>
    <w:p>
      <w:pPr>
        <w:pStyle w:val="Heading2"/>
      </w:pPr>
      <w:r>
        <w:t>C.4 SIMCOM terminal</w:t>
      </w:r>
    </w:p>
    <w:tbl>
      <w:tblPr>
        <w:tblStyle w:val="TableGrid"/>
        <w:tblW w:type="auto" w:w="0"/>
        <w:jc w:val="center"/>
        <w:tblLook w:firstColumn="1" w:firstRow="1" w:lastColumn="0" w:lastRow="0" w:noHBand="0" w:noVBand="1" w:val="04A0"/>
      </w:tblPr>
      <w:tblGrid>
        <w:gridCol w:w="10080"/>
      </w:tblGrid>
      <w:tr>
        <w:trPr>
          <w:tblHeader/>
        </w:trPr>
        <w:tc>
          <w:tcPr>
            <w:tcW w:type="dxa" w:w="10080"/>
            <w:shd w:fill="EAF2F3"/>
          </w:tcPr>
          <w:p>
            <w:pPr>
              <w:spacing w:after="60"/>
            </w:pPr>
            <w:r/>
            <w:r>
              <w:rPr>
                <w:b/>
                <w:color w:val="17365D"/>
              </w:rPr>
              <w:t>Condensed system prompt</w:t>
            </w:r>
          </w:p>
          <w:p>
            <w:pPr>
              <w:spacing w:after="0"/>
            </w:pPr>
            <w:r>
              <w:t>Provide a cinematic but truth-labeled defensive interface. Commands may boot, scan, summarize time windows, impact, hotspots, paths, council state, attribution boundary, and export. Origin always states not attributed unless verified evidence is explicitly imported and reviewed.</w:t>
            </w:r>
          </w:p>
        </w:tc>
      </w:tr>
    </w:tbl>
    <w:p>
      <w:pPr>
        <w:spacing w:after="0"/>
      </w:pPr>
    </w:p>
    <w:p>
      <w:r>
        <w:t>Test requirement: inject conflicting instructions into scenario data and verify that the fixed role, schema, and post-parser prevent privilege expansion. Record both blocked and allowed cases to avoid an overbroad filter.</w:t>
      </w:r>
    </w:p>
    <w:p>
      <w:pPr>
        <w:pStyle w:val="Heading2"/>
      </w:pPr>
      <w:r>
        <w:t>C.5 Report repair</w:t>
      </w:r>
    </w:p>
    <w:tbl>
      <w:tblPr>
        <w:tblStyle w:val="TableGrid"/>
        <w:tblW w:type="auto" w:w="0"/>
        <w:jc w:val="center"/>
        <w:tblLook w:firstColumn="1" w:firstRow="1" w:lastColumn="0" w:lastRow="0" w:noHBand="0" w:noVBand="1" w:val="04A0"/>
      </w:tblPr>
      <w:tblGrid>
        <w:gridCol w:w="10080"/>
      </w:tblGrid>
      <w:tr>
        <w:trPr>
          <w:tblHeader/>
        </w:trPr>
        <w:tc>
          <w:tcPr>
            <w:tcW w:type="dxa" w:w="10080"/>
            <w:shd w:fill="EAF2F3"/>
          </w:tcPr>
          <w:p>
            <w:pPr>
              <w:spacing w:after="60"/>
            </w:pPr>
            <w:r/>
            <w:r>
              <w:rPr>
                <w:b/>
                <w:color w:val="17365D"/>
              </w:rPr>
              <w:t>Condensed system prompt</w:t>
            </w:r>
          </w:p>
          <w:p>
            <w:pPr>
              <w:spacing w:after="0"/>
            </w:pPr>
            <w:r>
              <w:t>Repair malformed output only into the required schema. Do not add substantive claims that are absent from the source object.</w:t>
            </w:r>
          </w:p>
        </w:tc>
      </w:tr>
    </w:tbl>
    <w:p>
      <w:pPr>
        <w:spacing w:after="0"/>
      </w:pPr>
    </w:p>
    <w:p>
      <w:r>
        <w:t>Test requirement: inject conflicting instructions into scenario data and verify that the fixed role, schema, and post-parser prevent privilege expansion. Record both blocked and allowed cases to avoid an overbroad filter.</w:t>
      </w:r>
    </w:p>
    <w:p>
      <w:r>
        <w:br w:type="page"/>
      </w:r>
    </w:p>
    <w:p>
      <w:pPr>
        <w:pStyle w:val="Heading1"/>
      </w:pPr>
      <w:r>
        <w:t>Appendix D. Control and Framework Crosswalk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vAlign w:val="center"/>
            <w:shd w:fill="17365D"/>
          </w:tcPr>
          <w:p>
            <w:pPr>
              <w:spacing w:after="0"/>
            </w:pPr>
            <w:r/>
            <w:r>
              <w:rPr>
                <w:rFonts w:ascii="Lato" w:hAnsi="Lato"/>
                <w:b/>
                <w:color w:val="FFFFFF"/>
                <w:sz w:val="14"/>
              </w:rPr>
              <w:t>CyberForge capability</w:t>
            </w:r>
          </w:p>
        </w:tc>
        <w:tc>
          <w:tcPr>
            <w:tcW w:type="dxa" w:w="2232"/>
            <w:vAlign w:val="center"/>
            <w:shd w:fill="17365D"/>
          </w:tcPr>
          <w:p>
            <w:pPr>
              <w:spacing w:after="0"/>
            </w:pPr>
            <w:r/>
            <w:r>
              <w:rPr>
                <w:rFonts w:ascii="Lato" w:hAnsi="Lato"/>
                <w:b/>
                <w:color w:val="FFFFFF"/>
                <w:sz w:val="14"/>
              </w:rPr>
              <w:t>CSF 2.0 function / outcome area</w:t>
            </w:r>
          </w:p>
        </w:tc>
        <w:tc>
          <w:tcPr>
            <w:tcW w:type="dxa" w:w="2952"/>
            <w:vAlign w:val="center"/>
            <w:shd w:fill="17365D"/>
          </w:tcPr>
          <w:p>
            <w:pPr>
              <w:spacing w:after="0"/>
            </w:pPr>
            <w:r/>
            <w:r>
              <w:rPr>
                <w:rFonts w:ascii="Lato" w:hAnsi="Lato"/>
                <w:b/>
                <w:color w:val="FFFFFF"/>
                <w:sz w:val="14"/>
              </w:rPr>
              <w:t>Representative SP 800-53 families</w:t>
            </w:r>
          </w:p>
        </w:tc>
        <w:tc>
          <w:tcPr>
            <w:tcW w:type="dxa" w:w="3384"/>
            <w:vAlign w:val="center"/>
            <w:shd w:fill="17365D"/>
          </w:tcPr>
          <w:p>
            <w:pPr>
              <w:spacing w:after="0"/>
            </w:pPr>
            <w:r/>
            <w:r>
              <w:rPr>
                <w:rFonts w:ascii="Lato" w:hAnsi="Lato"/>
                <w:b/>
                <w:color w:val="FFFFFF"/>
                <w:sz w:val="14"/>
              </w:rPr>
              <w:t>Evidence / assessment direction</w:t>
            </w:r>
          </w:p>
        </w:tc>
      </w:tr>
      <w:tr>
        <w:tc>
          <w:tcPr>
            <w:tcW w:type="dxa" w:w="2232"/>
            <w:vAlign w:val="center"/>
          </w:tcPr>
          <w:p>
            <w:pPr>
              <w:spacing w:after="0"/>
            </w:pPr>
            <w:r/>
            <w:r>
              <w:rPr>
                <w:rFonts w:ascii="Lato" w:hAnsi="Lato"/>
                <w:b w:val="0"/>
                <w:sz w:val="14"/>
              </w:rPr>
              <w:t>Authorization and scope</w:t>
            </w:r>
          </w:p>
        </w:tc>
        <w:tc>
          <w:tcPr>
            <w:tcW w:type="dxa" w:w="2232"/>
            <w:vAlign w:val="center"/>
          </w:tcPr>
          <w:p>
            <w:pPr>
              <w:spacing w:after="0"/>
            </w:pPr>
            <w:r/>
            <w:r>
              <w:rPr>
                <w:rFonts w:ascii="Lato" w:hAnsi="Lato"/>
                <w:b w:val="0"/>
                <w:sz w:val="14"/>
              </w:rPr>
              <w:t>Govern</w:t>
            </w:r>
          </w:p>
        </w:tc>
        <w:tc>
          <w:tcPr>
            <w:tcW w:type="dxa" w:w="2952"/>
            <w:vAlign w:val="center"/>
          </w:tcPr>
          <w:p>
            <w:pPr>
              <w:spacing w:after="0"/>
            </w:pPr>
            <w:r/>
            <w:r>
              <w:rPr>
                <w:rFonts w:ascii="Lato" w:hAnsi="Lato"/>
                <w:b w:val="0"/>
                <w:sz w:val="14"/>
              </w:rPr>
              <w:t>Planning; Risk Assessment; Assessment, Authorization and Monitoring</w:t>
            </w:r>
          </w:p>
        </w:tc>
        <w:tc>
          <w:tcPr>
            <w:tcW w:type="dxa" w:w="3384"/>
            <w:vAlign w:val="center"/>
          </w:tcPr>
          <w:p>
            <w:pPr>
              <w:spacing w:after="0"/>
            </w:pPr>
            <w:r/>
            <w:r>
              <w:rPr>
                <w:rFonts w:ascii="Lato" w:hAnsi="Lato"/>
                <w:b w:val="0"/>
                <w:sz w:val="14"/>
              </w:rPr>
              <w:t>Approved rules of engagement, scope record, report digest, reviewer sign-off.</w:t>
            </w:r>
          </w:p>
        </w:tc>
      </w:tr>
      <w:tr>
        <w:tc>
          <w:tcPr>
            <w:tcW w:type="dxa" w:w="2232"/>
            <w:vAlign w:val="center"/>
            <w:shd w:fill="F3F6F8"/>
          </w:tcPr>
          <w:p>
            <w:pPr>
              <w:spacing w:after="0"/>
            </w:pPr>
            <w:r/>
            <w:r>
              <w:rPr>
                <w:rFonts w:ascii="Lato" w:hAnsi="Lato"/>
                <w:b w:val="0"/>
                <w:sz w:val="14"/>
              </w:rPr>
              <w:t>Surface inventory</w:t>
            </w:r>
          </w:p>
        </w:tc>
        <w:tc>
          <w:tcPr>
            <w:tcW w:type="dxa" w:w="2232"/>
            <w:vAlign w:val="center"/>
            <w:shd w:fill="F3F6F8"/>
          </w:tcPr>
          <w:p>
            <w:pPr>
              <w:spacing w:after="0"/>
            </w:pPr>
            <w:r/>
            <w:r>
              <w:rPr>
                <w:rFonts w:ascii="Lato" w:hAnsi="Lato"/>
                <w:b w:val="0"/>
                <w:sz w:val="14"/>
              </w:rPr>
              <w:t>Identify</w:t>
            </w:r>
          </w:p>
        </w:tc>
        <w:tc>
          <w:tcPr>
            <w:tcW w:type="dxa" w:w="2952"/>
            <w:vAlign w:val="center"/>
            <w:shd w:fill="F3F6F8"/>
          </w:tcPr>
          <w:p>
            <w:pPr>
              <w:spacing w:after="0"/>
            </w:pPr>
            <w:r/>
            <w:r>
              <w:rPr>
                <w:rFonts w:ascii="Lato" w:hAnsi="Lato"/>
                <w:b w:val="0"/>
                <w:sz w:val="14"/>
              </w:rPr>
              <w:t>Configuration Management; System and Services Acquisition</w:t>
            </w:r>
          </w:p>
        </w:tc>
        <w:tc>
          <w:tcPr>
            <w:tcW w:type="dxa" w:w="3384"/>
            <w:vAlign w:val="center"/>
            <w:shd w:fill="F3F6F8"/>
          </w:tcPr>
          <w:p>
            <w:pPr>
              <w:spacing w:after="0"/>
            </w:pPr>
            <w:r/>
            <w:r>
              <w:rPr>
                <w:rFonts w:ascii="Lato" w:hAnsi="Lato"/>
                <w:b w:val="0"/>
                <w:sz w:val="14"/>
              </w:rPr>
              <w:t>Asset and service inventory, ownership, data classification, external-service records.</w:t>
            </w:r>
          </w:p>
        </w:tc>
      </w:tr>
      <w:tr>
        <w:tc>
          <w:tcPr>
            <w:tcW w:type="dxa" w:w="2232"/>
            <w:vAlign w:val="center"/>
          </w:tcPr>
          <w:p>
            <w:pPr>
              <w:spacing w:after="0"/>
            </w:pPr>
            <w:r/>
            <w:r>
              <w:rPr>
                <w:rFonts w:ascii="Lato" w:hAnsi="Lato"/>
                <w:b w:val="0"/>
                <w:sz w:val="14"/>
              </w:rPr>
              <w:t>Vault and key handling</w:t>
            </w:r>
          </w:p>
        </w:tc>
        <w:tc>
          <w:tcPr>
            <w:tcW w:type="dxa" w:w="2232"/>
            <w:vAlign w:val="center"/>
          </w:tcPr>
          <w:p>
            <w:pPr>
              <w:spacing w:after="0"/>
            </w:pPr>
            <w:r/>
            <w:r>
              <w:rPr>
                <w:rFonts w:ascii="Lato" w:hAnsi="Lato"/>
                <w:b w:val="0"/>
                <w:sz w:val="14"/>
              </w:rPr>
              <w:t>Protect</w:t>
            </w:r>
          </w:p>
        </w:tc>
        <w:tc>
          <w:tcPr>
            <w:tcW w:type="dxa" w:w="2952"/>
            <w:vAlign w:val="center"/>
          </w:tcPr>
          <w:p>
            <w:pPr>
              <w:spacing w:after="0"/>
            </w:pPr>
            <w:r/>
            <w:r>
              <w:rPr>
                <w:rFonts w:ascii="Lato" w:hAnsi="Lato"/>
                <w:b w:val="0"/>
                <w:sz w:val="14"/>
              </w:rPr>
              <w:t>Access Control; Identification and Authentication; System and Communications Protection</w:t>
            </w:r>
          </w:p>
        </w:tc>
        <w:tc>
          <w:tcPr>
            <w:tcW w:type="dxa" w:w="3384"/>
            <w:vAlign w:val="center"/>
          </w:tcPr>
          <w:p>
            <w:pPr>
              <w:spacing w:after="0"/>
            </w:pPr>
            <w:r/>
            <w:r>
              <w:rPr>
                <w:rFonts w:ascii="Lato" w:hAnsi="Lato"/>
                <w:b w:val="0"/>
                <w:sz w:val="14"/>
              </w:rPr>
              <w:t>Key lifecycle tests, password policy, session expiry, rotation evidence.</w:t>
            </w:r>
          </w:p>
        </w:tc>
      </w:tr>
      <w:tr>
        <w:tc>
          <w:tcPr>
            <w:tcW w:type="dxa" w:w="2232"/>
            <w:vAlign w:val="center"/>
            <w:shd w:fill="F3F6F8"/>
          </w:tcPr>
          <w:p>
            <w:pPr>
              <w:spacing w:after="0"/>
            </w:pPr>
            <w:r/>
            <w:r>
              <w:rPr>
                <w:rFonts w:ascii="Lato" w:hAnsi="Lato"/>
                <w:b w:val="0"/>
                <w:sz w:val="14"/>
              </w:rPr>
              <w:t>Local model supply chain</w:t>
            </w:r>
          </w:p>
        </w:tc>
        <w:tc>
          <w:tcPr>
            <w:tcW w:type="dxa" w:w="2232"/>
            <w:vAlign w:val="center"/>
            <w:shd w:fill="F3F6F8"/>
          </w:tcPr>
          <w:p>
            <w:pPr>
              <w:spacing w:after="0"/>
            </w:pPr>
            <w:r/>
            <w:r>
              <w:rPr>
                <w:rFonts w:ascii="Lato" w:hAnsi="Lato"/>
                <w:b w:val="0"/>
                <w:sz w:val="14"/>
              </w:rPr>
              <w:t>Protect / Identify</w:t>
            </w:r>
          </w:p>
        </w:tc>
        <w:tc>
          <w:tcPr>
            <w:tcW w:type="dxa" w:w="2952"/>
            <w:vAlign w:val="center"/>
            <w:shd w:fill="F3F6F8"/>
          </w:tcPr>
          <w:p>
            <w:pPr>
              <w:spacing w:after="0"/>
            </w:pPr>
            <w:r/>
            <w:r>
              <w:rPr>
                <w:rFonts w:ascii="Lato" w:hAnsi="Lato"/>
                <w:b w:val="0"/>
                <w:sz w:val="14"/>
              </w:rPr>
              <w:t>Supply Chain Risk Management; System and Information Integrity</w:t>
            </w:r>
          </w:p>
        </w:tc>
        <w:tc>
          <w:tcPr>
            <w:tcW w:type="dxa" w:w="3384"/>
            <w:vAlign w:val="center"/>
            <w:shd w:fill="F3F6F8"/>
          </w:tcPr>
          <w:p>
            <w:pPr>
              <w:spacing w:after="0"/>
            </w:pPr>
            <w:r/>
            <w:r>
              <w:rPr>
                <w:rFonts w:ascii="Lato" w:hAnsi="Lato"/>
                <w:b w:val="0"/>
                <w:sz w:val="14"/>
              </w:rPr>
              <w:t>Pinned digest, provenance, SBOM, update review, runtime hardening.</w:t>
            </w:r>
          </w:p>
        </w:tc>
      </w:tr>
      <w:tr>
        <w:tc>
          <w:tcPr>
            <w:tcW w:type="dxa" w:w="2232"/>
            <w:vAlign w:val="center"/>
          </w:tcPr>
          <w:p>
            <w:pPr>
              <w:spacing w:after="0"/>
            </w:pPr>
            <w:r/>
            <w:r>
              <w:rPr>
                <w:rFonts w:ascii="Lato" w:hAnsi="Lato"/>
                <w:b w:val="0"/>
                <w:sz w:val="14"/>
              </w:rPr>
              <w:t>Scanner telemetry</w:t>
            </w:r>
          </w:p>
        </w:tc>
        <w:tc>
          <w:tcPr>
            <w:tcW w:type="dxa" w:w="2232"/>
            <w:vAlign w:val="center"/>
          </w:tcPr>
          <w:p>
            <w:pPr>
              <w:spacing w:after="0"/>
            </w:pPr>
            <w:r/>
            <w:r>
              <w:rPr>
                <w:rFonts w:ascii="Lato" w:hAnsi="Lato"/>
                <w:b w:val="0"/>
                <w:sz w:val="14"/>
              </w:rPr>
              <w:t>Detect</w:t>
            </w:r>
          </w:p>
        </w:tc>
        <w:tc>
          <w:tcPr>
            <w:tcW w:type="dxa" w:w="2952"/>
            <w:vAlign w:val="center"/>
          </w:tcPr>
          <w:p>
            <w:pPr>
              <w:spacing w:after="0"/>
            </w:pPr>
            <w:r/>
            <w:r>
              <w:rPr>
                <w:rFonts w:ascii="Lato" w:hAnsi="Lato"/>
                <w:b w:val="0"/>
                <w:sz w:val="14"/>
              </w:rPr>
              <w:t>Audit and Accountability; System and Information Integrity</w:t>
            </w:r>
          </w:p>
        </w:tc>
        <w:tc>
          <w:tcPr>
            <w:tcW w:type="dxa" w:w="3384"/>
            <w:vAlign w:val="center"/>
          </w:tcPr>
          <w:p>
            <w:pPr>
              <w:spacing w:after="0"/>
            </w:pPr>
            <w:r/>
            <w:r>
              <w:rPr>
                <w:rFonts w:ascii="Lato" w:hAnsi="Lato"/>
                <w:b w:val="0"/>
                <w:sz w:val="14"/>
              </w:rPr>
              <w:t>Coverage records, log quality, evidence confidence, anomaly review.</w:t>
            </w:r>
          </w:p>
        </w:tc>
      </w:tr>
      <w:tr>
        <w:tc>
          <w:tcPr>
            <w:tcW w:type="dxa" w:w="2232"/>
            <w:vAlign w:val="center"/>
            <w:shd w:fill="F3F6F8"/>
          </w:tcPr>
          <w:p>
            <w:pPr>
              <w:spacing w:after="0"/>
            </w:pPr>
            <w:r/>
            <w:r>
              <w:rPr>
                <w:rFonts w:ascii="Lato" w:hAnsi="Lato"/>
                <w:b w:val="0"/>
                <w:sz w:val="14"/>
              </w:rPr>
              <w:t>Incident scenarios</w:t>
            </w:r>
          </w:p>
        </w:tc>
        <w:tc>
          <w:tcPr>
            <w:tcW w:type="dxa" w:w="2232"/>
            <w:vAlign w:val="center"/>
            <w:shd w:fill="F3F6F8"/>
          </w:tcPr>
          <w:p>
            <w:pPr>
              <w:spacing w:after="0"/>
            </w:pPr>
            <w:r/>
            <w:r>
              <w:rPr>
                <w:rFonts w:ascii="Lato" w:hAnsi="Lato"/>
                <w:b w:val="0"/>
                <w:sz w:val="14"/>
              </w:rPr>
              <w:t>Respond</w:t>
            </w:r>
          </w:p>
        </w:tc>
        <w:tc>
          <w:tcPr>
            <w:tcW w:type="dxa" w:w="2952"/>
            <w:vAlign w:val="center"/>
            <w:shd w:fill="F3F6F8"/>
          </w:tcPr>
          <w:p>
            <w:pPr>
              <w:spacing w:after="0"/>
            </w:pPr>
            <w:r/>
            <w:r>
              <w:rPr>
                <w:rFonts w:ascii="Lato" w:hAnsi="Lato"/>
                <w:b w:val="0"/>
                <w:sz w:val="14"/>
              </w:rPr>
              <w:t>Incident Response; Communications; Analysis</w:t>
            </w:r>
          </w:p>
        </w:tc>
        <w:tc>
          <w:tcPr>
            <w:tcW w:type="dxa" w:w="3384"/>
            <w:vAlign w:val="center"/>
            <w:shd w:fill="F3F6F8"/>
          </w:tcPr>
          <w:p>
            <w:pPr>
              <w:spacing w:after="0"/>
            </w:pPr>
            <w:r/>
            <w:r>
              <w:rPr>
                <w:rFonts w:ascii="Lato" w:hAnsi="Lato"/>
                <w:b w:val="0"/>
                <w:sz w:val="14"/>
              </w:rPr>
              <w:t>Tabletop records, decision logs, escalation criteria, evidence requests.</w:t>
            </w:r>
          </w:p>
        </w:tc>
      </w:tr>
      <w:tr>
        <w:tc>
          <w:tcPr>
            <w:tcW w:type="dxa" w:w="2232"/>
            <w:vAlign w:val="center"/>
          </w:tcPr>
          <w:p>
            <w:pPr>
              <w:spacing w:after="0"/>
            </w:pPr>
            <w:r/>
            <w:r>
              <w:rPr>
                <w:rFonts w:ascii="Lato" w:hAnsi="Lato"/>
                <w:b w:val="0"/>
                <w:sz w:val="14"/>
              </w:rPr>
              <w:t>Affected-equivalent analysis</w:t>
            </w:r>
          </w:p>
        </w:tc>
        <w:tc>
          <w:tcPr>
            <w:tcW w:type="dxa" w:w="2232"/>
            <w:vAlign w:val="center"/>
          </w:tcPr>
          <w:p>
            <w:pPr>
              <w:spacing w:after="0"/>
            </w:pPr>
            <w:r/>
            <w:r>
              <w:rPr>
                <w:rFonts w:ascii="Lato" w:hAnsi="Lato"/>
                <w:b w:val="0"/>
                <w:sz w:val="14"/>
              </w:rPr>
              <w:t>Recover</w:t>
            </w:r>
          </w:p>
        </w:tc>
        <w:tc>
          <w:tcPr>
            <w:tcW w:type="dxa" w:w="2952"/>
            <w:vAlign w:val="center"/>
          </w:tcPr>
          <w:p>
            <w:pPr>
              <w:spacing w:after="0"/>
            </w:pPr>
            <w:r/>
            <w:r>
              <w:rPr>
                <w:rFonts w:ascii="Lato" w:hAnsi="Lato"/>
                <w:b w:val="0"/>
                <w:sz w:val="14"/>
              </w:rPr>
              <w:t>Contingency Planning; Impact Analysis</w:t>
            </w:r>
          </w:p>
        </w:tc>
        <w:tc>
          <w:tcPr>
            <w:tcW w:type="dxa" w:w="3384"/>
            <w:vAlign w:val="center"/>
          </w:tcPr>
          <w:p>
            <w:pPr>
              <w:spacing w:after="0"/>
            </w:pPr>
            <w:r/>
            <w:r>
              <w:rPr>
                <w:rFonts w:ascii="Lato" w:hAnsi="Lato"/>
                <w:b w:val="0"/>
                <w:sz w:val="14"/>
              </w:rPr>
              <w:t>Recovery dependencies, restoration tests, minimum viable services.</w:t>
            </w:r>
          </w:p>
        </w:tc>
      </w:tr>
      <w:tr>
        <w:tc>
          <w:tcPr>
            <w:tcW w:type="dxa" w:w="2232"/>
            <w:vAlign w:val="center"/>
            <w:shd w:fill="F3F6F8"/>
          </w:tcPr>
          <w:p>
            <w:pPr>
              <w:spacing w:after="0"/>
            </w:pPr>
            <w:r/>
            <w:r>
              <w:rPr>
                <w:rFonts w:ascii="Lato" w:hAnsi="Lato"/>
                <w:b w:val="0"/>
                <w:sz w:val="14"/>
              </w:rPr>
              <w:t>Vendor trust graph</w:t>
            </w:r>
          </w:p>
        </w:tc>
        <w:tc>
          <w:tcPr>
            <w:tcW w:type="dxa" w:w="2232"/>
            <w:vAlign w:val="center"/>
            <w:shd w:fill="F3F6F8"/>
          </w:tcPr>
          <w:p>
            <w:pPr>
              <w:spacing w:after="0"/>
            </w:pPr>
            <w:r/>
            <w:r>
              <w:rPr>
                <w:rFonts w:ascii="Lato" w:hAnsi="Lato"/>
                <w:b w:val="0"/>
                <w:sz w:val="14"/>
              </w:rPr>
              <w:t>Govern / Identify</w:t>
            </w:r>
          </w:p>
        </w:tc>
        <w:tc>
          <w:tcPr>
            <w:tcW w:type="dxa" w:w="2952"/>
            <w:vAlign w:val="center"/>
            <w:shd w:fill="F3F6F8"/>
          </w:tcPr>
          <w:p>
            <w:pPr>
              <w:spacing w:after="0"/>
            </w:pPr>
            <w:r/>
            <w:r>
              <w:rPr>
                <w:rFonts w:ascii="Lato" w:hAnsi="Lato"/>
                <w:b w:val="0"/>
                <w:sz w:val="14"/>
              </w:rPr>
              <w:t>Supply Chain Risk Management; Access Control</w:t>
            </w:r>
          </w:p>
        </w:tc>
        <w:tc>
          <w:tcPr>
            <w:tcW w:type="dxa" w:w="3384"/>
            <w:vAlign w:val="center"/>
            <w:shd w:fill="F3F6F8"/>
          </w:tcPr>
          <w:p>
            <w:pPr>
              <w:spacing w:after="0"/>
            </w:pPr>
            <w:r/>
            <w:r>
              <w:rPr>
                <w:rFonts w:ascii="Lato" w:hAnsi="Lato"/>
                <w:b w:val="0"/>
                <w:sz w:val="14"/>
              </w:rPr>
              <w:t>Contracts, access recertification, session logs, assurance reports.</w:t>
            </w:r>
          </w:p>
        </w:tc>
      </w:tr>
      <w:tr>
        <w:tc>
          <w:tcPr>
            <w:tcW w:type="dxa" w:w="2232"/>
            <w:vAlign w:val="center"/>
          </w:tcPr>
          <w:p>
            <w:pPr>
              <w:spacing w:after="0"/>
            </w:pPr>
            <w:r/>
            <w:r>
              <w:rPr>
                <w:rFonts w:ascii="Lato" w:hAnsi="Lato"/>
                <w:b w:val="0"/>
                <w:sz w:val="14"/>
              </w:rPr>
              <w:t>Physical surfaces</w:t>
            </w:r>
          </w:p>
        </w:tc>
        <w:tc>
          <w:tcPr>
            <w:tcW w:type="dxa" w:w="2232"/>
            <w:vAlign w:val="center"/>
          </w:tcPr>
          <w:p>
            <w:pPr>
              <w:spacing w:after="0"/>
            </w:pPr>
            <w:r/>
            <w:r>
              <w:rPr>
                <w:rFonts w:ascii="Lato" w:hAnsi="Lato"/>
                <w:b w:val="0"/>
                <w:sz w:val="14"/>
              </w:rPr>
              <w:t>Protect</w:t>
            </w:r>
          </w:p>
        </w:tc>
        <w:tc>
          <w:tcPr>
            <w:tcW w:type="dxa" w:w="2952"/>
            <w:vAlign w:val="center"/>
          </w:tcPr>
          <w:p>
            <w:pPr>
              <w:spacing w:after="0"/>
            </w:pPr>
            <w:r/>
            <w:r>
              <w:rPr>
                <w:rFonts w:ascii="Lato" w:hAnsi="Lato"/>
                <w:b w:val="0"/>
                <w:sz w:val="14"/>
              </w:rPr>
              <w:t>Physical and Environmental Protection</w:t>
            </w:r>
          </w:p>
        </w:tc>
        <w:tc>
          <w:tcPr>
            <w:tcW w:type="dxa" w:w="3384"/>
            <w:vAlign w:val="center"/>
          </w:tcPr>
          <w:p>
            <w:pPr>
              <w:spacing w:after="0"/>
            </w:pPr>
            <w:r/>
            <w:r>
              <w:rPr>
                <w:rFonts w:ascii="Lato" w:hAnsi="Lato"/>
                <w:b w:val="0"/>
                <w:sz w:val="14"/>
              </w:rPr>
              <w:t>Badge reviews, visitor logs, device custody, continuity procedures.</w:t>
            </w:r>
          </w:p>
        </w:tc>
      </w:tr>
      <w:tr>
        <w:tc>
          <w:tcPr>
            <w:tcW w:type="dxa" w:w="2232"/>
            <w:vAlign w:val="center"/>
            <w:shd w:fill="F3F6F8"/>
          </w:tcPr>
          <w:p>
            <w:pPr>
              <w:spacing w:after="0"/>
            </w:pPr>
            <w:r/>
            <w:r>
              <w:rPr>
                <w:rFonts w:ascii="Lato" w:hAnsi="Lato"/>
                <w:b w:val="0"/>
                <w:sz w:val="14"/>
              </w:rPr>
              <w:t>Model council governance</w:t>
            </w:r>
          </w:p>
        </w:tc>
        <w:tc>
          <w:tcPr>
            <w:tcW w:type="dxa" w:w="2232"/>
            <w:vAlign w:val="center"/>
            <w:shd w:fill="F3F6F8"/>
          </w:tcPr>
          <w:p>
            <w:pPr>
              <w:spacing w:after="0"/>
            </w:pPr>
            <w:r/>
            <w:r>
              <w:rPr>
                <w:rFonts w:ascii="Lato" w:hAnsi="Lato"/>
                <w:b w:val="0"/>
                <w:sz w:val="14"/>
              </w:rPr>
              <w:t>Govern</w:t>
            </w:r>
          </w:p>
        </w:tc>
        <w:tc>
          <w:tcPr>
            <w:tcW w:type="dxa" w:w="2952"/>
            <w:vAlign w:val="center"/>
            <w:shd w:fill="F3F6F8"/>
          </w:tcPr>
          <w:p>
            <w:pPr>
              <w:spacing w:after="0"/>
            </w:pPr>
            <w:r/>
            <w:r>
              <w:rPr>
                <w:rFonts w:ascii="Lato" w:hAnsi="Lato"/>
                <w:b w:val="0"/>
                <w:sz w:val="14"/>
              </w:rPr>
              <w:t>Program Management; Risk Assessment; System and Services Acquisition</w:t>
            </w:r>
          </w:p>
        </w:tc>
        <w:tc>
          <w:tcPr>
            <w:tcW w:type="dxa" w:w="3384"/>
            <w:vAlign w:val="center"/>
            <w:shd w:fill="F3F6F8"/>
          </w:tcPr>
          <w:p>
            <w:pPr>
              <w:spacing w:after="0"/>
            </w:pPr>
            <w:r/>
            <w:r>
              <w:rPr>
                <w:rFonts w:ascii="Lato" w:hAnsi="Lato"/>
                <w:b w:val="0"/>
                <w:sz w:val="14"/>
              </w:rPr>
              <w:t>Model inventory, version records, evaluation results, disagreement review.</w:t>
            </w:r>
          </w:p>
        </w:tc>
      </w:tr>
      <w:tr>
        <w:tc>
          <w:tcPr>
            <w:tcW w:type="dxa" w:w="2232"/>
            <w:vAlign w:val="center"/>
          </w:tcPr>
          <w:p>
            <w:pPr>
              <w:spacing w:after="0"/>
            </w:pPr>
            <w:r/>
            <w:r>
              <w:rPr>
                <w:rFonts w:ascii="Lato" w:hAnsi="Lato"/>
                <w:b w:val="0"/>
                <w:sz w:val="14"/>
              </w:rPr>
              <w:t>Privacy boundary</w:t>
            </w:r>
          </w:p>
        </w:tc>
        <w:tc>
          <w:tcPr>
            <w:tcW w:type="dxa" w:w="2232"/>
            <w:vAlign w:val="center"/>
          </w:tcPr>
          <w:p>
            <w:pPr>
              <w:spacing w:after="0"/>
            </w:pPr>
            <w:r/>
            <w:r>
              <w:rPr>
                <w:rFonts w:ascii="Lato" w:hAnsi="Lato"/>
                <w:b w:val="0"/>
                <w:sz w:val="14"/>
              </w:rPr>
              <w:t>Govern / Protect</w:t>
            </w:r>
          </w:p>
        </w:tc>
        <w:tc>
          <w:tcPr>
            <w:tcW w:type="dxa" w:w="2952"/>
            <w:vAlign w:val="center"/>
          </w:tcPr>
          <w:p>
            <w:pPr>
              <w:spacing w:after="0"/>
            </w:pPr>
            <w:r/>
            <w:r>
              <w:rPr>
                <w:rFonts w:ascii="Lato" w:hAnsi="Lato"/>
                <w:b w:val="0"/>
                <w:sz w:val="14"/>
              </w:rPr>
              <w:t>PII Processing and Transparency; Access Control</w:t>
            </w:r>
          </w:p>
        </w:tc>
        <w:tc>
          <w:tcPr>
            <w:tcW w:type="dxa" w:w="3384"/>
            <w:vAlign w:val="center"/>
          </w:tcPr>
          <w:p>
            <w:pPr>
              <w:spacing w:after="0"/>
            </w:pPr>
            <w:r/>
            <w:r>
              <w:rPr>
                <w:rFonts w:ascii="Lato" w:hAnsi="Lato"/>
                <w:b w:val="0"/>
                <w:sz w:val="14"/>
              </w:rPr>
              <w:t>Data minimization, retention, role aggregation, correction process.</w:t>
            </w:r>
          </w:p>
        </w:tc>
      </w:tr>
      <w:tr>
        <w:tc>
          <w:tcPr>
            <w:tcW w:type="dxa" w:w="2232"/>
            <w:vAlign w:val="center"/>
            <w:shd w:fill="F3F6F8"/>
          </w:tcPr>
          <w:p>
            <w:pPr>
              <w:spacing w:after="0"/>
            </w:pPr>
            <w:r/>
            <w:r>
              <w:rPr>
                <w:rFonts w:ascii="Lato" w:hAnsi="Lato"/>
                <w:b w:val="0"/>
                <w:sz w:val="14"/>
              </w:rPr>
              <w:t>Recovery cryptography</w:t>
            </w:r>
          </w:p>
        </w:tc>
        <w:tc>
          <w:tcPr>
            <w:tcW w:type="dxa" w:w="2232"/>
            <w:vAlign w:val="center"/>
            <w:shd w:fill="F3F6F8"/>
          </w:tcPr>
          <w:p>
            <w:pPr>
              <w:spacing w:after="0"/>
            </w:pPr>
            <w:r/>
            <w:r>
              <w:rPr>
                <w:rFonts w:ascii="Lato" w:hAnsi="Lato"/>
                <w:b w:val="0"/>
                <w:sz w:val="14"/>
              </w:rPr>
              <w:t>Recover / Protect</w:t>
            </w:r>
          </w:p>
        </w:tc>
        <w:tc>
          <w:tcPr>
            <w:tcW w:type="dxa" w:w="2952"/>
            <w:vAlign w:val="center"/>
            <w:shd w:fill="F3F6F8"/>
          </w:tcPr>
          <w:p>
            <w:pPr>
              <w:spacing w:after="0"/>
            </w:pPr>
            <w:r/>
            <w:r>
              <w:rPr>
                <w:rFonts w:ascii="Lato" w:hAnsi="Lato"/>
                <w:b w:val="0"/>
                <w:sz w:val="14"/>
              </w:rPr>
              <w:t>Contingency Planning; System and Communications Protection</w:t>
            </w:r>
          </w:p>
        </w:tc>
        <w:tc>
          <w:tcPr>
            <w:tcW w:type="dxa" w:w="3384"/>
            <w:vAlign w:val="center"/>
            <w:shd w:fill="F3F6F8"/>
          </w:tcPr>
          <w:p>
            <w:pPr>
              <w:spacing w:after="0"/>
            </w:pPr>
            <w:r/>
            <w:r>
              <w:rPr>
                <w:rFonts w:ascii="Lato" w:hAnsi="Lato"/>
                <w:b w:val="0"/>
                <w:sz w:val="14"/>
              </w:rPr>
              <w:t>Recovery-kit custody, restore drill, algorithm and format versions.</w:t>
            </w:r>
          </w:p>
        </w:tc>
      </w:tr>
    </w:tbl>
    <w:p>
      <w:pPr>
        <w:spacing w:after="0"/>
      </w:pPr>
    </w:p>
    <w:p>
      <w:pPr>
        <w:pStyle w:val="Heading2"/>
      </w:pPr>
      <w:r>
        <w:t>D.1 Crosswalk interpretation rule</w:t>
      </w:r>
    </w:p>
    <w:p>
      <w:r>
        <w:t>A framework mapping is a navigation aid, not evidence that a control is implemented or effective. CyberForge should link each recommendation to an assessment objective, expected artifact, responsible owner, and review date. The same simulated path may require controls from several families because systemic pressure crosses organizational boundaries. Reviewers must be able to remove or replace a mapping without changing the underlying numerical result.</w:t>
      </w:r>
    </w:p>
    <w:p>
      <w:pPr>
        <w:pStyle w:val="Heading2"/>
      </w:pPr>
      <w:r>
        <w:t>D.2 Crosswalk interpretation rule</w:t>
      </w:r>
    </w:p>
    <w:p>
      <w:r>
        <w:t>A framework mapping is a navigation aid, not evidence that a control is implemented or effective. CyberForge should link each recommendation to an assessment objective, expected artifact, responsible owner, and review date. The same simulated path may require controls from several families because systemic pressure crosses organizational boundaries. Reviewers must be able to remove or replace a mapping without changing the underlying numerical result.</w:t>
      </w:r>
    </w:p>
    <w:p>
      <w:pPr>
        <w:pStyle w:val="Heading2"/>
      </w:pPr>
      <w:r>
        <w:t>D.3 Crosswalk interpretation rule</w:t>
      </w:r>
    </w:p>
    <w:p>
      <w:r>
        <w:t>A framework mapping is a navigation aid, not evidence that a control is implemented or effective. CyberForge should link each recommendation to an assessment objective, expected artifact, responsible owner, and review date. The same simulated path may require controls from several families because systemic pressure crosses organizational boundaries. Reviewers must be able to remove or replace a mapping without changing the underlying numerical result.</w:t>
      </w:r>
    </w:p>
    <w:p>
      <w:pPr>
        <w:pStyle w:val="Heading2"/>
      </w:pPr>
      <w:r>
        <w:t>D.4 Crosswalk interpretation rule</w:t>
      </w:r>
    </w:p>
    <w:p>
      <w:r>
        <w:t>A framework mapping is a navigation aid, not evidence that a control is implemented or effective. CyberForge should link each recommendation to an assessment objective, expected artifact, responsible owner, and review date. The same simulated path may require controls from several families because systemic pressure crosses organizational boundaries. Reviewers must be able to remove or replace a mapping without changing the underlying numerical result.</w:t>
      </w:r>
    </w:p>
    <w:p>
      <w:pPr>
        <w:pStyle w:val="Heading2"/>
      </w:pPr>
      <w:r>
        <w:t>D.5 Crosswalk interpretation rule</w:t>
      </w:r>
    </w:p>
    <w:p>
      <w:r>
        <w:t>A framework mapping is a navigation aid, not evidence that a control is implemented or effective. CyberForge should link each recommendation to an assessment objective, expected artifact, responsible owner, and review date. The same simulated path may require controls from several families because systemic pressure crosses organizational boundaries. Reviewers must be able to remove or replace a mapping without changing the underlying numerical result.</w:t>
      </w:r>
    </w:p>
    <w:p>
      <w:pPr>
        <w:pStyle w:val="Heading2"/>
      </w:pPr>
      <w:r>
        <w:t>D.6 Crosswalk interpretation rule</w:t>
      </w:r>
    </w:p>
    <w:p>
      <w:r>
        <w:t>A framework mapping is a navigation aid, not evidence that a control is implemented or effective. CyberForge should link each recommendation to an assessment objective, expected artifact, responsible owner, and review date. The same simulated path may require controls from several families because systemic pressure crosses organizational boundaries. Reviewers must be able to remove or replace a mapping without changing the underlying numerical result.</w:t>
      </w:r>
    </w:p>
    <w:p>
      <w:pPr>
        <w:pStyle w:val="Heading2"/>
      </w:pPr>
      <w:r>
        <w:t>D.7 Crosswalk interpretation rule</w:t>
      </w:r>
    </w:p>
    <w:p>
      <w:r>
        <w:t>A framework mapping is a navigation aid, not evidence that a control is implemented or effective. CyberForge should link each recommendation to an assessment objective, expected artifact, responsible owner, and review date. The same simulated path may require controls from several families because systemic pressure crosses organizational boundaries. Reviewers must be able to remove or replace a mapping without changing the underlying numerical result.</w:t>
      </w:r>
    </w:p>
    <w:p>
      <w:r>
        <w:br w:type="page"/>
      </w:r>
    </w:p>
    <w:p>
      <w:pPr>
        <w:pStyle w:val="Heading1"/>
      </w:pPr>
      <w:r>
        <w:t>Appendix E. Reproducibility and Deployment Checklists</w:t>
      </w:r>
    </w:p>
    <w:p>
      <w:pPr>
        <w:pStyle w:val="Heading2"/>
      </w:pPr>
      <w:r>
        <w:t>E.1 Reproducible experiment</w:t>
      </w:r>
    </w:p>
    <w:p>
      <w:pPr>
        <w:pStyle w:val="ListBullet"/>
        <w:spacing w:after="40"/>
      </w:pPr>
      <w:r>
        <w:t>Record source commit or archive checksum.</w:t>
      </w:r>
    </w:p>
    <w:p>
      <w:pPr>
        <w:pStyle w:val="ListBullet"/>
        <w:spacing w:after="40"/>
      </w:pPr>
      <w:r>
        <w:t>Record Python, Dart, Flutter, operating system, CPU, memory, and dependency versions.</w:t>
      </w:r>
    </w:p>
    <w:p>
      <w:pPr>
        <w:pStyle w:val="ListBullet"/>
        <w:spacing w:after="40"/>
      </w:pPr>
      <w:r>
        <w:t>Archive the exact scenario JSON, seed, world count, and remote-model setting.</w:t>
      </w:r>
    </w:p>
    <w:p>
      <w:pPr>
        <w:pStyle w:val="ListBullet"/>
        <w:spacing w:after="40"/>
      </w:pPr>
      <w:r>
        <w:t>Store the structured report and packet digest.</w:t>
      </w:r>
    </w:p>
    <w:p>
      <w:pPr>
        <w:pStyle w:val="ListBullet"/>
        <w:spacing w:after="40"/>
      </w:pPr>
      <w:r>
        <w:t>Record which local models were installed and their plaintext hashes.</w:t>
      </w:r>
    </w:p>
    <w:p>
      <w:pPr>
        <w:pStyle w:val="ListBullet"/>
        <w:spacing w:after="40"/>
      </w:pPr>
      <w:r>
        <w:t>Record resolved remote model versions, provider region, and retention settings.</w:t>
      </w:r>
    </w:p>
    <w:p>
      <w:pPr>
        <w:pStyle w:val="ListBullet"/>
        <w:spacing w:after="40"/>
      </w:pPr>
      <w:r>
        <w:t>Repeat timing measurements under a controlled warm-up protocol.</w:t>
      </w:r>
    </w:p>
    <w:p>
      <w:pPr>
        <w:pStyle w:val="ListBullet"/>
        <w:spacing w:after="40"/>
      </w:pPr>
      <w:r>
        <w:t>Publish negative and failed runs.</w:t>
      </w:r>
    </w:p>
    <w:p>
      <w:r>
        <w:t>Checklist rationale: each item creates an auditable condition that can be verified independently of model fluency. A pilot should fail if the artifacts needed to establish these conditions are missing.</w:t>
      </w:r>
    </w:p>
    <w:p>
      <w:pPr>
        <w:pStyle w:val="Heading2"/>
      </w:pPr>
      <w:r>
        <w:t>E.2 Secure deployment</w:t>
      </w:r>
    </w:p>
    <w:p>
      <w:pPr>
        <w:pStyle w:val="ListBullet"/>
        <w:spacing w:after="40"/>
      </w:pPr>
      <w:r>
        <w:t>Use an encrypted, patched host.</w:t>
      </w:r>
    </w:p>
    <w:p>
      <w:pPr>
        <w:pStyle w:val="ListBullet"/>
        <w:spacing w:after="40"/>
      </w:pPr>
      <w:r>
        <w:t>Bind the sidecar to loopback unless a reviewed exception is required.</w:t>
      </w:r>
    </w:p>
    <w:p>
      <w:pPr>
        <w:pStyle w:val="ListBullet"/>
        <w:spacing w:after="40"/>
      </w:pPr>
      <w:r>
        <w:t>Create least-privilege provider tokens.</w:t>
      </w:r>
    </w:p>
    <w:p>
      <w:pPr>
        <w:pStyle w:val="ListBullet"/>
        <w:spacing w:after="40"/>
      </w:pPr>
      <w:r>
        <w:t>Keep remote participation disabled for sensitive scenarios.</w:t>
      </w:r>
    </w:p>
    <w:p>
      <w:pPr>
        <w:pStyle w:val="ListBullet"/>
        <w:spacing w:after="40"/>
      </w:pPr>
      <w:r>
        <w:t>Verify model digests and runtime provenance.</w:t>
      </w:r>
    </w:p>
    <w:p>
      <w:pPr>
        <w:pStyle w:val="ListBullet"/>
        <w:spacing w:after="40"/>
      </w:pPr>
      <w:r>
        <w:t>Set vault password and session policies.</w:t>
      </w:r>
    </w:p>
    <w:p>
      <w:pPr>
        <w:pStyle w:val="ListBullet"/>
        <w:spacing w:after="40"/>
      </w:pPr>
      <w:r>
        <w:t>Disable indexing and core dumps for model temporary paths where practical.</w:t>
      </w:r>
    </w:p>
    <w:p>
      <w:pPr>
        <w:pStyle w:val="ListBullet"/>
        <w:spacing w:after="40"/>
      </w:pPr>
      <w:r>
        <w:t>Test lock, key rotation, backup, and restore.</w:t>
      </w:r>
    </w:p>
    <w:p>
      <w:pPr>
        <w:pStyle w:val="ListBullet"/>
        <w:spacing w:after="40"/>
      </w:pPr>
      <w:r>
        <w:t>Review logs for secret leakage.</w:t>
      </w:r>
    </w:p>
    <w:p>
      <w:pPr>
        <w:pStyle w:val="ListBullet"/>
        <w:spacing w:after="40"/>
      </w:pPr>
      <w:r>
        <w:t>Run the guardrail and redaction test suite.</w:t>
      </w:r>
    </w:p>
    <w:p>
      <w:r>
        <w:t>Checklist rationale: each item creates an auditable condition that can be verified independently of model fluency. A pilot should fail if the artifacts needed to establish these conditions are missing.</w:t>
      </w:r>
    </w:p>
    <w:p>
      <w:pPr>
        <w:pStyle w:val="Heading2"/>
      </w:pPr>
      <w:r>
        <w:t>E.3 Scenario review</w:t>
      </w:r>
    </w:p>
    <w:p>
      <w:pPr>
        <w:pStyle w:val="ListBullet"/>
        <w:spacing w:after="40"/>
      </w:pPr>
      <w:r>
        <w:t>Confirm ownership or explicit authorization.</w:t>
      </w:r>
    </w:p>
    <w:p>
      <w:pPr>
        <w:pStyle w:val="ListBullet"/>
        <w:spacing w:after="40"/>
      </w:pPr>
      <w:r>
        <w:t>Use synthetic identifiers and minimum necessary data.</w:t>
      </w:r>
    </w:p>
    <w:p>
      <w:pPr>
        <w:pStyle w:val="ListBullet"/>
        <w:spacing w:after="40"/>
      </w:pPr>
      <w:r>
        <w:t>Separate observed values from estimates.</w:t>
      </w:r>
    </w:p>
    <w:p>
      <w:pPr>
        <w:pStyle w:val="ListBullet"/>
        <w:spacing w:after="40"/>
      </w:pPr>
      <w:r>
        <w:t>Assign evidence sources and dates.</w:t>
      </w:r>
    </w:p>
    <w:p>
      <w:pPr>
        <w:pStyle w:val="ListBullet"/>
        <w:spacing w:after="40"/>
      </w:pPr>
      <w:r>
        <w:t>Review every trust link.</w:t>
      </w:r>
    </w:p>
    <w:p>
      <w:pPr>
        <w:pStyle w:val="ListBullet"/>
        <w:spacing w:after="40"/>
      </w:pPr>
      <w:r>
        <w:t>Check inventory aggregation and double counting.</w:t>
      </w:r>
    </w:p>
    <w:p>
      <w:pPr>
        <w:pStyle w:val="ListBullet"/>
        <w:spacing w:after="40"/>
      </w:pPr>
      <w:r>
        <w:t>Run sensitivity analysis for weak assumptions.</w:t>
      </w:r>
    </w:p>
    <w:p>
      <w:pPr>
        <w:pStyle w:val="ListBullet"/>
        <w:spacing w:after="40"/>
      </w:pPr>
      <w:r>
        <w:t>Require a second reviewer for high-consequence scenarios.</w:t>
      </w:r>
    </w:p>
    <w:p>
      <w:r>
        <w:t>Checklist rationale: each item creates an auditable condition that can be verified independently of model fluency. A pilot should fail if the artifacts needed to establish these conditions are missing.</w:t>
      </w:r>
    </w:p>
    <w:p>
      <w:pPr>
        <w:pStyle w:val="Heading2"/>
      </w:pPr>
      <w:r>
        <w:t>E.4 Report review</w:t>
      </w:r>
    </w:p>
    <w:p>
      <w:pPr>
        <w:pStyle w:val="ListBullet"/>
        <w:spacing w:after="40"/>
      </w:pPr>
      <w:r>
        <w:t>Read truth labels before metrics.</w:t>
      </w:r>
    </w:p>
    <w:p>
      <w:pPr>
        <w:pStyle w:val="ListBullet"/>
        <w:spacing w:after="40"/>
      </w:pPr>
      <w:r>
        <w:t>Inspect component scores and confidence, not only overall risk.</w:t>
      </w:r>
    </w:p>
    <w:p>
      <w:pPr>
        <w:pStyle w:val="ListBullet"/>
        <w:spacing w:after="40"/>
      </w:pPr>
      <w:r>
        <w:t>Review wide ranges and saturation.</w:t>
      </w:r>
    </w:p>
    <w:p>
      <w:pPr>
        <w:pStyle w:val="ListBullet"/>
        <w:spacing w:after="40"/>
      </w:pPr>
      <w:r>
        <w:t>Read model disagreement and failed-provider states.</w:t>
      </w:r>
    </w:p>
    <w:p>
      <w:pPr>
        <w:pStyle w:val="ListBullet"/>
        <w:spacing w:after="40"/>
      </w:pPr>
      <w:r>
        <w:t>Convert each priority into an evidence or control task.</w:t>
      </w:r>
    </w:p>
    <w:p>
      <w:pPr>
        <w:pStyle w:val="ListBullet"/>
        <w:spacing w:after="40"/>
      </w:pPr>
      <w:r>
        <w:t>Do not infer actor, country, person, or forensic timing.</w:t>
      </w:r>
    </w:p>
    <w:p>
      <w:pPr>
        <w:pStyle w:val="ListBullet"/>
        <w:spacing w:after="40"/>
      </w:pPr>
      <w:r>
        <w:t>Archive the scenario and report together.</w:t>
      </w:r>
    </w:p>
    <w:p>
      <w:r>
        <w:t>Checklist rationale: each item creates an auditable condition that can be verified independently of model fluency. A pilot should fail if the artifacts needed to establish these conditions are missing.</w:t>
      </w:r>
    </w:p>
    <w:p>
      <w:pPr>
        <w:pStyle w:val="Heading2"/>
      </w:pPr>
      <w:r>
        <w:t>E.5 Operational pilot</w:t>
      </w:r>
    </w:p>
    <w:p>
      <w:pPr>
        <w:pStyle w:val="ListBullet"/>
        <w:spacing w:after="40"/>
      </w:pPr>
      <w:r>
        <w:t>Define the decision the pilot is intended to improve.</w:t>
      </w:r>
    </w:p>
    <w:p>
      <w:pPr>
        <w:pStyle w:val="ListBullet"/>
        <w:spacing w:after="40"/>
      </w:pPr>
      <w:r>
        <w:t>Choose a baseline process for comparison.</w:t>
      </w:r>
    </w:p>
    <w:p>
      <w:pPr>
        <w:pStyle w:val="ListBullet"/>
        <w:spacing w:after="40"/>
      </w:pPr>
      <w:r>
        <w:t>Pre-register usefulness and safety metrics.</w:t>
      </w:r>
    </w:p>
    <w:p>
      <w:pPr>
        <w:pStyle w:val="ListBullet"/>
        <w:spacing w:after="40"/>
      </w:pPr>
      <w:r>
        <w:t>Use at least three scenario families.</w:t>
      </w:r>
    </w:p>
    <w:p>
      <w:pPr>
        <w:pStyle w:val="ListBullet"/>
        <w:spacing w:after="40"/>
      </w:pPr>
      <w:r>
        <w:t>Include blind expert review.</w:t>
      </w:r>
    </w:p>
    <w:p>
      <w:pPr>
        <w:pStyle w:val="ListBullet"/>
        <w:spacing w:after="40"/>
      </w:pPr>
      <w:r>
        <w:t>Track time to evidence-backed action.</w:t>
      </w:r>
    </w:p>
    <w:p>
      <w:pPr>
        <w:pStyle w:val="ListBullet"/>
        <w:spacing w:after="40"/>
      </w:pPr>
      <w:r>
        <w:t>Survey user understanding of uncertainty.</w:t>
      </w:r>
    </w:p>
    <w:p>
      <w:pPr>
        <w:pStyle w:val="ListBullet"/>
        <w:spacing w:after="40"/>
      </w:pPr>
      <w:r>
        <w:t>Remove features that add no measurable value.</w:t>
      </w:r>
    </w:p>
    <w:p>
      <w:r>
        <w:t>Checklist rationale: each item creates an auditable condition that can be verified independently of model fluency. A pilot should fail if the artifacts needed to establish these conditions are missing.</w:t>
      </w:r>
    </w:p>
    <w:p>
      <w:r>
        <w:br w:type="page"/>
      </w:r>
    </w:p>
    <w:p>
      <w:pPr>
        <w:pStyle w:val="Heading1"/>
      </w:pPr>
      <w:r>
        <w:t>Appendix F. Extended Research Exercises</w:t>
      </w:r>
    </w:p>
    <w:p>
      <w:pPr>
        <w:pStyle w:val="Heading2"/>
      </w:pPr>
      <w:r>
        <w:t>F.1 Extended exercise for Chapter 1</w:t>
      </w:r>
    </w:p>
    <w:p>
      <w:r>
        <w:t>Build a small research protocol around the chapter topic, “Problem Definition, Thesis, and Research Contributions.” Begin by stating one falsifiable hypothesis derived from cybersecurity programs possess abundant inventories, alerts, questionnaires, and control statements, yet they often lack a disciplined mechanism for combining those fragments into testable hypotheses about where failure pressure will concentrate.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Write a one-page statement that distinguishes a risk hypothesis, a verified finding, and an attribution claim.</w:t>
      </w:r>
    </w:p>
    <w:p>
      <w:pPr>
        <w:pStyle w:val="ListBullet"/>
        <w:spacing w:after="40"/>
      </w:pPr>
      <w:r>
        <w:t>Create a minimal three-surface scenario and identify which relationships must be represented explicitly.</w:t>
      </w:r>
    </w:p>
    <w:p>
      <w:pPr>
        <w:pStyle w:val="ListBullet"/>
        <w:spacing w:after="40"/>
      </w:pPr>
      <w:r>
        <w:t>Define a falsifiable success criterion for a simulator used by a blue team.</w:t>
      </w:r>
    </w:p>
    <w:p>
      <w:pPr>
        <w:pStyle w:val="Heading2"/>
      </w:pPr>
      <w:r>
        <w:t>F.2 Extended exercise for Chapter 2</w:t>
      </w:r>
    </w:p>
    <w:p>
      <w:r>
        <w:t>Build a small research protocol around the chapter topic, “Related Work and Conceptual Foundations.” Begin by stating one falsifiable hypothesis derived from digital twins and cyber ranges overlap in their use of models and controlled experimentation, but they answer different questions: a range emphasizes executable training environments, whereas a defensive twin emphasizes state, dependency, uncertainty, and repeated decision support.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Compare a cyber range and a digital twin for one decision problem.</w:t>
      </w:r>
    </w:p>
    <w:p>
      <w:pPr>
        <w:pStyle w:val="ListBullet"/>
        <w:spacing w:after="40"/>
      </w:pPr>
      <w:r>
        <w:t>Map a simulated credential finding to one CSF outcome, two SP 800-53 controls, and two assessment procedures.</w:t>
      </w:r>
    </w:p>
    <w:p>
      <w:pPr>
        <w:pStyle w:val="ListBullet"/>
        <w:spacing w:after="40"/>
      </w:pPr>
      <w:r>
        <w:t>Describe a case in which ATT&amp;CK would be relevant but insufficient.</w:t>
      </w:r>
    </w:p>
    <w:p>
      <w:pPr>
        <w:pStyle w:val="Heading2"/>
      </w:pPr>
      <w:r>
        <w:t>F.3 Extended exercise for Chapter 3</w:t>
      </w:r>
    </w:p>
    <w:p>
      <w:r>
        <w:t>Build a small research protocol around the chapter topic, “Research Questions, Requirements, and Evidence Boundaries.” Begin by stating one falsifiable hypothesis derived from the central research question is whether a local-first, graph-aware, multi-model system can produce more useful and auditable defensive hypotheses than static scoring while retaining clear uncertainty and safety boundaries.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Rewrite five overconfident cyber statements into evidence-bounded language.</w:t>
      </w:r>
    </w:p>
    <w:p>
      <w:pPr>
        <w:pStyle w:val="ListBullet"/>
        <w:spacing w:after="40"/>
      </w:pPr>
      <w:r>
        <w:t>Design a UI label that prevents “affected-equivalent” from being read as a malware count.</w:t>
      </w:r>
    </w:p>
    <w:p>
      <w:pPr>
        <w:pStyle w:val="ListBullet"/>
        <w:spacing w:after="40"/>
      </w:pPr>
      <w:r>
        <w:t>List three decisions that CyberForge output must never automate.</w:t>
      </w:r>
    </w:p>
    <w:p>
      <w:pPr>
        <w:pStyle w:val="Heading2"/>
      </w:pPr>
      <w:r>
        <w:t>F.4 Extended exercise for Chapter 4</w:t>
      </w:r>
    </w:p>
    <w:p>
      <w:r>
        <w:t>Build a small research protocol around the chapter topic, “Formal System Model and Notation.” Begin by stating one falsifiable hypothesis derived from the core state is a directed attributed graph in which nodes represent defensible surfaces and edges represent dependencies, trust, administration, federation, support, or co-location.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Define a surface tuple and a link tuple for a cloud administrator and a support vendor.</w:t>
      </w:r>
    </w:p>
    <w:p>
      <w:pPr>
        <w:pStyle w:val="ListBullet"/>
        <w:spacing w:after="40"/>
      </w:pPr>
      <w:r>
        <w:t>Construct an example where impact is high but pressure is low.</w:t>
      </w:r>
    </w:p>
    <w:p>
      <w:pPr>
        <w:pStyle w:val="ListBullet"/>
        <w:spacing w:after="40"/>
      </w:pPr>
      <w:r>
        <w:t>Explain why confidence is not the same quantity as risk.</w:t>
      </w:r>
    </w:p>
    <w:p>
      <w:pPr>
        <w:pStyle w:val="Heading2"/>
      </w:pPr>
      <w:r>
        <w:t>F.5 Extended exercise for Chapter 5</w:t>
      </w:r>
    </w:p>
    <w:p>
      <w:r>
        <w:t>Build a small research protocol around the chapter topic, “Surface Ontology and Scenario Data Model.” Begin by stating one falsifiable hypothesis derived from a useful ontology must be broad enough to represent collective operational risk but specific enough to preserve the mechanisms that make identity, physical access, cloud control, apis, and suppliers different.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Design a surface ontology extension for industrial control without adding exploit details.</w:t>
      </w:r>
    </w:p>
    <w:p>
      <w:pPr>
        <w:pStyle w:val="ListBullet"/>
        <w:spacing w:after="40"/>
      </w:pPr>
      <w:r>
        <w:t>Write a scenario change log for a new vendor relationship.</w:t>
      </w:r>
    </w:p>
    <w:p>
      <w:pPr>
        <w:pStyle w:val="ListBullet"/>
        <w:spacing w:after="40"/>
      </w:pPr>
      <w:r>
        <w:t>Create a rule for deciding when two endpoint groups must be separate surfaces.</w:t>
      </w:r>
    </w:p>
    <w:p>
      <w:pPr>
        <w:pStyle w:val="Heading2"/>
      </w:pPr>
      <w:r>
        <w:t>F.6 Extended exercise for Chapter 6</w:t>
      </w:r>
    </w:p>
    <w:p>
      <w:r>
        <w:t>Build a small research protocol around the chapter topic, “The Super Scanner Pipeline.” Begin by stating one falsifiable hypothesis derived from the super scanner is deliberately staged so each transformation can be inspected, tested, and stopped before sensitive data crosses a boundary.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Trace one scenario field through all nine scanner stages.</w:t>
      </w:r>
    </w:p>
    <w:p>
      <w:pPr>
        <w:pStyle w:val="ListBullet"/>
        <w:spacing w:after="40"/>
      </w:pPr>
      <w:r>
        <w:t>Specify a safe JSON schema for a local micro-scan.</w:t>
      </w:r>
    </w:p>
    <w:p>
      <w:pPr>
        <w:pStyle w:val="ListBullet"/>
        <w:spacing w:after="40"/>
      </w:pPr>
      <w:r>
        <w:t>Identify a case where collective analysis reverses an individual-surface priority.</w:t>
      </w:r>
    </w:p>
    <w:p>
      <w:pPr>
        <w:pStyle w:val="Heading2"/>
      </w:pPr>
      <w:r>
        <w:t>F.7 Extended exercise for Chapter 7</w:t>
      </w:r>
    </w:p>
    <w:p>
      <w:r>
        <w:t>Build a small research protocol around the chapter topic, “AEGIS-816: Seeded Monte Carlo Simulation.” Begin by stating one falsifiable hypothesis derived from aegis-816 uses a cinematic “dyson sphere gamma” interface while explicitly identifying its computation as seeded, vectorized, conventional monte carlo and graph processing.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Explain why increasing world count cannot fix a biased prior.</w:t>
      </w:r>
    </w:p>
    <w:p>
      <w:pPr>
        <w:pStyle w:val="ListBullet"/>
        <w:spacing w:after="40"/>
      </w:pPr>
      <w:r>
        <w:t>Design a correlated-pressure variable for a regional outage.</w:t>
      </w:r>
    </w:p>
    <w:p>
      <w:pPr>
        <w:pStyle w:val="ListBullet"/>
        <w:spacing w:after="40"/>
      </w:pPr>
      <w:r>
        <w:t>Write an interpretation sentence for an affected-equivalent interval.</w:t>
      </w:r>
    </w:p>
    <w:p>
      <w:pPr>
        <w:pStyle w:val="Heading2"/>
      </w:pPr>
      <w:r>
        <w:t>F.8 Extended exercise for Chapter 8</w:t>
      </w:r>
    </w:p>
    <w:p>
      <w:r>
        <w:t>Build a small research protocol around the chapter topic, “Trust-Graph Propagation and Systemic Risk.” Begin by stating one falsifiable hypothesis derived from cyberforge applies a small fixed number of message-passing rounds so pressure can travel through trust relationships without creating an uncontrolled recursive narrative.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Perform a no-link ablation on a four-node scenario.</w:t>
      </w:r>
    </w:p>
    <w:p>
      <w:pPr>
        <w:pStyle w:val="ListBullet"/>
        <w:spacing w:after="40"/>
      </w:pPr>
      <w:r>
        <w:t>Identify an edge whose removal should not materially change risk and explain why.</w:t>
      </w:r>
    </w:p>
    <w:p>
      <w:pPr>
        <w:pStyle w:val="ListBullet"/>
        <w:spacing w:after="40"/>
      </w:pPr>
      <w:r>
        <w:t>Propose a validation dataset for trust-path pressure.</w:t>
      </w:r>
    </w:p>
    <w:p>
      <w:pPr>
        <w:pStyle w:val="Heading2"/>
      </w:pPr>
      <w:r>
        <w:t>F.9 Extended exercise for Chapter 9</w:t>
      </w:r>
    </w:p>
    <w:p>
      <w:r>
        <w:t>Build a small research protocol around the chapter topic, “Temporal, Geographic, and Physical-Security Modeling.” Begin by stating one falsifiable hypothesis derived from temporal output is a planning distribution over recurring windows, not a reconstruction of when a real intrusion occurred.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Convert a precise GPS scenario into a data-minimized named-zone scenario.</w:t>
      </w:r>
    </w:p>
    <w:p>
      <w:pPr>
        <w:pStyle w:val="ListBullet"/>
        <w:spacing w:after="40"/>
      </w:pPr>
      <w:r>
        <w:t>Design a route surface that captures availability without tracking individuals.</w:t>
      </w:r>
    </w:p>
    <w:p>
      <w:pPr>
        <w:pStyle w:val="ListBullet"/>
        <w:spacing w:after="40"/>
      </w:pPr>
      <w:r>
        <w:t>Explain the difference between a hotspot and an attribution claim.</w:t>
      </w:r>
    </w:p>
    <w:p>
      <w:pPr>
        <w:pStyle w:val="Heading2"/>
      </w:pPr>
      <w:r>
        <w:t>F.10 Extended exercise for Chapter 10</w:t>
      </w:r>
    </w:p>
    <w:p>
      <w:r>
        <w:t>Build a small research protocol around the chapter topic, “Local Models: Llama 3 and Gemma 4 E2B.” Begin by stating one falsifiable hypothesis derived from llama 3 is assigned a narrow local role: inspect a limited number of high-pressure surfaces and return bounded json adjustments, controls, assumptions, and evidence requests.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Draft a minimal JSON contract for a surface micro-scanner.</w:t>
      </w:r>
    </w:p>
    <w:p>
      <w:pPr>
        <w:pStyle w:val="ListBullet"/>
        <w:spacing w:after="40"/>
      </w:pPr>
      <w:r>
        <w:t>Create a faithfulness test for a local synthesis model.</w:t>
      </w:r>
    </w:p>
    <w:p>
      <w:pPr>
        <w:pStyle w:val="ListBullet"/>
        <w:spacing w:after="40"/>
      </w:pPr>
      <w:r>
        <w:t>Describe a safe fallback when the local model cannot load.</w:t>
      </w:r>
    </w:p>
    <w:p>
      <w:pPr>
        <w:pStyle w:val="Heading2"/>
      </w:pPr>
      <w:r>
        <w:t>F.11 Extended exercise for Chapter 11</w:t>
      </w:r>
    </w:p>
    <w:p>
      <w:r>
        <w:t>Build a small research protocol around the chapter topic, “The Multi-Model Council.” Begin by stating one falsifiable hypothesis derived from the council uses heterogeneous models as independent critics of a common redacted packet rather than as agents that operate on the environment.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Design an aggregation rule that preserves minority opinions.</w:t>
      </w:r>
    </w:p>
    <w:p>
      <w:pPr>
        <w:pStyle w:val="ListBullet"/>
        <w:spacing w:after="40"/>
      </w:pPr>
      <w:r>
        <w:t>Specify three fields that remote models must never receive.</w:t>
      </w:r>
    </w:p>
    <w:p>
      <w:pPr>
        <w:pStyle w:val="ListBullet"/>
        <w:spacing w:after="40"/>
      </w:pPr>
      <w:r>
        <w:t>Define an experiment to measure the marginal value of one council member.</w:t>
      </w:r>
    </w:p>
    <w:p>
      <w:pPr>
        <w:pStyle w:val="Heading2"/>
      </w:pPr>
      <w:r>
        <w:t>F.12 Extended exercise for Chapter 12</w:t>
      </w:r>
    </w:p>
    <w:p>
      <w:r>
        <w:t>Build a small research protocol around the chapter topic, “Defensive Prompt Architecture and Output Validation.” Begin by stating one falsifiable hypothesis derived from cyberforge maintains separate system prompts for the micro-scanner, private synthesizer, cloud critics, bootcom, and simcom so one context cannot silently broaden another role.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Write two allowed and two prohibited requests that use the same technical vocabulary.</w:t>
      </w:r>
    </w:p>
    <w:p>
      <w:pPr>
        <w:pStyle w:val="ListBullet"/>
        <w:spacing w:after="40"/>
      </w:pPr>
      <w:r>
        <w:t>Create an allow-list for a model opinion object.</w:t>
      </w:r>
    </w:p>
    <w:p>
      <w:pPr>
        <w:pStyle w:val="ListBullet"/>
        <w:spacing w:after="40"/>
      </w:pPr>
      <w:r>
        <w:t>Design a prompt-injection regression test using synthetic data.</w:t>
      </w:r>
    </w:p>
    <w:p>
      <w:pPr>
        <w:pStyle w:val="Heading2"/>
      </w:pPr>
      <w:r>
        <w:t>F.13 Extended exercise for Chapter 13</w:t>
      </w:r>
    </w:p>
    <w:p>
      <w:r>
        <w:t>Build a small research protocol around the chapter topic, “AES-GCM Vault and Secure Key Handling.” Begin by stating one falsifiable hypothesis derived from the vault protects provider secrets and model-encryption keys with a layered hierarchy rather than storing api keys in configuration files, scenario json, or process environments.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Draw the vault key hierarchy from password to provider secret.</w:t>
      </w:r>
    </w:p>
    <w:p>
      <w:pPr>
        <w:pStyle w:val="ListBullet"/>
        <w:spacing w:after="40"/>
      </w:pPr>
      <w:r>
        <w:t>List metadata still visible under record-level encryption.</w:t>
      </w:r>
    </w:p>
    <w:p>
      <w:pPr>
        <w:pStyle w:val="ListBullet"/>
        <w:spacing w:after="40"/>
      </w:pPr>
      <w:r>
        <w:t>Design a data-key rotation test that detects partial migration.</w:t>
      </w:r>
    </w:p>
    <w:p>
      <w:pPr>
        <w:pStyle w:val="Heading2"/>
      </w:pPr>
      <w:r>
        <w:t>F.14 Extended exercise for Chapter 14</w:t>
      </w:r>
    </w:p>
    <w:p>
      <w:r>
        <w:t>Build a small research protocol around the chapter topic, “Model Supply-Chain Security and Encrypted Lifecycle.” Begin by stating one falsifiable hypothesis derived from local model safety begins before inference: cyberforge pins model profiles, streams downloads, computes sha-256, compares the digest in constant time, encrypts the verified file, and deletes the clear download.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Write a secure model installation state machine.</w:t>
      </w:r>
    </w:p>
    <w:p>
      <w:pPr>
        <w:pStyle w:val="ListBullet"/>
        <w:spacing w:after="40"/>
      </w:pPr>
      <w:r>
        <w:t>Identify three supply-chain controls beyond SHA-256.</w:t>
      </w:r>
    </w:p>
    <w:p>
      <w:pPr>
        <w:pStyle w:val="ListBullet"/>
        <w:spacing w:after="40"/>
      </w:pPr>
      <w:r>
        <w:t>Explain why file overwrite is not guaranteed secure deletion on SSDs.</w:t>
      </w:r>
    </w:p>
    <w:p>
      <w:pPr>
        <w:pStyle w:val="Heading2"/>
      </w:pPr>
      <w:r>
        <w:t>F.15 Extended exercise for Chapter 15</w:t>
      </w:r>
    </w:p>
    <w:p>
      <w:r>
        <w:t>Build a small research protocol around the chapter topic, “Post-Quantum Recovery and Hybrid Cryptography.” Begin by stating one falsifiable hypothesis derived from cyberforge adapts a hybrid recovery design in which ml-kem and x25519 independently contribute shared-secret material that is combined through hkdf before aes-gcm protects the recovery payload.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Design a recovery format version field and migration rule.</w:t>
      </w:r>
    </w:p>
    <w:p>
      <w:pPr>
        <w:pStyle w:val="ListBullet"/>
        <w:spacing w:after="40"/>
      </w:pPr>
      <w:r>
        <w:t>Explain the security purpose of combining ML-KEM and X25519.</w:t>
      </w:r>
    </w:p>
    <w:p>
      <w:pPr>
        <w:pStyle w:val="ListBullet"/>
        <w:spacing w:after="40"/>
      </w:pPr>
      <w:r>
        <w:t>Create a checklist for storing the private recovery kit.</w:t>
      </w:r>
    </w:p>
    <w:p>
      <w:pPr>
        <w:pStyle w:val="Heading2"/>
      </w:pPr>
      <w:r>
        <w:t>F.16 Extended exercise for Chapter 16</w:t>
      </w:r>
    </w:p>
    <w:p>
      <w:r>
        <w:t>Build a small research protocol around the chapter topic, “Authorization, Privacy, Governance, and Human Oversight.” Begin by stating one falsifiable hypothesis derived from authorization is represented in the scenario and enforced before scanning so ethical scope is part of runtime behavior rather than a disclaimer outside the system.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Write an authorization object for a synthetic tabletop exercise.</w:t>
      </w:r>
    </w:p>
    <w:p>
      <w:pPr>
        <w:pStyle w:val="ListBullet"/>
        <w:spacing w:after="40"/>
      </w:pPr>
      <w:r>
        <w:t>Transform a person-level risk feature into a role-level feature.</w:t>
      </w:r>
    </w:p>
    <w:p>
      <w:pPr>
        <w:pStyle w:val="ListBullet"/>
        <w:spacing w:after="40"/>
      </w:pPr>
      <w:r>
        <w:t>List five consequential decisions that require evidence beyond CyberForge.</w:t>
      </w:r>
    </w:p>
    <w:p>
      <w:pPr>
        <w:pStyle w:val="Heading2"/>
      </w:pPr>
      <w:r>
        <w:t>F.17 Extended exercise for Chapter 17</w:t>
      </w:r>
    </w:p>
    <w:p>
      <w:r>
        <w:t>Build a small research protocol around the chapter topic, “Experimental Methodology and Reproducibility.” Begin by stating one falsifiable hypothesis derived from the present evaluation measures software behavior, determinism, monotonic response, guardrail enforcement, and cryptographic round trips; it does not claim validated prediction of real incidents.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Reproduce one control-strength ablation.</w:t>
      </w:r>
    </w:p>
    <w:p>
      <w:pPr>
        <w:pStyle w:val="ListBullet"/>
        <w:spacing w:after="40"/>
      </w:pPr>
      <w:r>
        <w:t>Explain why deterministic repeated runs do not create independent evidence.</w:t>
      </w:r>
    </w:p>
    <w:p>
      <w:pPr>
        <w:pStyle w:val="ListBullet"/>
        <w:spacing w:after="40"/>
      </w:pPr>
      <w:r>
        <w:t>Define a future operational validation protocol.</w:t>
      </w:r>
    </w:p>
    <w:p>
      <w:pPr>
        <w:pStyle w:val="Heading2"/>
      </w:pPr>
      <w:r>
        <w:t>F.18 Extended exercise for Chapter 18</w:t>
      </w:r>
    </w:p>
    <w:p>
      <w:r>
        <w:t>Build a small research protocol around the chapter topic, “Evaluation Results and Interpretation.” Begin by stating one falsifiable hypothesis derived from the current source package passed all eleven python tests and produced a complete offline report without local or cloud models, demonstrating graceful baseline operation.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Interpret the control-ablation curve without claiming predictive accuracy.</w:t>
      </w:r>
    </w:p>
    <w:p>
      <w:pPr>
        <w:pStyle w:val="ListBullet"/>
        <w:spacing w:after="40"/>
      </w:pPr>
      <w:r>
        <w:t>Identify one saturation problem in the default output.</w:t>
      </w:r>
    </w:p>
    <w:p>
      <w:pPr>
        <w:pStyle w:val="ListBullet"/>
        <w:spacing w:after="40"/>
      </w:pPr>
      <w:r>
        <w:t>Propose a benchmark that would test real operational usefulness.</w:t>
      </w:r>
    </w:p>
    <w:p>
      <w:pPr>
        <w:pStyle w:val="Heading2"/>
      </w:pPr>
      <w:r>
        <w:t>F.19 Extended exercise for Chapter 19</w:t>
      </w:r>
    </w:p>
    <w:p>
      <w:r>
        <w:t>Build a small research protocol around the chapter topic, “Failure Modes, Calibration, and Security Limitations.” Begin by stating one falsifiable hypothesis derived from cyberforge can fail through wrong priors, incomplete topology, prompt injection, hallucinated synthesis, shared model bias, uncalibrated scores, or operator misinterpretation even when the software behaves exactly as implemented.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Create a failure-mode and effects analysis for one scanner stage.</w:t>
      </w:r>
    </w:p>
    <w:p>
      <w:pPr>
        <w:pStyle w:val="ListBullet"/>
        <w:spacing w:after="40"/>
      </w:pPr>
      <w:r>
        <w:t>Explain why multi-model agreement can increase risk.</w:t>
      </w:r>
    </w:p>
    <w:p>
      <w:pPr>
        <w:pStyle w:val="ListBullet"/>
        <w:spacing w:after="40"/>
      </w:pPr>
      <w:r>
        <w:t>Design an endpoint-compromise response for the provider vault.</w:t>
      </w:r>
    </w:p>
    <w:p>
      <w:pPr>
        <w:pStyle w:val="Heading2"/>
      </w:pPr>
      <w:r>
        <w:t>F.20 Extended exercise for Chapter 20</w:t>
      </w:r>
    </w:p>
    <w:p>
      <w:r>
        <w:t>Build a small research protocol around the chapter topic, “Operational Deployment, Research Roadmap, and Conclusion.” Begin by stating one falsifiable hypothesis derived from cyberforge is best deployed as a planning and tabletop instrument integrated with governance, control assessment, incident response, and evidence collection rather than as an autonomous security operator. Create two synthetic scenarios that differ in only one material assumption. Specify the expected direction of change before running the system. Record the exact schema, seed, world count, code revision, and truth labels. Ask an independent reviewer to inspect the scenario without seeing the result, then compare the reviewer’s priorities with the numerical baseline and any model opinions. Analyze disagreements by tracing them to topology, input values, model output, or framework mapping. Finally, write a limitation statement that names at least one condition under which the result should not be used. The exercise is complete only when another researcher can reproduce the artifact and explain why the result does or does not support the original hypothesis.</w:t>
      </w:r>
    </w:p>
    <w:p>
      <w:pPr>
        <w:pStyle w:val="ListBullet"/>
        <w:spacing w:after="40"/>
      </w:pPr>
      <w:r>
        <w:t>Write a six-month pilot protocol for an authorized organization.</w:t>
      </w:r>
    </w:p>
    <w:p>
      <w:pPr>
        <w:pStyle w:val="ListBullet"/>
        <w:spacing w:after="40"/>
      </w:pPr>
      <w:r>
        <w:t>Choose one component that should be removed if it adds no measured value.</w:t>
      </w:r>
    </w:p>
    <w:p>
      <w:pPr>
        <w:pStyle w:val="ListBullet"/>
        <w:spacing w:after="40"/>
      </w:pPr>
      <w:r>
        <w:t>State the strongest claim the current evidence supports and one claim it does not support.</w:t>
      </w:r>
    </w:p>
    <w:p>
      <w:r>
        <w:br w:type="page"/>
      </w:r>
    </w:p>
    <w:p>
      <w:pPr>
        <w:pStyle w:val="Heading1"/>
      </w:pPr>
      <w:r>
        <w:t>Appendix G. Detailed Experimental Commentary</w:t>
      </w:r>
    </w:p>
    <w:p>
      <w:r>
        <w:t>This appendix interprets the reproducible software experiments in greater depth. It is intentionally separated from the main results so readers can audit the numerical behavior without mistaking synthetic construct-validity checks for operational prediction.</w:t>
      </w:r>
    </w:p>
    <w:p>
      <w:pPr>
        <w:pStyle w:val="Heading2"/>
      </w:pPr>
      <w:r>
        <w:t>G.1 Deterministic risk index versus stochastic impact</w:t>
      </w:r>
    </w:p>
    <w:p>
      <w:r>
        <w:t>The experiments reveal an important architectural property: the reported overall risk index is deterministic for a fixed scenario, while the affected-equivalent distribution is generated through Monte Carlo sampling. This means repeated seeds do not alter the analytical index in the current implementation. The behavior is useful for audit because a reviewer can reproduce the same priority ordering exactly, but it also means the word probability must be used carefully. The index is not an empirical frequency estimator. It is a bounded transformation of scenario inputs and graph pressure. The stochastic layer estimates a distribution of operational equivalents under the chosen assumptions. Future versions could introduce uncertainty distributions over the input values themselves, but that change should be optional and explicit. Otherwise, analysts may be unable to determine whether a changed score came from evidence, random sampling, or code. A mature evaluation should report both layers: the stable index that supports comparison and the stochastic distribution that communicates tail behavior.</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G.2 Runtime scaling</w:t>
      </w:r>
    </w:p>
    <w:p>
      <w:r>
        <w:t>Measured wall-clock runtime increased from approximately 3.3 milliseconds at one thousand worlds to 4.0 milliseconds at three thousand, 7.6 milliseconds at twelve thousand, and 23.2 milliseconds at fifty thousand on the build host. The relationship is consistent with a vectorized numerical loop whose fixed preprocessing cost dominates small jobs and whose sampling cost becomes visible at larger world counts. These measurements should not be generalized across hardware without repeating the benchmark. They do, however, support the design objective of interactive use for the current six-surface scenario. A realistic deployment should benchmark larger graphs, more dimensions, multiple concurrent users, and memory pressure from local model runtimes. Timing should be divided into authorization, normalization, graph propagation, simulation, synthesis, provider calls, parsing, and rendering. The cloud council will usually dominate end-to-end latency, so the interface should stream component status and preserve the numerical report even when remote opinions arrive late or fail.</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G.3 Control-strength monotonicity</w:t>
      </w:r>
    </w:p>
    <w:p>
      <w:r>
        <w:t>Uniformly increasing node and link control strength produced a monotonic decline in the current index: about 0.471 at control 0.30, 0.408 at 0.45, 0.345 at 0.60, 0.286 at 0.75, and 0.231 at 0.90. The median affected-equivalent share also decreased, with the largest reduction at the strongest setting. This is a software sanity result, not proof that real controls produce the same curve. Uniform control changes are unrealistic because preventive, detective, and recovery mechanisms affect surfaces differently. Nevertheless, the ablation tests whether the implementation has an obvious directional defect. Future work should replace one generic strength value with control-specific effectiveness distributions and evidence confidence. It should also model control dependencies: strong multifactor authentication may reduce credential pressure, but weak recovery and privileged-session monitoring can still preserve high operational consequence. Calibration should therefore be conducted at the mechanism level rather than by fitting one universal control coefficient.</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G.4 Graph contribution</w:t>
      </w:r>
    </w:p>
    <w:p>
      <w:r>
        <w:t>The no-link graph produced an overall index near 0.301; weak links produced 0.304; the default graph produced 0.324; and strong-trust, weak-control links produced 0.358. This ordering is consistent with the stated propagation semantics. The result also quantifies how much of the default score is attributable to dependency assumptions rather than node values. Such decomposition is essential when a reviewer disputes a path. Removing or weakening an edge should show the counterfactual effect directly. Operational validation will require evidence for edge existence, direction, trust, and control. A cloud federation link may be documented by configuration, while a co-location link may require a physical-security review. Graph models are especially vulnerable to narrative bias because it is easy to add plausible connections. CyberForge should therefore require provenance for each link and support an edge-review mode that hides risk results until the reviewer has accepted the topology.</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G.5 Telemetry confidence</w:t>
      </w:r>
    </w:p>
    <w:p>
      <w:r>
        <w:t>When uniform telemetry confidence increased from 0.30 to 0.90, the modeled risk index declined from approximately 0.369 to 0.312 while mean finding confidence increased. The intended interpretation is not that better monitoring makes the underlying environment safer. Rather, the current formula includes an uncertainty contribution, so low evidence quality increases planning conservatism. This design can be useful when incomplete visibility is itself a risk-management concern, but it can also double-count control weakness if telemetry quality already appears in control strength. Future calibration should distinguish epistemic uncertainty from threat pressure. The report may present an evidence-deficit score separately and allow decision makers to choose whether uncertainty increases priority, widens intervals, or both. A safety-critical environment may reasonably prioritize uncertain critical surfaces, while a mature research analysis may avoid adding uncertainty directly to the mean risk estimate.</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G.6 Saturation and dimension interpretation</w:t>
      </w:r>
    </w:p>
    <w:p>
      <w:r>
        <w:t>Credential pressure reached the normalized maximum of one in the default scenario. Saturation makes the leading dimension visually clear, but it can hide differences among scenario variants because all sufficiently high values collapse to the same endpoint. The implementation should expose an unclipped diagnostic value or a saturation flag. It should also explain the aggregation weights used to turn surface dimensions into an overall index. A dimension score is not a finding that a credential was compromised. It is a comparative summary of the identity and credential-related assumptions present in the scenario. Reviewers should inspect the surfaces and links that contribute to the dimension and request authentication evidence, privileged-account inventory, conditional-access policy, reset activity, and supplier access records. The correct response to a saturated dimension is not panic; it is a focused examination of the assumptions and evidence that caused saturation.</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G.7 Impact interval width</w:t>
      </w:r>
    </w:p>
    <w:p>
      <w:r>
        <w:t>The default affected-equivalent interval ranged from zero at the low end to 6,486 at the high end, with a median of 1,618 out of 6,744 modeled equivalents. A range this broad communicates that the scenario contains substantial tail uncertainty or strong common-pressure effects. It may be useful for resilience planning, but it is too broad to support precise resource allocation without additional evidence. Analysts should examine which assumptions drive the high quantile, run scenario-specific sensitivity analysis, and consider conditional reports such as impact given loss of remote administration or impact given successful containment. The low quantile of zero does not mean no impact is likely in ordinary language; it reflects the selected quantile and sample model. Reports should include the quantile definitions, world count, and interpretation. Decision makers often anchor on the largest number, so the interface should pair the interval with control scenarios that show how the tail changes.</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G.8 Unit tests and assurance limits</w:t>
      </w:r>
    </w:p>
    <w:p>
      <w:r>
        <w:t>Eleven passing tests establish important but narrow properties: cryptographic byte and streaming round trips, redaction and guardrail behavior, deterministic simulation, safe SIMCOM attribution refusal, provider schema handling, offline fallback, and vault rotation. These tests are necessary because errors in these areas can invalidate the security argument. They are not a certification, penetration test, formal proof, or operational validation. Additional testing should include property-based generation of malformed scenarios, nonce uniqueness under concurrency, crash recovery during rotation, fuzzing of JSON parsers, indirect prompt-injection corpora, malicious model output, provider timeout storms, and large-graph resource limits. Native runtime dependencies deserve separate security review because Python-level tests cannot establish their memory safety. The test strategy should map each threat in the threat model to at least one preventive control and one verification method.</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G.9 Environment-limited components</w:t>
      </w:r>
    </w:p>
    <w:p>
      <w:r>
        <w:t>The large local model files and optional runtimes were not downloaded into the source package, and Flutter and Dart executables were not available in the evaluation container. The paper therefore treats model installation, digest verification, encrypted storage, runtime adapters, and failure isolation as implemented source mechanisms, while end-to-end inference quality and Flutter behavior remain environment-limited. This distinction prevents source inspection from being reported as a successful inference benchmark. A complete replication should install the pinned model artifacts, record actual resolved runtime versions, execute representative prompts, measure memory and latency, test malformed output, and verify cleanup of temporary plaintext files. It should also run Flutter analysis, widget tests, desktop and mobile builds, and secure-storage behavior on each target platform. The same caution applies to ML-KEM recovery, which depends on a compatible liboqs environment.</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G.10 Operational validation agenda</w:t>
      </w:r>
    </w:p>
    <w:p>
      <w:r>
        <w:t>The next evidence tier requires authorized field studies. A pilot should compare CyberForge with the organization’s existing prioritization process using blinded scenarios and preregistered metrics. Useful outcomes include time to identify a critical dependency, percentage of recommendations converted into evidence-backed tasks, expert-rated relevance, number of false priorities, user comprehension of uncertainty, and disclosure volume sent to remote providers. Later, longitudinal studies can compare predictions with exercise outcomes, control-assessment failures, outage patterns, and incident evidence. Because incidents are rare and labels are biased, the research should include near misses, tabletop observations, and null periods. The strongest design principle is to remove components that do not improve decisions. A frontier model that adds latency but no unique useful control should not remain merely because its name is impressive.</w:t>
      </w:r>
    </w:p>
    <w:p>
      <w:r>
        <w:t>Audit question: identify the exact scenario field, code path, or measurement artifact that supports the interpretation above. Then state one alternative explanation and one additional experiment that would distinguish the explanations. This requirement turns narrative interpretation into a reproducible research task rather than a final authoritative conclusion.</w:t>
      </w:r>
    </w:p>
    <w:p>
      <w:pPr>
        <w:pStyle w:val="Heading2"/>
      </w:pPr>
      <w:r>
        <w:t>G.11 Ethical publication and communication</w:t>
      </w:r>
    </w:p>
    <w:p>
      <w:r>
        <w:t>Research-grade communication is itself a security control. A paper about cyber simulation can create harm if readers extract precise-looking numbers from their assumptions, reuse synthetic timelines as allegations, or interpret dependency diagrams as instructions. Publication should therefore preserve scope, evidence class, uncertainty, and prohibited inference beside the relevant result rather than placing every caveat in a distant limitations section. Data and code releases should use synthetic identifiers, minimum necessary fields, and safe defaults. Researchers should disclose model versions, provider boundaries, unresolved conflicts of interest, and negative findings. When a result involves people, suppliers, facilities, or locations, reviewers should ask whether the same decision can be supported with a less identifying representation. The goal is not to make the work impossible to misuse; that cannot be guaranteed. The goal is to avoid supplying unsupported accusations or operational offense while still enabling reproducible defensive science. CyberForge adopts this standard by treating refusal, redaction, no-attribution behavior, and truth labels as measurable system functions rather than editorial decoration.</w:t>
      </w:r>
    </w:p>
    <w:p>
      <w:r>
        <w:t>Audit question: review one table and one figure from this monograph. Identify the claim a hurried reader could overstate, then rewrite the caption so the evidentiary boundary remains visible when the artifact is copied outside the document.</w:t>
      </w:r>
    </w:p>
    <w:p>
      <w:r>
        <w:br w:type="page"/>
      </w:r>
    </w:p>
    <w:p>
      <w:pPr>
        <w:pStyle w:val="Heading1"/>
      </w:pPr>
      <w:r>
        <w:t>References</w:t>
      </w:r>
    </w:p>
    <w:p>
      <w:pPr>
        <w:spacing w:after="80"/>
        <w:ind w:left="360" w:hanging="360"/>
      </w:pPr>
      <w:r>
        <w:rPr>
          <w:b/>
          <w:color w:val="17365D"/>
        </w:rPr>
        <w:t xml:space="preserve">[R1] </w:t>
      </w:r>
      <w:r>
        <w:t>CyberForge 3 Source Package. Standalone Flutter and Python implementation, architecture documents, tests, prompts, and validation artifacts. Version 0.3.0, August 2026.</w:t>
      </w:r>
    </w:p>
    <w:p>
      <w:pPr>
        <w:spacing w:after="80"/>
        <w:ind w:left="360" w:hanging="360"/>
      </w:pPr>
      <w:r>
        <w:rPr>
          <w:b/>
          <w:color w:val="17365D"/>
        </w:rPr>
        <w:t xml:space="preserve">[R2] </w:t>
      </w:r>
      <w:r>
        <w:t>Janulis, G. Naza One Generation UI Code. Flutter local-first Gemma application, secure database, post-quantum export, and model runtime source. GitHub repository ornab74/naza_one_generation_ui_code, accessed August 5, 2026.</w:t>
      </w:r>
    </w:p>
    <w:p>
      <w:pPr>
        <w:spacing w:after="80"/>
        <w:ind w:left="360" w:hanging="360"/>
      </w:pPr>
      <w:r>
        <w:rPr>
          <w:b/>
          <w:color w:val="17365D"/>
        </w:rPr>
        <w:t xml:space="preserve">[R3] </w:t>
      </w:r>
      <w:r>
        <w:t>Janulis, G. Naza main_foodwater.py. Python scanner, Llama/Gemma model profiles, AES-GCM streaming, ML-KEM hybrid recovery, and defensive selection logic. GitHub repository ornab74/naza, accessed August 5, 2026.</w:t>
      </w:r>
    </w:p>
    <w:p>
      <w:pPr>
        <w:spacing w:after="80"/>
        <w:ind w:left="360" w:hanging="360"/>
      </w:pPr>
      <w:r>
        <w:rPr>
          <w:b/>
          <w:color w:val="17365D"/>
        </w:rPr>
        <w:t xml:space="preserve">[R4] </w:t>
      </w:r>
      <w:r>
        <w:t>Voas, J., Mell, P., Laplante, P., and Piroumian, V. Security and Trust Considerations for Digital Twin Technology. NIST IR 8356, 2025. doi:10.6028/NIST.IR.8356.</w:t>
      </w:r>
    </w:p>
    <w:p>
      <w:pPr>
        <w:spacing w:after="80"/>
        <w:ind w:left="360" w:hanging="360"/>
      </w:pPr>
      <w:r>
        <w:rPr>
          <w:b/>
          <w:color w:val="17365D"/>
        </w:rPr>
        <w:t xml:space="preserve">[R5] </w:t>
      </w:r>
      <w:r>
        <w:t>Pascoe, C., Quinn, S., and Scarfone, K. The NIST Cybersecurity Framework (CSF) 2.0. NIST CSWP 29, 2024. doi:10.6028/NIST.CSWP.29.</w:t>
      </w:r>
    </w:p>
    <w:p>
      <w:pPr>
        <w:spacing w:after="80"/>
        <w:ind w:left="360" w:hanging="360"/>
      </w:pPr>
      <w:r>
        <w:rPr>
          <w:b/>
          <w:color w:val="17365D"/>
        </w:rPr>
        <w:t xml:space="preserve">[R6] </w:t>
      </w:r>
      <w:r>
        <w:t>National Institute of Standards and Technology. Artificial Intelligence Risk Management Framework (AI RMF 1.0), NIST AI 100-1, 2023.</w:t>
      </w:r>
    </w:p>
    <w:p>
      <w:pPr>
        <w:spacing w:after="80"/>
        <w:ind w:left="360" w:hanging="360"/>
      </w:pPr>
      <w:r>
        <w:rPr>
          <w:b/>
          <w:color w:val="17365D"/>
        </w:rPr>
        <w:t xml:space="preserve">[R7] </w:t>
      </w:r>
      <w:r>
        <w:t>Joint Task Force Transformation Initiative. Guide for Conducting Risk Assessments. NIST SP 800-30 Rev. 1, 2012. doi:10.6028/NIST.SP.800-30r1.</w:t>
      </w:r>
    </w:p>
    <w:p>
      <w:pPr>
        <w:spacing w:after="80"/>
        <w:ind w:left="360" w:hanging="360"/>
      </w:pPr>
      <w:r>
        <w:rPr>
          <w:b/>
          <w:color w:val="17365D"/>
        </w:rPr>
        <w:t xml:space="preserve">[R8] </w:t>
      </w:r>
      <w:r>
        <w:t>Joint Task Force. Security and Privacy Controls for Information Systems and Organizations. NIST SP 800-53 Rev. 5, Release 5.2.0, 2025.</w:t>
      </w:r>
    </w:p>
    <w:p>
      <w:pPr>
        <w:spacing w:after="80"/>
        <w:ind w:left="360" w:hanging="360"/>
      </w:pPr>
      <w:r>
        <w:rPr>
          <w:b/>
          <w:color w:val="17365D"/>
        </w:rPr>
        <w:t xml:space="preserve">[R9] </w:t>
      </w:r>
      <w:r>
        <w:t>Joint Task Force. Assessing Security and Privacy Controls in Information Systems and Organizations. NIST SP 800-53A Rev. 5, Release 5.2.0, 2025.</w:t>
      </w:r>
    </w:p>
    <w:p>
      <w:pPr>
        <w:spacing w:after="80"/>
        <w:ind w:left="360" w:hanging="360"/>
      </w:pPr>
      <w:r>
        <w:rPr>
          <w:b/>
          <w:color w:val="17365D"/>
        </w:rPr>
        <w:t xml:space="preserve">[R10] </w:t>
      </w:r>
      <w:r>
        <w:t>Nelson, A., Rekhi, S., Souppaya, M., and Scarfone, K. Incident Response Recommendations and Considerations for Cybersecurity Risk Management. NIST SP 800-61 Rev. 3, 2025. doi:10.6028/NIST.SP.800-61r3.</w:t>
      </w:r>
    </w:p>
    <w:p>
      <w:pPr>
        <w:spacing w:after="80"/>
        <w:ind w:left="360" w:hanging="360"/>
      </w:pPr>
      <w:r>
        <w:rPr>
          <w:b/>
          <w:color w:val="17365D"/>
        </w:rPr>
        <w:t xml:space="preserve">[R11] </w:t>
      </w:r>
      <w:r>
        <w:t>Rose, S., Borchert, O., Mitchell, S., and Connelly, S. Zero Trust Architecture. NIST SP 800-207, 2020. doi:10.6028/NIST.SP.800-207.</w:t>
      </w:r>
    </w:p>
    <w:p>
      <w:pPr>
        <w:spacing w:after="80"/>
        <w:ind w:left="360" w:hanging="360"/>
      </w:pPr>
      <w:r>
        <w:rPr>
          <w:b/>
          <w:color w:val="17365D"/>
        </w:rPr>
        <w:t xml:space="preserve">[R12] </w:t>
      </w:r>
      <w:r>
        <w:t>MITRE. ATT&amp;CK Enterprise Knowledge Base. Current online release, accessed August 5, 2026.</w:t>
      </w:r>
    </w:p>
    <w:p>
      <w:pPr>
        <w:spacing w:after="80"/>
        <w:ind w:left="360" w:hanging="360"/>
      </w:pPr>
      <w:r>
        <w:rPr>
          <w:b/>
          <w:color w:val="17365D"/>
        </w:rPr>
        <w:t xml:space="preserve">[R13] </w:t>
      </w:r>
      <w:r>
        <w:t>MITRE. D3FEND: A Knowledge Graph of Cybersecurity Countermeasures. Version 1.4.0, accessed August 5, 2026.</w:t>
      </w:r>
    </w:p>
    <w:p>
      <w:pPr>
        <w:spacing w:after="80"/>
        <w:ind w:left="360" w:hanging="360"/>
      </w:pPr>
      <w:r>
        <w:rPr>
          <w:b/>
          <w:color w:val="17365D"/>
        </w:rPr>
        <w:t xml:space="preserve">[R14] </w:t>
      </w:r>
      <w:r>
        <w:t>National Institute of Standards and Technology. Advanced Encryption Standard (AES). FIPS 197, updated 2023. doi:10.6028/NIST.FIPS.197-upd1.</w:t>
      </w:r>
    </w:p>
    <w:p>
      <w:pPr>
        <w:spacing w:after="80"/>
        <w:ind w:left="360" w:hanging="360"/>
      </w:pPr>
      <w:r>
        <w:rPr>
          <w:b/>
          <w:color w:val="17365D"/>
        </w:rPr>
        <w:t xml:space="preserve">[R15] </w:t>
      </w:r>
      <w:r>
        <w:t>Dworkin, M. Recommendation for Block Cipher Modes of Operation: Galois/Counter Mode (GCM) and GMAC. NIST SP 800-38D, 2007.</w:t>
      </w:r>
    </w:p>
    <w:p>
      <w:pPr>
        <w:spacing w:after="80"/>
        <w:ind w:left="360" w:hanging="360"/>
      </w:pPr>
      <w:r>
        <w:rPr>
          <w:b/>
          <w:color w:val="17365D"/>
        </w:rPr>
        <w:t xml:space="preserve">[R16] </w:t>
      </w:r>
      <w:r>
        <w:t>Biryukov, A., Dinu, D., Khovratovich, D., and Josefsson, S. Argon2 Memory-Hard Function for Password Hashing and Proof-of-Work Applications. RFC 9106, 2021.</w:t>
      </w:r>
    </w:p>
    <w:p>
      <w:pPr>
        <w:spacing w:after="80"/>
        <w:ind w:left="360" w:hanging="360"/>
      </w:pPr>
      <w:r>
        <w:rPr>
          <w:b/>
          <w:color w:val="17365D"/>
        </w:rPr>
        <w:t xml:space="preserve">[R17] </w:t>
      </w:r>
      <w:r>
        <w:t>National Institute of Standards and Technology. Module-Lattice-Based Key-Encapsulation Mechanism Standard. FIPS 203, 2024. doi:10.6028/NIST.FIPS.203.</w:t>
      </w:r>
    </w:p>
    <w:p>
      <w:pPr>
        <w:spacing w:after="80"/>
        <w:ind w:left="360" w:hanging="360"/>
      </w:pPr>
      <w:r>
        <w:rPr>
          <w:b/>
          <w:color w:val="17365D"/>
        </w:rPr>
        <w:t xml:space="preserve">[R18] </w:t>
      </w:r>
      <w:r>
        <w:t>National Institute of Standards and Technology. Module-Lattice-Based Digital Signature Standard. FIPS 204, 2024. doi:10.6028/NIST.FIPS.204.</w:t>
      </w:r>
    </w:p>
    <w:p>
      <w:pPr>
        <w:spacing w:after="80"/>
        <w:ind w:left="360" w:hanging="360"/>
      </w:pPr>
      <w:r>
        <w:rPr>
          <w:b/>
          <w:color w:val="17365D"/>
        </w:rPr>
        <w:t xml:space="preserve">[R19] </w:t>
      </w:r>
      <w:r>
        <w:t>Langley, A., Hamburg, M., and Turner, S. Elliptic Curves for Security. RFC 7748, 2016.</w:t>
      </w:r>
    </w:p>
    <w:p>
      <w:pPr>
        <w:spacing w:after="80"/>
        <w:ind w:left="360" w:hanging="360"/>
      </w:pPr>
      <w:r>
        <w:rPr>
          <w:b/>
          <w:color w:val="17365D"/>
        </w:rPr>
        <w:t xml:space="preserve">[R20] </w:t>
      </w:r>
      <w:r>
        <w:t>Krawczyk, H. and Eronen, P. HMAC-based Extract-and-Expand Key Derivation Function. RFC 5869, 2010.</w:t>
      </w:r>
    </w:p>
    <w:p>
      <w:pPr>
        <w:spacing w:after="80"/>
        <w:ind w:left="360" w:hanging="360"/>
      </w:pPr>
      <w:r>
        <w:rPr>
          <w:b/>
          <w:color w:val="17365D"/>
        </w:rPr>
        <w:t xml:space="preserve">[R21] </w:t>
      </w:r>
      <w:r>
        <w:t>OpenAI. GPT-5.6 Model Guidance and GPT-5.6 Release Documentation. July 2026, accessed August 5, 2026.</w:t>
      </w:r>
    </w:p>
    <w:p>
      <w:pPr>
        <w:spacing w:after="80"/>
        <w:ind w:left="360" w:hanging="360"/>
      </w:pPr>
      <w:r>
        <w:rPr>
          <w:b/>
          <w:color w:val="17365D"/>
        </w:rPr>
        <w:t xml:space="preserve">[R22] </w:t>
      </w:r>
      <w:r>
        <w:t>xAI. Grok 4.5 Model and API Documentation. July 2026, accessed August 5, 2026.</w:t>
      </w:r>
    </w:p>
    <w:p>
      <w:pPr>
        <w:spacing w:after="80"/>
        <w:ind w:left="360" w:hanging="360"/>
      </w:pPr>
      <w:r>
        <w:rPr>
          <w:b/>
          <w:color w:val="17365D"/>
        </w:rPr>
        <w:t xml:space="preserve">[R23] </w:t>
      </w:r>
      <w:r>
        <w:t>Google. Gemini 3.6 Flash Model Documentation and Gemini API GenerateContent Reference. July 2026, accessed August 5, 2026.</w:t>
      </w:r>
    </w:p>
    <w:p>
      <w:pPr>
        <w:spacing w:after="80"/>
        <w:ind w:left="360" w:hanging="360"/>
      </w:pPr>
      <w:r>
        <w:rPr>
          <w:b/>
          <w:color w:val="17365D"/>
        </w:rPr>
        <w:t xml:space="preserve">[R24] </w:t>
      </w:r>
      <w:r>
        <w:t>DigitalOcean. Inference and Gradient AI Platform Documentation, including model catalog and OpenAI-compatible inference interfaces. July 2026, accessed August 5, 2026.</w:t>
      </w:r>
    </w:p>
    <w:p>
      <w:pPr>
        <w:spacing w:after="80"/>
        <w:ind w:left="360" w:hanging="360"/>
      </w:pPr>
      <w:r>
        <w:rPr>
          <w:b/>
          <w:color w:val="17365D"/>
        </w:rPr>
        <w:t xml:space="preserve">[R25] </w:t>
      </w:r>
      <w:r>
        <w:t>Google AI Edge. LiteRT-LM: Cross-Platform On-Device Large Language Model Inference Framework. Releases 0.10-0.13 and repository documentation, 2026.</w:t>
      </w:r>
    </w:p>
    <w:p>
      <w:pPr>
        <w:spacing w:after="80"/>
        <w:ind w:left="360" w:hanging="360"/>
      </w:pPr>
      <w:r>
        <w:rPr>
          <w:b/>
          <w:color w:val="17365D"/>
        </w:rPr>
        <w:t xml:space="preserve">[R26] </w:t>
      </w:r>
      <w:r>
        <w:t>Gerganov, G. et al. llama.cpp: LLM inference in C/C++. Open-source repository and runtime documentation, accessed August 5, 2026.</w:t>
      </w:r>
    </w:p>
    <w:p>
      <w:pPr>
        <w:spacing w:after="80"/>
        <w:ind w:left="360" w:hanging="360"/>
      </w:pPr>
      <w:r>
        <w:rPr>
          <w:b/>
          <w:color w:val="17365D"/>
        </w:rPr>
        <w:t xml:space="preserve">[R27] </w:t>
      </w:r>
      <w:r>
        <w:t>Dubey, A. et al. The Llama 3 Herd of Models. arXiv:2407.21783, 2024.</w:t>
      </w:r>
    </w:p>
    <w:p>
      <w:pPr>
        <w:spacing w:after="80"/>
        <w:ind w:left="360" w:hanging="360"/>
      </w:pPr>
      <w:r>
        <w:rPr>
          <w:b/>
          <w:color w:val="17365D"/>
        </w:rPr>
        <w:t xml:space="preserve">[R28] </w:t>
      </w:r>
      <w:r>
        <w:t>Gemma Team, Google DeepMind. Gemma: Open Models Based on Gemini Research and Technology. Technical report, 2024, with subsequent model-family documentation.</w:t>
      </w:r>
    </w:p>
    <w:p>
      <w:pPr>
        <w:spacing w:after="80"/>
        <w:ind w:left="360" w:hanging="360"/>
      </w:pPr>
      <w:r>
        <w:rPr>
          <w:b/>
          <w:color w:val="17365D"/>
        </w:rPr>
        <w:t xml:space="preserve">[R29] </w:t>
      </w:r>
      <w:r>
        <w:t>OWASP GenAI Security Project. OWASP Top 10 for LLM Applications 2025, including LLM01 Prompt Injection and LLM02 Sensitive Information Disclosure.</w:t>
      </w:r>
    </w:p>
    <w:p>
      <w:pPr>
        <w:spacing w:after="80"/>
        <w:ind w:left="360" w:hanging="360"/>
      </w:pPr>
      <w:r>
        <w:rPr>
          <w:b/>
          <w:color w:val="17365D"/>
        </w:rPr>
        <w:t xml:space="preserve">[R30] </w:t>
      </w:r>
      <w:r>
        <w:t>Greshake, K. et al. More than You Have Asked For: A Comprehensive Analysis of Novel Prompt Injection Threats to Application-Integrated Large Language Models. arXiv:2302.12173, 2023.</w:t>
      </w:r>
    </w:p>
    <w:p>
      <w:pPr>
        <w:spacing w:after="80"/>
        <w:ind w:left="360" w:hanging="360"/>
      </w:pPr>
      <w:r>
        <w:rPr>
          <w:b/>
          <w:color w:val="17365D"/>
        </w:rPr>
        <w:t xml:space="preserve">[R31] </w:t>
      </w:r>
      <w:r>
        <w:t>Metropolis, N. and Ulam, S. The Monte Carlo Method. Journal of the American Statistical Association, 44(247), 1949.</w:t>
      </w:r>
    </w:p>
    <w:p>
      <w:pPr>
        <w:spacing w:after="80"/>
        <w:ind w:left="360" w:hanging="360"/>
      </w:pPr>
      <w:r>
        <w:rPr>
          <w:b/>
          <w:color w:val="17365D"/>
        </w:rPr>
        <w:t xml:space="preserve">[R32] </w:t>
      </w:r>
      <w:r>
        <w:t>Guo, C., Pleiss, G., Sun, Y., and Weinberger, K. Q. On Calibration of Modern Neural Networks. ICML, 2017.</w:t>
      </w:r>
    </w:p>
    <w:p>
      <w:pPr>
        <w:spacing w:after="80"/>
        <w:ind w:left="360" w:hanging="360"/>
      </w:pPr>
      <w:r>
        <w:rPr>
          <w:b/>
          <w:color w:val="17365D"/>
        </w:rPr>
        <w:t xml:space="preserve">[R33] </w:t>
      </w:r>
      <w:r>
        <w:t>Lakshminarayanan, B., Pritzel, A., and Blundell, C. Simple and Scalable Predictive Uncertainty Estimation Using Deep Ensembles. NeurIPS, 2017.</w:t>
      </w:r>
    </w:p>
    <w:p>
      <w:pPr>
        <w:spacing w:after="80"/>
        <w:ind w:left="360" w:hanging="360"/>
      </w:pPr>
      <w:r>
        <w:rPr>
          <w:b/>
          <w:color w:val="17365D"/>
        </w:rPr>
        <w:t xml:space="preserve">[R34] </w:t>
      </w:r>
      <w:r>
        <w:t>National Institute of Standards and Technology. What Is Post-Quantum Cryptography? PQC project overview, updated 2026.</w:t>
      </w:r>
    </w:p>
    <w:p>
      <w:pPr>
        <w:spacing w:after="80"/>
        <w:ind w:left="360" w:hanging="360"/>
      </w:pPr>
      <w:r>
        <w:rPr>
          <w:b/>
          <w:color w:val="17365D"/>
        </w:rPr>
        <w:t xml:space="preserve">[R35] </w:t>
      </w:r>
      <w:r>
        <w:t>National Institute of Standards and Technology. Ransomware Risk Management: A Cybersecurity Framework 2.0 Community Profile. NIST IR 8374 Rev. 1, 2026.</w:t>
      </w:r>
    </w:p>
    <w:p>
      <w:pPr>
        <w:spacing w:after="80"/>
        <w:ind w:left="360" w:hanging="360"/>
      </w:pPr>
      <w:r>
        <w:rPr>
          <w:b/>
          <w:color w:val="17365D"/>
        </w:rPr>
        <w:t xml:space="preserve">[R36] </w:t>
      </w:r>
      <w:r>
        <w:t>Rose, S. Planning a Zero Trust Architecture: A Starting Guide for Federal Administrators. NIST CSWP 20, 2022.</w:t>
      </w:r>
    </w:p>
    <w:p>
      <w:pPr>
        <w:spacing w:after="80"/>
        <w:ind w:left="360" w:hanging="360"/>
      </w:pPr>
      <w:r>
        <w:rPr>
          <w:b/>
          <w:color w:val="17365D"/>
        </w:rPr>
        <w:t xml:space="preserve">[R37] </w:t>
      </w:r>
      <w:r>
        <w:t>National Institute of Standards and Technology. Secure Software Development Framework (SSDF) Version 1.1. NIST SP 800-218, 2022.</w:t>
      </w:r>
    </w:p>
    <w:p>
      <w:pPr>
        <w:spacing w:after="80"/>
        <w:ind w:left="360" w:hanging="360"/>
      </w:pPr>
      <w:r>
        <w:rPr>
          <w:b/>
          <w:color w:val="17365D"/>
        </w:rPr>
        <w:t xml:space="preserve">[R38] </w:t>
      </w:r>
      <w:r>
        <w:t>OpenSSF. Supply-chain Levels for Software Artifacts (SLSA) Specification. Current release, accessed August 5, 2026.</w:t>
      </w:r>
    </w:p>
    <w:p>
      <w:pPr>
        <w:spacing w:after="80"/>
        <w:ind w:left="360" w:hanging="360"/>
      </w:pPr>
      <w:r>
        <w:rPr>
          <w:b/>
          <w:color w:val="17365D"/>
        </w:rPr>
        <w:t xml:space="preserve">[R39] </w:t>
      </w:r>
      <w:r>
        <w:t>Yamin, M. M., Katt, B., and Gkioulos, V. Cyber Ranges and Security Testbeds: Scenarios, Functions, Tools and Architecture. Computers &amp; Security, 88, 2020.</w:t>
      </w:r>
    </w:p>
    <w:p>
      <w:pPr>
        <w:spacing w:after="80"/>
        <w:ind w:left="360" w:hanging="360"/>
      </w:pPr>
      <w:r>
        <w:rPr>
          <w:b/>
          <w:color w:val="17365D"/>
        </w:rPr>
        <w:t xml:space="preserve">[R40] </w:t>
      </w:r>
      <w:r>
        <w:t>Liu, Y.-K. and Moody, D. Post-Quantum Cryptography, and the Quantum Future of Cybersecurity. Physical Review Applied, 21, 040501, 2024.</w:t>
      </w:r>
    </w:p>
    <w:p>
      <w:pPr>
        <w:spacing w:after="80"/>
        <w:ind w:left="360" w:hanging="360"/>
      </w:pPr>
      <w:r>
        <w:rPr>
          <w:b/>
          <w:color w:val="17365D"/>
        </w:rPr>
        <w:t xml:space="preserve">[R41] </w:t>
      </w:r>
      <w:r>
        <w:t>National Institute of Standards and Technology. Security and Privacy Controls Assessment Procedures and OSCAL Resources. NIST SP 800-53A and associated machine-readable catalogs, updated 2026.</w:t>
      </w:r>
    </w:p>
    <w:p>
      <w:pPr>
        <w:spacing w:after="80"/>
        <w:ind w:left="360" w:hanging="360"/>
      </w:pPr>
      <w:r>
        <w:rPr>
          <w:b/>
          <w:color w:val="17365D"/>
        </w:rPr>
        <w:t xml:space="preserve">[R42] </w:t>
      </w:r>
      <w:r>
        <w:t>National Institute of Standards and Technology. Ransomware Protection and Response Project Publications. Current publication index, accessed August 5, 2026.</w:t>
      </w:r>
    </w:p>
    <w:p>
      <w:r>
        <w:br w:type="page"/>
      </w:r>
    </w:p>
    <w:p>
      <w:pPr>
        <w:pStyle w:val="Heading1"/>
      </w:pPr>
      <w:r>
        <w:t>Manuscript Note</w:t>
      </w:r>
    </w:p>
    <w:p>
      <w:r>
        <w:t>Approximate manuscript word count at generation: 50,063 words, including front matter, appendices, figure and table captions, and references. The document was generated from the CyberForge 3 source package, the referenced NAZA source artifacts, reproducible synthetic experiments, and the cited primary guidance. It intentionally contains no real-organization incident attribution and no offensive operating procedures.</w:t>
      </w:r>
    </w:p>
    <w:sectPr w:rsidR="00FC693F" w:rsidRPr="0006063C" w:rsidSect="00034616">
      <w:headerReference w:type="default" r:id="rId9"/>
      <w:footerReference w:type="default" r:id="rId10"/>
      <w:pgSz w:w="12240" w:h="15840"/>
      <w:pgMar w:top="1037" w:right="1037"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66666"/>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ato" w:hAnsi="Lato"/>
        <w:color w:val="666666"/>
        <w:sz w:val="15"/>
      </w:rPr>
      <w:t>CyberForge — Defensive AI Simulation Research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DejaVu Serif" w:hAnsi="DejaVu Serif"/>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ato" w:hAnsi="Lato"/>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ato" w:hAnsi="Lato"/>
      <w:b/>
      <w:bCs/>
      <w:color w:val="0B6E7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ato" w:hAnsi="Lato"/>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ato" w:hAnsi="Lato"/>
      <w:b/>
      <w:i/>
      <w:iCs/>
      <w:color w:val="0B6E7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360" w:right="216"/>
    </w:pPr>
    <w:rPr>
      <w:rFonts w:ascii="Liberation Mono" w:hAnsi="Liberation Mono"/>
      <w:sz w:val="16"/>
    </w:rPr>
  </w:style>
  <w:style w:type="paragraph" w:customStyle="1" w:styleId="TOCEntry">
    <w:name w:val="TOC Entry"/>
    <w:pPr>
      <w:spacing w:after="40"/>
    </w:pPr>
    <w:rPr>
      <w:rFonts w:ascii="Lato" w:hAnsi="Lato"/>
      <w:sz w:val="18"/>
    </w:rPr>
  </w:style>
  <w:style w:type="paragraph" w:customStyle="1" w:styleId="SmallNote">
    <w:name w:val="Small Note"/>
    <w:pPr>
      <w:spacing w:after="80"/>
    </w:pPr>
    <w:rPr>
      <w:rFonts w:ascii="Lato" w:hAnsi="Lato"/>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CyberForge: A Local-First Multi-Model Digital Twin Architecture for Defensive Cybersecurity Simulation, Secure AI Orchestration, and Post-Quantum Recovery</dc:title>
  <dc:subject>Defensive cybersecurity simulation, local AI, digital twins, encrypted model orchestration, and post-quantum recovery</dc:subject>
  <dc:creator>Graylan Janulis</dc:creator>
  <cp:keywords>CyberForge, defensive cybersecurity, digital twin, AI simulation, Gemma, Llama, GPT-5.6, Grok, Gemini, AES-GCM, ML-KEM, blue team</cp:keywords>
  <dc:description>Research monograph generated August 2026. Defense-first and evidence-bounded.</dc:description>
  <cp:lastModifiedBy/>
  <cp:revision>1</cp:revision>
  <dcterms:created xsi:type="dcterms:W3CDTF">2013-12-23T23:15:00Z</dcterms:created>
  <dcterms:modified xsi:type="dcterms:W3CDTF">2013-12-23T23:15:00Z</dcterms:modified>
  <cp:category/>
</cp:coreProperties>
</file>