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3C151166" w:rsidR="007F35ED" w:rsidRDefault="00636887" w:rsidP="00C945DC">
      <w:pPr>
        <w:pStyle w:val="Heading1"/>
      </w:pPr>
      <w:r>
        <w:t>Either n</w:t>
      </w:r>
      <w:r w:rsidR="007F35ED">
        <w:t xml:space="preserve">egative </w:t>
      </w:r>
      <w:r w:rsidR="00944852">
        <w:t xml:space="preserve">or no </w:t>
      </w:r>
      <w:r w:rsidR="007F35ED">
        <w:t>correlations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0BA5C4C" w14:textId="493EB168" w:rsidR="00C945DC" w:rsidRDefault="00C945DC">
      <w:r>
        <w:t>Authors</w:t>
      </w:r>
      <w:r w:rsidR="000316FC">
        <w:t>: Ornwipa Thamsuwan, Kit Galvin, Peter W. Johnson</w:t>
      </w:r>
    </w:p>
    <w:p w14:paraId="50C39E79" w14:textId="54841303" w:rsidR="00C945DC" w:rsidRDefault="00C945DC">
      <w:r>
        <w:t>Abstract</w:t>
      </w:r>
    </w:p>
    <w:p w14:paraId="7985D7DD" w14:textId="77777777" w:rsidR="00C945DC" w:rsidRDefault="00C945DC"/>
    <w:p w14:paraId="3E3FDCFF" w14:textId="1C598119" w:rsidR="0021786B" w:rsidRDefault="007F35ED" w:rsidP="00C945DC">
      <w:pPr>
        <w:pStyle w:val="Heading2"/>
      </w:pPr>
      <w:r>
        <w:t>Introduction</w:t>
      </w:r>
    </w:p>
    <w:p w14:paraId="7F681F86" w14:textId="2A2236A3" w:rsidR="00C945DC" w:rsidRDefault="00C945DC">
      <w:r>
        <w:t>Migrant farmworkers…</w:t>
      </w:r>
    </w:p>
    <w:p w14:paraId="7D96CFB2" w14:textId="733716F6" w:rsidR="002D6306" w:rsidRDefault="002D6306">
      <w:r>
        <w:t>Refer to past works…</w:t>
      </w:r>
    </w:p>
    <w:p w14:paraId="38E75E17" w14:textId="77777777" w:rsidR="00C945DC" w:rsidRDefault="00C945DC"/>
    <w:p w14:paraId="330DE7A6" w14:textId="6DB2CCCF" w:rsidR="007F35ED" w:rsidRDefault="007F35ED" w:rsidP="00C945DC">
      <w:pPr>
        <w:pStyle w:val="Heading2"/>
      </w:pPr>
      <w:r>
        <w:t>Methods</w:t>
      </w:r>
    </w:p>
    <w:p w14:paraId="377C89F2" w14:textId="4CB36A30" w:rsidR="007F35ED" w:rsidRDefault="007F35ED" w:rsidP="00C945DC">
      <w:pPr>
        <w:pStyle w:val="Heading3"/>
      </w:pPr>
      <w:r>
        <w:t xml:space="preserve">Participants </w:t>
      </w:r>
    </w:p>
    <w:p w14:paraId="19FDA0C3" w14:textId="6CA13B18" w:rsidR="00C945DC" w:rsidRDefault="00C945DC">
      <w:r>
        <w:t>Twenty-four…</w:t>
      </w:r>
    </w:p>
    <w:p w14:paraId="3FC4DD0F" w14:textId="09AB378B" w:rsidR="007F35ED" w:rsidRDefault="007F35ED" w:rsidP="00C945DC">
      <w:pPr>
        <w:pStyle w:val="Heading3"/>
      </w:pPr>
      <w:r>
        <w:t>Data collection</w:t>
      </w:r>
    </w:p>
    <w:p w14:paraId="087E92DC" w14:textId="19095FC1" w:rsidR="00C945DC" w:rsidRDefault="00C945DC" w:rsidP="00C945DC">
      <w:pPr>
        <w:pStyle w:val="Heading4"/>
      </w:pPr>
      <w:r>
        <w:t>Heart rate monitors</w:t>
      </w:r>
    </w:p>
    <w:p w14:paraId="5EAAACE3" w14:textId="3AFD8DFA" w:rsidR="00C945DC" w:rsidRDefault="003E68BB">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1C7845BC" w:rsidR="00C945DC" w:rsidRDefault="00C945DC" w:rsidP="00C945DC">
      <w:pPr>
        <w:pStyle w:val="Heading4"/>
      </w:pPr>
      <w:r>
        <w:t>Electromyography</w:t>
      </w:r>
    </w:p>
    <w:p w14:paraId="4D18048E" w14:textId="017CA39D" w:rsidR="00C945DC" w:rsidRPr="002D6306" w:rsidRDefault="00B14F02">
      <w:r>
        <w:rPr>
          <w:rFonts w:ascii="Calibri" w:hAnsi="Calibri" w:cs="Calibri"/>
          <w:color w:val="2E2E2E"/>
          <w:szCs w:val="27"/>
        </w:rPr>
        <w:t>Local trapezius muscle activity was collected at 1,000 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5FAB2312" w:rsidR="00C945DC" w:rsidRPr="00C945DC" w:rsidRDefault="00C945DC" w:rsidP="00C945DC">
      <w:pPr>
        <w:pStyle w:val="Heading4"/>
      </w:pPr>
      <w:r w:rsidRPr="00C945DC">
        <w:t>Subjective ratings: Borg RPE, Omni RPE and Borg CR10</w:t>
      </w:r>
    </w:p>
    <w:p w14:paraId="3504D247" w14:textId="3BCEB36F" w:rsidR="007C2133" w:rsidRPr="007C2133" w:rsidRDefault="0021786B">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Pr="00B14F02">
        <w:t>(Thamsuwan et al., 2019)</w:t>
      </w:r>
      <w:r>
        <w:t xml:space="preserve">. </w:t>
      </w:r>
      <w:r w:rsidR="00AC1E2B">
        <w:t>In addition, t</w:t>
      </w:r>
      <w:r>
        <w:t xml:space="preserve">he Omni RPE </w:t>
      </w:r>
      <w:r w:rsidR="00AC1E2B">
        <w:t>with</w:t>
      </w:r>
      <w:r>
        <w:t xml:space="preserve"> pictures of human wearing an apple bag were </w:t>
      </w:r>
      <w:r w:rsidR="00AC1E2B">
        <w:t>included.</w:t>
      </w:r>
      <w:r>
        <w:t xml:space="preserve"> The examples of Borg RPE, Omni RPE and Borg CR10 were shown in </w:t>
      </w:r>
      <w:r w:rsidRPr="007C2133">
        <w:t>Figure 1, 2 and 3, r</w:t>
      </w:r>
      <w:r>
        <w:t>espectively.</w:t>
      </w:r>
    </w:p>
    <w:p w14:paraId="0255FFF4" w14:textId="7CC56B0A" w:rsidR="003E68BB" w:rsidRDefault="0021786B" w:rsidP="003E68BB">
      <w:r>
        <w:t>The m</w:t>
      </w:r>
      <w:r w:rsidR="002B53E5" w:rsidRPr="002B53E5">
        <w:t>easurement time</w:t>
      </w:r>
      <w:r>
        <w:t xml:space="preserve"> points of the effort surveys were:</w:t>
      </w:r>
    </w:p>
    <w:p w14:paraId="02C0A8A3" w14:textId="713F0FFA" w:rsidR="003E68BB" w:rsidRDefault="003E68BB" w:rsidP="003E68BB">
      <w:pPr>
        <w:pStyle w:val="ListParagraph"/>
        <w:numPr>
          <w:ilvl w:val="0"/>
          <w:numId w:val="1"/>
        </w:numPr>
      </w:pPr>
      <w:r>
        <w:t>T0: right before start the work shift</w:t>
      </w:r>
      <w:bookmarkStart w:id="0" w:name="_GoBack"/>
      <w:bookmarkEnd w:id="0"/>
    </w:p>
    <w:p w14:paraId="3848E552" w14:textId="38C1ED7D" w:rsidR="003E68BB" w:rsidRDefault="003E68BB" w:rsidP="003E68BB">
      <w:pPr>
        <w:pStyle w:val="ListParagraph"/>
        <w:numPr>
          <w:ilvl w:val="0"/>
          <w:numId w:val="1"/>
        </w:numPr>
      </w:pPr>
      <w:r>
        <w:t>T1: after working for 90 minutes since the beginning of the work shift</w:t>
      </w:r>
    </w:p>
    <w:p w14:paraId="5F923EAD" w14:textId="77777777" w:rsidR="003E68BB" w:rsidRDefault="003E68BB" w:rsidP="003E68BB">
      <w:pPr>
        <w:pStyle w:val="ListParagraph"/>
        <w:numPr>
          <w:ilvl w:val="0"/>
          <w:numId w:val="1"/>
        </w:numPr>
      </w:pPr>
      <w:r>
        <w:t>T2: after taking a break for 30 minutes, immediately after the 90-minute of work</w:t>
      </w:r>
    </w:p>
    <w:p w14:paraId="3E70A425" w14:textId="6D1F51BD" w:rsidR="003E68BB" w:rsidRPr="002B53E5" w:rsidRDefault="003E68BB" w:rsidP="003E68BB">
      <w:pPr>
        <w:pStyle w:val="ListParagraph"/>
        <w:numPr>
          <w:ilvl w:val="0"/>
          <w:numId w:val="1"/>
        </w:numPr>
      </w:pPr>
      <w:r>
        <w:t>T3: at the end of 8-hour work sift</w:t>
      </w:r>
    </w:p>
    <w:p w14:paraId="7E61619C" w14:textId="77777777" w:rsidR="007F35ED" w:rsidRDefault="007F35ED" w:rsidP="00C945DC">
      <w:pPr>
        <w:pStyle w:val="Heading3"/>
      </w:pPr>
      <w:r>
        <w:lastRenderedPageBreak/>
        <w:t>Data processing</w:t>
      </w:r>
    </w:p>
    <w:p w14:paraId="1B860179" w14:textId="579882F2" w:rsidR="00C945DC" w:rsidRDefault="00C945DC" w:rsidP="00720BED">
      <w:pPr>
        <w:pStyle w:val="Heading4"/>
      </w:pPr>
      <w:r>
        <w:t>Metabolic load: percent of heart rate reserve</w:t>
      </w:r>
    </w:p>
    <w:p w14:paraId="2951ABE1" w14:textId="0D69B799" w:rsidR="003E68BB" w:rsidRDefault="003E68BB">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240F835A" w:rsidR="00C945DC" w:rsidRDefault="00DF1C5E">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-4</m:t>
        </m:r>
      </m:oMath>
    </w:p>
    <w:p w14:paraId="3B197391" w14:textId="3A81F098" w:rsidR="00C945DC" w:rsidRDefault="00F1751D">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3BD9A087" w:rsidR="00C945DC" w:rsidRPr="00C945DC" w:rsidRDefault="00C945DC" w:rsidP="00720BED">
      <w:pPr>
        <w:pStyle w:val="Heading4"/>
      </w:pPr>
      <w:r w:rsidRPr="00C945DC">
        <w:t>Muscle fatigue: EMG median power freq</w:t>
      </w:r>
      <w:r>
        <w:t>uency</w:t>
      </w:r>
    </w:p>
    <w:p w14:paraId="5CA039BF" w14:textId="54F8B6D7" w:rsidR="00C945DC" w:rsidRDefault="002D6306">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Also, we use linear r</w:t>
      </w:r>
      <w:r w:rsidR="00720BED">
        <w:t>egression to adjust for dominant side and individual effect</w:t>
      </w:r>
      <w:r w:rsidR="004B7E31">
        <w:t xml:space="preserve"> according to the question (</w:t>
      </w:r>
      <w:r w:rsidR="00DF1C5E">
        <w:t>iv</w:t>
      </w:r>
      <w:r w:rsidR="004B7E31">
        <w:t>).</w:t>
      </w:r>
    </w:p>
    <w:p w14:paraId="396007B9" w14:textId="296C9E52" w:rsidR="00720BED" w:rsidRPr="004B7E31" w:rsidRDefault="00DF1C5E">
      <w:pPr>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r>
          <w:rPr>
            <w:rFonts w:ascii="Cambria Math" w:eastAsiaTheme="minorEastAsia" w:hAnsi="Cambria Math"/>
          </w:rPr>
          <m:t>Side+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r>
          <w:rPr>
            <w:rFonts w:ascii="Cambria Math" w:eastAsiaTheme="minorEastAsia" w:hAnsi="Cambria Math"/>
          </w:rPr>
          <m:t>Subject</m:t>
        </m:r>
      </m:oMath>
    </w:p>
    <w:p w14:paraId="1157CE2C" w14:textId="06CCA080" w:rsidR="004B7E31" w:rsidRDefault="004B7E31">
      <w:pPr>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 xml:space="preserve">, </w:t>
      </w:r>
      <w:r>
        <w:t>represent</w:t>
      </w:r>
      <w:r w:rsidR="00DF1C5E">
        <w:t>ing</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1D76D32F" w:rsidR="002B53E5" w:rsidRDefault="002B53E5" w:rsidP="002B53E5">
      <w:pPr>
        <w:pStyle w:val="Heading4"/>
      </w:pPr>
      <w:r>
        <w:t>Effort survey</w:t>
      </w:r>
    </w:p>
    <w:p w14:paraId="1B8B0EF7" w14:textId="72F57F5F" w:rsidR="00720BED" w:rsidRPr="00C945DC" w:rsidRDefault="00C55E4C">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6765A866" w:rsidR="00C945DC" w:rsidRDefault="00C945DC" w:rsidP="00C945DC">
      <w:pPr>
        <w:pStyle w:val="Heading3"/>
      </w:pPr>
      <w:r>
        <w:t>Statistical analysis</w:t>
      </w:r>
    </w:p>
    <w:p w14:paraId="259D5234" w14:textId="5541B530" w:rsidR="002D6306" w:rsidRDefault="002D6306">
      <w:r>
        <w:t>Overall effort: correlation between % HRR and Borg RPE, correlation between % HRR and Omni RPE</w:t>
      </w:r>
    </w:p>
    <w:p w14:paraId="75F27546" w14:textId="3C37E953" w:rsidR="002D6306" w:rsidRDefault="002D6306">
      <w:r>
        <w:t>Local discomfort: correlation between EMG MPF and Borg CR10</w:t>
      </w:r>
    </w:p>
    <w:p w14:paraId="47FEF117" w14:textId="233DE6C9" w:rsidR="005937E8" w:rsidRDefault="005937E8">
      <w:r>
        <w:t>With the small dataset, we set the significant level at 0.90.</w:t>
      </w:r>
    </w:p>
    <w:p w14:paraId="3BA74A67" w14:textId="77777777" w:rsidR="00C945DC" w:rsidRDefault="00C945DC"/>
    <w:p w14:paraId="5C97A208" w14:textId="15B530D7" w:rsidR="007F35ED" w:rsidRDefault="007F35ED" w:rsidP="002D6306">
      <w:pPr>
        <w:pStyle w:val="Heading2"/>
      </w:pPr>
      <w:r>
        <w:t>Results</w:t>
      </w:r>
    </w:p>
    <w:p w14:paraId="5BD3E7FF" w14:textId="67645608" w:rsidR="00F5247C" w:rsidRDefault="00F5247C" w:rsidP="00944852">
      <w:pPr>
        <w:pStyle w:val="Heading3"/>
      </w:pPr>
      <w:r>
        <w:t>Overall effort: %HRR a</w:t>
      </w:r>
      <w:r w:rsidR="00153E36">
        <w:t>s</w:t>
      </w:r>
      <w:r>
        <w:t xml:space="preserve"> metabolic load, Borg RPE and Omni RPE</w:t>
      </w:r>
    </w:p>
    <w:p w14:paraId="3A148121" w14:textId="17397234" w:rsidR="007C2133" w:rsidRDefault="007C2133">
      <w:r>
        <w:t>Based on the Shapiro-Wilk test, initial %HRR was not normally distributed (p = 0.013). After the %HRR was square-root transformed, the data became normally distributed (p = 0.48). Figure 4 shows the histograms and the QQ-plots of data before and after the transformation.</w:t>
      </w:r>
    </w:p>
    <w:p w14:paraId="1E3AB818" w14:textId="6A4A2904" w:rsidR="00944852" w:rsidRDefault="00F36BE3">
      <w:r>
        <w:lastRenderedPageBreak/>
        <w:t xml:space="preserve">The metabolic load, i.e. </w:t>
      </w:r>
      <w:r w:rsidR="00944852">
        <w:t>%HRR</w:t>
      </w:r>
      <w:r>
        <w:t xml:space="preserve">, among each group of workers at each time of measurement is shown in Figure </w:t>
      </w:r>
      <w:r w:rsidR="007C2133">
        <w:t>5</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4F1114D9" w:rsidR="00432FA8" w:rsidRPr="00555106" w:rsidRDefault="00555106">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276A77">
        <w:t>6</w:t>
      </w:r>
      <w:r>
        <w:t xml:space="preserve">. However, the </w:t>
      </w:r>
      <w:r w:rsidR="001F230A">
        <w:t xml:space="preserve">increases in </w:t>
      </w:r>
      <w:r>
        <w:t>Borg RPE over time were not significantly different across the harvesting methods.</w:t>
      </w:r>
    </w:p>
    <w:p w14:paraId="7722A7D5" w14:textId="6C958C52" w:rsidR="00153E36" w:rsidRPr="00555106" w:rsidRDefault="00555106">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276A77">
        <w:t>7</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219E0383" w:rsidR="00F5247C" w:rsidRDefault="00F5247C" w:rsidP="00153E36">
      <w:pPr>
        <w:pStyle w:val="Heading3"/>
      </w:pPr>
      <w:r>
        <w:t>Association between objective metabolic load and subjective overall effort</w:t>
      </w:r>
    </w:p>
    <w:p w14:paraId="6D8B537A" w14:textId="29F1A154" w:rsidR="00BC3534" w:rsidRDefault="00BC3534" w:rsidP="00BC3534">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20B7FDD6" w:rsidR="007D6F9E" w:rsidRDefault="007D6F9E">
      <w:r>
        <w:t xml:space="preserve">On the other hand, when stratified by the work period, i.e. the time point of measurement, </w:t>
      </w:r>
      <w:r w:rsidR="005937E8">
        <w:t xml:space="preserve">Figures </w:t>
      </w:r>
      <w:r w:rsidR="00276A77">
        <w:t>8</w:t>
      </w:r>
      <w:r w:rsidR="005937E8">
        <w:t xml:space="preserve"> and </w:t>
      </w:r>
      <w:r w:rsidR="00276A77">
        <w:t>9</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r w:rsidR="00566F4E">
        <w:t>Note that the reason might be due to the fact that stratification reduced the sample size and, consequently, there was not enough power to detect a significant correlation in each group.</w:t>
      </w:r>
      <w:r w:rsidR="005937E8">
        <w:t xml:space="preserve"> </w:t>
      </w:r>
    </w:p>
    <w:p w14:paraId="6EEE51DA" w14:textId="74B88CCF" w:rsidR="00F5247C" w:rsidRDefault="00F5247C" w:rsidP="00153E36">
      <w:pPr>
        <w:pStyle w:val="Heading3"/>
      </w:pPr>
      <w:r>
        <w:t>Local discomfort: EMG MPF as muscle fatigue and Borg CR10</w:t>
      </w:r>
    </w:p>
    <w:p w14:paraId="51CC51B0" w14:textId="29AFEBBC" w:rsidR="007C2133" w:rsidRDefault="007C2133" w:rsidP="007C2133">
      <w:r>
        <w:t>The EMG MDF in 10-minute windows of all participants had a bi-modal distribution (Figure 10)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w:t>
      </w:r>
      <w:r>
        <w:lastRenderedPageBreak/>
        <w:t xml:space="preserve">used for analysis to find correlation between EMG MDF and Borg CR10. Figure 11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5CA7796B" w:rsidR="00153E36" w:rsidRDefault="00153E36">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 (Thamsuwan and Johnson, 2022).</w:t>
      </w:r>
    </w:p>
    <w:p w14:paraId="70264C1F" w14:textId="44D55AA9" w:rsidR="009B5AD8" w:rsidRDefault="000D097A">
      <w:r>
        <w:t xml:space="preserve">The </w:t>
      </w:r>
      <w:r w:rsidR="009B5AD8">
        <w:t>Borg CR10</w:t>
      </w:r>
      <w:r w:rsidR="0055017F">
        <w:t xml:space="preserve"> difference between the beginning and the end of work shift</w:t>
      </w:r>
      <w:r>
        <w:t xml:space="preserve"> by each harvesting method is shown in Figure </w:t>
      </w:r>
      <w:r w:rsidR="00276A77">
        <w:t>12</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306A5DD2" w:rsidR="00F5247C" w:rsidRDefault="00F5247C" w:rsidP="009B5AD8">
      <w:pPr>
        <w:pStyle w:val="Heading3"/>
      </w:pPr>
      <w:r>
        <w:t>Association between objective muscle fatigue and subjective local discomfort</w:t>
      </w:r>
    </w:p>
    <w:p w14:paraId="1AF295B3" w14:textId="7019F6C8" w:rsidR="00C945DC" w:rsidRDefault="00566F4E">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13</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6AAAC7DB" w:rsidR="007F35ED" w:rsidRDefault="007F35ED" w:rsidP="00C945DC">
      <w:pPr>
        <w:pStyle w:val="Heading2"/>
      </w:pPr>
      <w:r>
        <w:t>Discussions</w:t>
      </w:r>
    </w:p>
    <w:p w14:paraId="4AC148AC" w14:textId="51A2C091" w:rsidR="00636887" w:rsidRDefault="00C945DC">
      <w:r>
        <w:t>Based on the results…</w:t>
      </w:r>
      <w:r w:rsidR="00636887">
        <w:t xml:space="preserve"> </w:t>
      </w:r>
    </w:p>
    <w:p w14:paraId="7862BBD8" w14:textId="3FC13C20" w:rsidR="00C945DC" w:rsidRDefault="00636887">
      <w:r>
        <w:t>Despite translated and adapted to the culture, the subjective effort surveys, namely Omni RPE, Borg RPE and Borg CR10, may not be suitable for this population. Therefore, they should not replace the objective direct-measured ergonomic assessment.</w:t>
      </w:r>
    </w:p>
    <w:p w14:paraId="0D430A8E" w14:textId="77777777" w:rsidR="007F35ED" w:rsidRDefault="007F35ED"/>
    <w:p w14:paraId="5FF8AB72" w14:textId="77777777" w:rsidR="007F35ED" w:rsidRDefault="007F35ED">
      <w:r>
        <w:br w:type="page"/>
      </w:r>
    </w:p>
    <w:p w14:paraId="00CC701C" w14:textId="71D1E479" w:rsidR="002B26FB" w:rsidRDefault="000B15BF">
      <w:r>
        <w:rPr>
          <w:noProof/>
        </w:rPr>
        <w:lastRenderedPageBreak/>
        <w:drawing>
          <wp:inline distT="0" distB="0" distL="0" distR="0" wp14:anchorId="65E56EE5" wp14:editId="2E73725D">
            <wp:extent cx="2730500" cy="1965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313" cy="1982499"/>
                    </a:xfrm>
                    <a:prstGeom prst="rect">
                      <a:avLst/>
                    </a:prstGeom>
                    <a:noFill/>
                    <a:ln>
                      <a:noFill/>
                    </a:ln>
                  </pic:spPr>
                </pic:pic>
              </a:graphicData>
            </a:graphic>
          </wp:inline>
        </w:drawing>
      </w:r>
      <w:r w:rsidR="00FC6211">
        <w:tab/>
      </w:r>
      <w:r w:rsidR="00FC6211">
        <w:tab/>
      </w:r>
      <w:r w:rsidR="002B26FB">
        <w:rPr>
          <w:noProof/>
        </w:rPr>
        <w:drawing>
          <wp:inline distT="0" distB="0" distL="0" distR="0" wp14:anchorId="5347112A" wp14:editId="0BFE8D47">
            <wp:extent cx="2730500" cy="196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041" cy="1985183"/>
                    </a:xfrm>
                    <a:prstGeom prst="rect">
                      <a:avLst/>
                    </a:prstGeom>
                    <a:noFill/>
                    <a:ln>
                      <a:noFill/>
                    </a:ln>
                  </pic:spPr>
                </pic:pic>
              </a:graphicData>
            </a:graphic>
          </wp:inline>
        </w:drawing>
      </w:r>
      <w:r w:rsidR="002B26FB">
        <w:rPr>
          <w:noProof/>
        </w:rPr>
        <w:drawing>
          <wp:inline distT="0" distB="0" distL="0" distR="0" wp14:anchorId="51DDC82C" wp14:editId="3526F539">
            <wp:extent cx="2743200" cy="223899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284" cy="2274980"/>
                    </a:xfrm>
                    <a:prstGeom prst="rect">
                      <a:avLst/>
                    </a:prstGeom>
                    <a:noFill/>
                    <a:ln>
                      <a:noFill/>
                    </a:ln>
                  </pic:spPr>
                </pic:pic>
              </a:graphicData>
            </a:graphic>
          </wp:inline>
        </w:drawing>
      </w:r>
      <w:r w:rsidR="00FC6211">
        <w:tab/>
      </w:r>
      <w:r w:rsidR="002B26FB">
        <w:rPr>
          <w:noProof/>
        </w:rPr>
        <w:drawing>
          <wp:inline distT="0" distB="0" distL="0" distR="0" wp14:anchorId="229349E4" wp14:editId="69553D4F">
            <wp:extent cx="2730500" cy="222863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097" cy="2265033"/>
                    </a:xfrm>
                    <a:prstGeom prst="rect">
                      <a:avLst/>
                    </a:prstGeom>
                    <a:noFill/>
                    <a:ln>
                      <a:noFill/>
                    </a:ln>
                  </pic:spPr>
                </pic:pic>
              </a:graphicData>
            </a:graphic>
          </wp:inline>
        </w:drawing>
      </w:r>
    </w:p>
    <w:p w14:paraId="1C36DC29" w14:textId="22C3220D" w:rsidR="001F230A" w:rsidRDefault="001F230A">
      <w:r>
        <w:t>Figure 4</w:t>
      </w:r>
      <w:r w:rsidR="00276A77">
        <w:t>.</w:t>
      </w:r>
      <w:r>
        <w:t xml:space="preserve"> Histograms and Q-Q plots of the %HRR before and after square-root transformed</w:t>
      </w:r>
    </w:p>
    <w:p w14:paraId="6FBC1971" w14:textId="145E3884" w:rsidR="00FB3E8C" w:rsidRDefault="00FB3E8C">
      <w:r>
        <w:rPr>
          <w:noProof/>
        </w:rPr>
        <w:drawing>
          <wp:inline distT="0" distB="0" distL="0" distR="0" wp14:anchorId="6E2F144C" wp14:editId="1F2A9827">
            <wp:extent cx="567690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257550"/>
                    </a:xfrm>
                    <a:prstGeom prst="rect">
                      <a:avLst/>
                    </a:prstGeom>
                    <a:noFill/>
                    <a:ln>
                      <a:noFill/>
                    </a:ln>
                  </pic:spPr>
                </pic:pic>
              </a:graphicData>
            </a:graphic>
          </wp:inline>
        </w:drawing>
      </w:r>
    </w:p>
    <w:p w14:paraId="7DAAD41A" w14:textId="76111617" w:rsidR="001F230A" w:rsidRDefault="001F230A">
      <w:r>
        <w:t>Figure 5</w:t>
      </w:r>
      <w:r w:rsidR="00276A77">
        <w:t>.</w:t>
      </w:r>
      <w:r>
        <w:t xml:space="preserve"> %HRR </w:t>
      </w:r>
      <w:r w:rsidR="00276A77">
        <w:t xml:space="preserve">measured among each group of workers at each work period </w:t>
      </w:r>
    </w:p>
    <w:p w14:paraId="1E28F3D9" w14:textId="08896BB1" w:rsidR="00FB3E8C" w:rsidRDefault="00FB3E8C">
      <w:r>
        <w:rPr>
          <w:noProof/>
        </w:rPr>
        <w:lastRenderedPageBreak/>
        <w:drawing>
          <wp:inline distT="0" distB="0" distL="0" distR="0" wp14:anchorId="401BE36A" wp14:editId="08F02BC8">
            <wp:extent cx="56769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257550"/>
                    </a:xfrm>
                    <a:prstGeom prst="rect">
                      <a:avLst/>
                    </a:prstGeom>
                    <a:noFill/>
                    <a:ln>
                      <a:noFill/>
                    </a:ln>
                  </pic:spPr>
                </pic:pic>
              </a:graphicData>
            </a:graphic>
          </wp:inline>
        </w:drawing>
      </w:r>
    </w:p>
    <w:p w14:paraId="1AF5182E" w14:textId="3C649D69" w:rsidR="00276A77" w:rsidRDefault="00276A77">
      <w:r>
        <w:t>Figure 6. The difference in Borg RPE from the beginning of work reported by each group of workers at each work period</w:t>
      </w:r>
    </w:p>
    <w:p w14:paraId="241F7F9C" w14:textId="1E3B74B9" w:rsidR="00FB3E8C" w:rsidRDefault="00FB3E8C">
      <w:r>
        <w:rPr>
          <w:noProof/>
        </w:rPr>
        <w:drawing>
          <wp:inline distT="0" distB="0" distL="0" distR="0" wp14:anchorId="00CC5C12" wp14:editId="3AF4CBCC">
            <wp:extent cx="56769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257550"/>
                    </a:xfrm>
                    <a:prstGeom prst="rect">
                      <a:avLst/>
                    </a:prstGeom>
                    <a:noFill/>
                    <a:ln>
                      <a:noFill/>
                    </a:ln>
                  </pic:spPr>
                </pic:pic>
              </a:graphicData>
            </a:graphic>
          </wp:inline>
        </w:drawing>
      </w:r>
    </w:p>
    <w:p w14:paraId="69F9A177" w14:textId="1F93C221" w:rsidR="00276A77" w:rsidRDefault="00276A77">
      <w:r>
        <w:t>Figure 7. The difference in Omni RPE from the beginning of work reported by each group of workers at each work period</w:t>
      </w:r>
    </w:p>
    <w:p w14:paraId="676F4ADA" w14:textId="028B2CA8" w:rsidR="00FB3E8C" w:rsidRDefault="00FB3E8C">
      <w:r>
        <w:rPr>
          <w:noProof/>
        </w:rPr>
        <w:lastRenderedPageBreak/>
        <w:drawing>
          <wp:inline distT="0" distB="0" distL="0" distR="0" wp14:anchorId="5C3B1FDC" wp14:editId="63421C8D">
            <wp:extent cx="5943600" cy="3660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0503"/>
                    </a:xfrm>
                    <a:prstGeom prst="rect">
                      <a:avLst/>
                    </a:prstGeom>
                    <a:noFill/>
                    <a:ln>
                      <a:noFill/>
                    </a:ln>
                  </pic:spPr>
                </pic:pic>
              </a:graphicData>
            </a:graphic>
          </wp:inline>
        </w:drawing>
      </w:r>
    </w:p>
    <w:p w14:paraId="303CD324" w14:textId="764C9172" w:rsidR="00276A77" w:rsidRDefault="00276A77">
      <w:r>
        <w:t>Figure 8. The association between %HRR and Borg RPE difference from the beginning of work shift</w:t>
      </w:r>
    </w:p>
    <w:p w14:paraId="33977C77" w14:textId="4AA56195" w:rsidR="00FB3E8C" w:rsidRDefault="00FB3E8C">
      <w:r>
        <w:rPr>
          <w:noProof/>
        </w:rPr>
        <w:drawing>
          <wp:inline distT="0" distB="0" distL="0" distR="0" wp14:anchorId="7A4E410F" wp14:editId="2722D59C">
            <wp:extent cx="5943600" cy="3660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0503"/>
                    </a:xfrm>
                    <a:prstGeom prst="rect">
                      <a:avLst/>
                    </a:prstGeom>
                    <a:noFill/>
                    <a:ln>
                      <a:noFill/>
                    </a:ln>
                  </pic:spPr>
                </pic:pic>
              </a:graphicData>
            </a:graphic>
          </wp:inline>
        </w:drawing>
      </w:r>
    </w:p>
    <w:p w14:paraId="459D6B31" w14:textId="7A6C46C6" w:rsidR="00276A77" w:rsidRDefault="00276A77">
      <w:r>
        <w:t>Figure 9. The association between %HRR and Omni RPE difference from the beginning of work shift</w:t>
      </w:r>
    </w:p>
    <w:p w14:paraId="00266DF6" w14:textId="77777777" w:rsidR="001F230A" w:rsidRDefault="001F230A" w:rsidP="001F230A">
      <w:r>
        <w:rPr>
          <w:noProof/>
        </w:rPr>
        <w:lastRenderedPageBreak/>
        <w:drawing>
          <wp:inline distT="0" distB="0" distL="0" distR="0" wp14:anchorId="5D552798" wp14:editId="26DCD906">
            <wp:extent cx="5670550" cy="2952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0550" cy="2952750"/>
                    </a:xfrm>
                    <a:prstGeom prst="rect">
                      <a:avLst/>
                    </a:prstGeom>
                    <a:noFill/>
                    <a:ln>
                      <a:noFill/>
                    </a:ln>
                  </pic:spPr>
                </pic:pic>
              </a:graphicData>
            </a:graphic>
          </wp:inline>
        </w:drawing>
      </w:r>
    </w:p>
    <w:p w14:paraId="0213BA96" w14:textId="1F04E135" w:rsidR="001F230A" w:rsidRDefault="00276A77">
      <w:r>
        <w:t>Figure 10.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2606E6D3">
            <wp:extent cx="5670550" cy="2952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0550" cy="2952750"/>
                    </a:xfrm>
                    <a:prstGeom prst="rect">
                      <a:avLst/>
                    </a:prstGeom>
                    <a:noFill/>
                    <a:ln>
                      <a:noFill/>
                    </a:ln>
                  </pic:spPr>
                </pic:pic>
              </a:graphicData>
            </a:graphic>
          </wp:inline>
        </w:drawing>
      </w:r>
    </w:p>
    <w:p w14:paraId="57596470" w14:textId="1C868DF0" w:rsidR="00276A77" w:rsidRDefault="00276A77">
      <w:r>
        <w:t xml:space="preserve">Figure 11.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284DE0C5" w14:textId="70FFDFFD" w:rsidR="00FB3E8C" w:rsidRDefault="00FB3E8C">
      <w:r>
        <w:rPr>
          <w:noProof/>
        </w:rPr>
        <w:lastRenderedPageBreak/>
        <w:drawing>
          <wp:inline distT="0" distB="0" distL="0" distR="0" wp14:anchorId="7E699091" wp14:editId="32DC1525">
            <wp:extent cx="56769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3257550"/>
                    </a:xfrm>
                    <a:prstGeom prst="rect">
                      <a:avLst/>
                    </a:prstGeom>
                    <a:noFill/>
                    <a:ln>
                      <a:noFill/>
                    </a:ln>
                  </pic:spPr>
                </pic:pic>
              </a:graphicData>
            </a:graphic>
          </wp:inline>
        </w:drawing>
      </w:r>
    </w:p>
    <w:p w14:paraId="2340E8C5" w14:textId="09B47FB6" w:rsidR="00276A77" w:rsidRDefault="00276A77">
      <w:r>
        <w:t>Figure 12.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3F2EDF8E">
            <wp:extent cx="42672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695700"/>
                    </a:xfrm>
                    <a:prstGeom prst="rect">
                      <a:avLst/>
                    </a:prstGeom>
                    <a:noFill/>
                    <a:ln>
                      <a:noFill/>
                    </a:ln>
                  </pic:spPr>
                </pic:pic>
              </a:graphicData>
            </a:graphic>
          </wp:inline>
        </w:drawing>
      </w:r>
    </w:p>
    <w:p w14:paraId="0AC051E2" w14:textId="7B53DA79" w:rsidR="00276A77" w:rsidRDefault="00276A77">
      <w:r>
        <w:t xml:space="preserve">Figure 13.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604D3"/>
    <w:rsid w:val="000B0FB2"/>
    <w:rsid w:val="000B15BF"/>
    <w:rsid w:val="000D097A"/>
    <w:rsid w:val="00153E36"/>
    <w:rsid w:val="001F230A"/>
    <w:rsid w:val="0021786B"/>
    <w:rsid w:val="00276A77"/>
    <w:rsid w:val="002B26FB"/>
    <w:rsid w:val="002B53E5"/>
    <w:rsid w:val="002D6306"/>
    <w:rsid w:val="003A3CCB"/>
    <w:rsid w:val="003E68BB"/>
    <w:rsid w:val="003F4CE5"/>
    <w:rsid w:val="00432FA8"/>
    <w:rsid w:val="004B7E31"/>
    <w:rsid w:val="005406C7"/>
    <w:rsid w:val="0055017F"/>
    <w:rsid w:val="00555106"/>
    <w:rsid w:val="00566F4E"/>
    <w:rsid w:val="005937E8"/>
    <w:rsid w:val="0059483A"/>
    <w:rsid w:val="00636887"/>
    <w:rsid w:val="00706C69"/>
    <w:rsid w:val="00720BED"/>
    <w:rsid w:val="00747475"/>
    <w:rsid w:val="007C2133"/>
    <w:rsid w:val="007D6F9E"/>
    <w:rsid w:val="007F35ED"/>
    <w:rsid w:val="00944852"/>
    <w:rsid w:val="00987AFB"/>
    <w:rsid w:val="009B5AD8"/>
    <w:rsid w:val="00AC1E2B"/>
    <w:rsid w:val="00AE20B1"/>
    <w:rsid w:val="00B14F02"/>
    <w:rsid w:val="00B340EE"/>
    <w:rsid w:val="00BC3534"/>
    <w:rsid w:val="00BF2C91"/>
    <w:rsid w:val="00C00D35"/>
    <w:rsid w:val="00C55E4C"/>
    <w:rsid w:val="00C945DC"/>
    <w:rsid w:val="00CA51BD"/>
    <w:rsid w:val="00CD06C8"/>
    <w:rsid w:val="00DF1C5E"/>
    <w:rsid w:val="00DF6E0B"/>
    <w:rsid w:val="00EF2A0A"/>
    <w:rsid w:val="00F1751D"/>
    <w:rsid w:val="00F36BE3"/>
    <w:rsid w:val="00F5247C"/>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1" ma:contentTypeDescription="Crée un document." ma:contentTypeScope="" ma:versionID="a33165f217011b27deb586c3ccf182f2">
  <xsd:schema xmlns:xsd="http://www.w3.org/2001/XMLSchema" xmlns:xs="http://www.w3.org/2001/XMLSchema" xmlns:p="http://schemas.microsoft.com/office/2006/metadata/properties" xmlns:ns3="1b2189cb-ccb6-4287-a69c-1cd833b0d4d4" targetNamespace="http://schemas.microsoft.com/office/2006/metadata/properties" ma:root="true" ma:fieldsID="bb42bb688c264b77030737b004a46907" ns3:_="">
    <xsd:import namespace="1b2189cb-ccb6-4287-a69c-1cd833b0d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EDFDEE-8BC2-417B-87F4-A59F74F03EE0}">
  <ds:schemaRefs>
    <ds:schemaRef ds:uri="http://schemas.microsoft.com/office/2006/documentManagement/types"/>
    <ds:schemaRef ds:uri="http://purl.org/dc/elements/1.1/"/>
    <ds:schemaRef ds:uri="http://purl.org/dc/terms/"/>
    <ds:schemaRef ds:uri="1b2189cb-ccb6-4287-a69c-1cd833b0d4d4"/>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A630867F-20A2-4A90-8386-E30846467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18</cp:revision>
  <dcterms:created xsi:type="dcterms:W3CDTF">2022-01-29T20:28:00Z</dcterms:created>
  <dcterms:modified xsi:type="dcterms:W3CDTF">2022-02-20T03:46:00Z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