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24462DA7" w:rsidR="007F35ED" w:rsidRDefault="009C7583" w:rsidP="00C945DC">
      <w:pPr>
        <w:pStyle w:val="Heading1"/>
      </w:pPr>
      <w:r>
        <w:t>Association</w:t>
      </w:r>
      <w:r w:rsidR="007F35ED">
        <w:t xml:space="preserve"> between subjective effort surveys and objective directly-measured workload</w:t>
      </w:r>
      <w:r w:rsidR="003F4CE5">
        <w:t>s in</w:t>
      </w:r>
      <w:r w:rsidR="00F5247C">
        <w:t xml:space="preserve"> Hispanic</w:t>
      </w:r>
      <w:r w:rsidR="003F4CE5">
        <w:t xml:space="preserve"> migrant farmworkers</w:t>
      </w:r>
    </w:p>
    <w:p w14:paraId="2D2E8BB8" w14:textId="77777777" w:rsidR="00C945DC" w:rsidRDefault="00C945DC"/>
    <w:p w14:paraId="3E3FDCFF" w14:textId="3A9F1940" w:rsidR="0021786B" w:rsidRDefault="00497399" w:rsidP="00497399">
      <w:pPr>
        <w:pStyle w:val="Heading2"/>
        <w:spacing w:line="480" w:lineRule="auto"/>
      </w:pPr>
      <w:r>
        <w:t xml:space="preserve">1. </w:t>
      </w:r>
      <w:r w:rsidR="007F35ED">
        <w:t>Introduction</w:t>
      </w:r>
    </w:p>
    <w:p w14:paraId="39040937" w14:textId="018DBAA8" w:rsidR="0047623D" w:rsidRDefault="0047623D" w:rsidP="0047623D">
      <w:pPr>
        <w:pStyle w:val="Heading3"/>
        <w:spacing w:line="480" w:lineRule="auto"/>
      </w:pPr>
      <w:r>
        <w:t>1.1 Context of Hispanic migrant farmworkers in North America</w:t>
      </w:r>
    </w:p>
    <w:p w14:paraId="6AE24D62" w14:textId="2A887776" w:rsidR="0047623D" w:rsidRDefault="0047623D" w:rsidP="0047623D">
      <w:pPr>
        <w:spacing w:line="480" w:lineRule="auto"/>
      </w:pPr>
      <w:r w:rsidRPr="00D4501F">
        <w:t>In the past several decades, the majority of farmworkers in the United States are Latino migrants</w:t>
      </w:r>
      <w:r>
        <w:t xml:space="preserve"> and </w:t>
      </w:r>
      <w:r w:rsidRPr="00D4501F">
        <w:t>more than half of th</w:t>
      </w:r>
      <w:r>
        <w:t>e population</w:t>
      </w:r>
      <w:r w:rsidRPr="00D4501F">
        <w:t xml:space="preserve"> do not have authorization to work in the United States</w:t>
      </w:r>
      <w:r>
        <w:t xml:space="preserve"> </w:t>
      </w:r>
      <w:r>
        <w:fldChar w:fldCharType="begin" w:fldLock="1"/>
      </w:r>
      <w:r>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fldChar w:fldCharType="separate"/>
      </w:r>
      <w:r w:rsidRPr="00361024">
        <w:rPr>
          <w:noProof/>
        </w:rPr>
        <w:t>(Castillo et al., 2021)</w:t>
      </w:r>
      <w:r>
        <w:fldChar w:fldCharType="end"/>
      </w:r>
      <w:r w:rsidRPr="00D4501F">
        <w:t>.</w:t>
      </w:r>
      <w:r>
        <w:t xml:space="preserve"> Despite being essential to</w:t>
      </w:r>
      <w:bookmarkStart w:id="0" w:name="_GoBack"/>
      <w:bookmarkEnd w:id="0"/>
      <w:r>
        <w:t xml:space="preserve"> the North American economy, migrant farmworkers’ exposure to the risks of occupational hazard have been negatively affected by language and cultural barriers. Compared to US-born farmworkers, undocumented indigenous and Mexican workers had more precarious work, earn less, and more often paid piece rate than hourly </w:t>
      </w:r>
      <w:r>
        <w:fldChar w:fldCharType="begin" w:fldLock="1"/>
      </w:r>
      <w:r>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fldChar w:fldCharType="separate"/>
      </w:r>
      <w:r w:rsidRPr="00CD2A14">
        <w:rPr>
          <w:noProof/>
        </w:rPr>
        <w:t>(Reid &amp; Schenker, 2016)</w:t>
      </w:r>
      <w:r>
        <w:fldChar w:fldCharType="end"/>
      </w:r>
      <w:r>
        <w:t xml:space="preserve">. This situation has led to more exposure to physical and mental stress </w:t>
      </w:r>
      <w:r w:rsidRPr="00CD2A14">
        <w:fldChar w:fldCharType="begin" w:fldLock="1"/>
      </w:r>
      <w:r>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CD2A14">
        <w:fldChar w:fldCharType="separate"/>
      </w:r>
      <w:r w:rsidRPr="00CD2A14">
        <w:rPr>
          <w:noProof/>
        </w:rPr>
        <w:t>(Clouser et al., 2018; Panikkar &amp; Barrett, 2021)</w:t>
      </w:r>
      <w:r w:rsidRPr="00CD2A14">
        <w:fldChar w:fldCharType="end"/>
      </w:r>
      <w:r>
        <w:t xml:space="preserve">, ultimately leading to work-related musculoskeletal injuries </w:t>
      </w:r>
      <w:r>
        <w:fldChar w:fldCharType="begin" w:fldLock="1"/>
      </w:r>
      <w:r>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fldChar w:fldCharType="separate"/>
      </w:r>
      <w:r w:rsidRPr="00CC5DA2">
        <w:rPr>
          <w:noProof/>
        </w:rPr>
        <w:t>(Cooper et al., 2006; McCurdy et al., 2003)</w:t>
      </w:r>
      <w:r>
        <w:fldChar w:fldCharType="end"/>
      </w:r>
      <w:r w:rsidRPr="00CD2A14">
        <w:t xml:space="preserve">. </w:t>
      </w:r>
      <w:r>
        <w:t xml:space="preserve">Particularly, this reported problem was affected by increasing age and being female </w:t>
      </w:r>
      <w:r>
        <w:fldChar w:fldCharType="begin" w:fldLock="1"/>
      </w:r>
      <w:r w:rsidR="004C3899">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fldChar w:fldCharType="separate"/>
      </w:r>
      <w:r w:rsidRPr="004078C6">
        <w:rPr>
          <w:noProof/>
        </w:rPr>
        <w:t>(Shah et al., 2009; McCurdy et al., 2003)</w:t>
      </w:r>
      <w:r>
        <w:fldChar w:fldCharType="end"/>
      </w:r>
      <w:r>
        <w:t>. Notwithstanding, the research instrument for ergonomic assessment that is adapted to this population has been lacking.</w:t>
      </w:r>
    </w:p>
    <w:p w14:paraId="73E2324D" w14:textId="3717DE46" w:rsidR="003A4B9E" w:rsidRDefault="003A4B9E" w:rsidP="003A4B9E">
      <w:pPr>
        <w:pStyle w:val="Heading3"/>
        <w:spacing w:line="480" w:lineRule="auto"/>
      </w:pPr>
      <w:r>
        <w:t>1.</w:t>
      </w:r>
      <w:r w:rsidR="0047623D">
        <w:t>2</w:t>
      </w:r>
      <w:r>
        <w:t xml:space="preserve"> Objective and subjective measures in ergonomic assessment</w:t>
      </w:r>
    </w:p>
    <w:p w14:paraId="0EF46021" w14:textId="095A9A68" w:rsidR="00BD04E1" w:rsidRDefault="003E743B" w:rsidP="00497399">
      <w:pPr>
        <w:spacing w:line="480" w:lineRule="auto"/>
      </w:pPr>
      <w:r>
        <w:t xml:space="preserve">Field ergonomic assessment can be done in both objective and subjective manners; in other words, the exposure to occupational ergonomic risk could be </w:t>
      </w:r>
      <w:r w:rsidR="004F1E78">
        <w:t>evaluated</w:t>
      </w:r>
      <w:r>
        <w:t xml:space="preserve"> through direct measurement using sensors as well as through participant’s subjective ratings.</w:t>
      </w:r>
    </w:p>
    <w:p w14:paraId="6EBA0E01" w14:textId="2DCD5F67" w:rsidR="000C14C8" w:rsidRDefault="003E743B" w:rsidP="003E743B">
      <w:pPr>
        <w:spacing w:line="480" w:lineRule="auto"/>
      </w:pPr>
      <w:r>
        <w:lastRenderedPageBreak/>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Due to difficulties in measuring oxygen consumption</w:t>
      </w:r>
      <w:r w:rsidR="00D356FB">
        <w:t xml:space="preserve"> outside laborator</w:t>
      </w:r>
      <w:r w:rsidR="000C14C8">
        <w:t>ies</w:t>
      </w:r>
      <w:r w:rsidR="005A4496">
        <w:t>, numerous studies estimated the MET using other measures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the occupational health area,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087C8E">
        <w:rPr>
          <w:noProof/>
        </w:rPr>
        <w:t>(Das et al., 2013)</w:t>
      </w:r>
      <w:r w:rsidR="00F87EFA">
        <w:fldChar w:fldCharType="end"/>
      </w:r>
      <w:r w:rsidR="00F87EFA">
        <w:t xml:space="preserve">, rice </w:t>
      </w:r>
      <w:r w:rsidR="00F87EFA">
        <w:fldChar w:fldCharType="begin" w:fldLock="1"/>
      </w:r>
      <w:r w:rsidR="00F87EFA">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087C8E">
        <w:rPr>
          <w:noProof/>
        </w:rPr>
        <w:t>(Sahu et al., 2013)</w:t>
      </w:r>
      <w:r w:rsidR="00F87EFA">
        <w:fldChar w:fldCharType="end"/>
      </w:r>
      <w:r w:rsidR="00F87EFA">
        <w:t xml:space="preserve">, wheat </w:t>
      </w:r>
      <w:r w:rsidR="00F87EFA">
        <w:fldChar w:fldCharType="begin" w:fldLock="1"/>
      </w:r>
      <w:r w:rsidR="000C1B26">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F87EFA">
        <w:rPr>
          <w:noProof/>
        </w:rPr>
        <w:t>(Alka et al., 2014)</w:t>
      </w:r>
      <w:r w:rsidR="00F87EFA">
        <w:fldChar w:fldCharType="end"/>
      </w:r>
      <w:r w:rsidR="00F87EFA">
        <w:t xml:space="preserve"> and apple</w:t>
      </w:r>
      <w:r w:rsidR="009412F3">
        <w:t>s</w:t>
      </w:r>
      <w:r w:rsidR="00F87EFA">
        <w:t xml:space="preserve"> </w:t>
      </w:r>
      <w:r w:rsidR="00F87EFA">
        <w:fldChar w:fldCharType="begin" w:fldLock="1"/>
      </w:r>
      <w:r w:rsidR="00F87EFA">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of this technique is that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Thus,</w:t>
      </w:r>
      <w:r w:rsidR="00D356FB">
        <w:t xml:space="preserve"> </w:t>
      </w:r>
      <w:r w:rsidR="000C14C8">
        <w:t>p</w:t>
      </w:r>
      <w:r w:rsidR="00D356FB">
        <w:t>ercent heart rate reserve</w:t>
      </w:r>
      <w:r w:rsidR="000C14C8">
        <w:t xml:space="preserve"> (% HRR), which adjusts for the maximum heart rate and resting heart rate</w:t>
      </w:r>
      <w:r w:rsidR="009412F3">
        <w:t xml:space="preserve"> and which has</w:t>
      </w:r>
      <w:r w:rsidR="00D356FB">
        <w:t xml:space="preserve"> a </w:t>
      </w:r>
      <w:r w:rsidR="000C14C8">
        <w:t xml:space="preserve">proven </w:t>
      </w:r>
      <w:r w:rsidR="00D356FB">
        <w:t xml:space="preserve">relationship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9412F3">
        <w:t>could instead be used as a predictor of MET.</w:t>
      </w:r>
      <w:r w:rsidR="000C14C8">
        <w:t xml:space="preserve"> </w:t>
      </w:r>
      <w:r w:rsidR="000C1B26">
        <w:t xml:space="preserve">In actual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2D46E43F" w:rsidR="003E743B" w:rsidRDefault="005F748A" w:rsidP="003E743B">
      <w:pPr>
        <w:spacing w:line="480" w:lineRule="auto"/>
      </w:pPr>
      <w:r>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F87EFA">
        <w:t>was proven to be</w:t>
      </w:r>
      <w:r w:rsidR="00E34E59">
        <w:t xml:space="preserve"> an indicator for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 comparing new and traditional tools.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361024">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40026F">
        <w:t xml:space="preserve"> </w:t>
      </w:r>
      <w:r w:rsidR="00CC6DCC">
        <w:t xml:space="preserve">before the technology was introduced to the market. </w:t>
      </w:r>
      <w:r w:rsidR="007B102D">
        <w:lastRenderedPageBreak/>
        <w:t>Nowadays, it is feasible to apply EMG techniques in field settings</w:t>
      </w:r>
      <w:r w:rsidR="00CC6DCC">
        <w:t>, which enable the follow up of the effectiveness after the implementation of technology as well as for general ergonomic assessment</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(Bangaru et al., 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actual</w:t>
      </w:r>
      <w:r w:rsidR="007B102D">
        <w:t xml:space="preserve"> agricultur</w:t>
      </w:r>
      <w:r w:rsidR="009D6681">
        <w:t>al fields</w:t>
      </w:r>
      <w:r w:rsidR="007B102D">
        <w:t xml:space="preserve">, EMG was applied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and to </w:t>
      </w:r>
      <w:r w:rsidR="007B102D">
        <w:t>evaluate the eff</w:t>
      </w:r>
      <w:r w:rsidR="009C5466">
        <w:t>icacy</w:t>
      </w:r>
      <w:r w:rsidR="007B102D">
        <w:t xml:space="preserve"> of </w:t>
      </w:r>
      <w:r w:rsidR="007F46A9">
        <w:t xml:space="preserve">a </w:t>
      </w:r>
      <w:r w:rsidR="007B102D">
        <w:t xml:space="preserve">rotary milking </w:t>
      </w:r>
      <w:proofErr w:type="spellStart"/>
      <w:r w:rsidR="007B102D">
        <w:t>parlour</w:t>
      </w:r>
      <w:proofErr w:type="spellEnd"/>
      <w:r w:rsidR="007B102D">
        <w:t xml:space="preserve"> as compared to herringbone and parallel ones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mobile orchard platform against ladder uses</w:t>
      </w:r>
      <w:r w:rsidR="007F46A9">
        <w:t xml:space="preserve"> 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9D6681">
        <w:t xml:space="preserve"> and</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9C5466">
        <w:t xml:space="preserve">in some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4EA818F7" w14:textId="7B85DAC9" w:rsidR="00AE7C74" w:rsidRDefault="001C161E" w:rsidP="005460D5">
      <w:pPr>
        <w:spacing w:line="480" w:lineRule="auto"/>
      </w:pPr>
      <w:r>
        <w:t xml:space="preserve">With regards to the subjective measures of effort, fatigue and discomfort, several different scales have been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rsidR="006C0BA8">
        <w:t>anchored at the number from 0 to 10, ha</w:t>
      </w:r>
      <w:r w:rsidR="00987A1E">
        <w:t>s</w:t>
      </w:r>
      <w:r w:rsidR="006C0BA8">
        <w:t xml:space="preserve"> been</w:t>
      </w:r>
      <w:r w:rsidR="00C16F0C">
        <w:t xml:space="preserve"> used as a </w:t>
      </w:r>
      <w:r w:rsidR="00E852E1">
        <w:t>local</w:t>
      </w:r>
      <w:r w:rsidR="00C16F0C">
        <w:t xml:space="preserve"> pain scale.</w:t>
      </w:r>
      <w:r w:rsidR="006C0BA8">
        <w:t xml:space="preserve"> </w:t>
      </w:r>
      <w:r w:rsidR="007F61E2">
        <w:t xml:space="preserve">The Borg CR10 has applications in ergonomic;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272526">
        <w:t xml:space="preserve">Borg RPE and CR10 scales </w:t>
      </w:r>
      <w:r w:rsidR="00CF4896">
        <w:t>have been</w:t>
      </w:r>
      <w:r w:rsidR="00272526">
        <w:t xml:space="preserve"> translated </w:t>
      </w:r>
      <w:r w:rsidR="00CF4896">
        <w:t>into</w:t>
      </w:r>
      <w:r w:rsidR="00272526">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 xml:space="preserve">another commonly-used and validated scale called </w:t>
      </w:r>
      <w:r w:rsidR="003E743B">
        <w:t xml:space="preserve">Omni RPE </w:t>
      </w:r>
      <w:r w:rsidR="00F07780">
        <w:t>includes</w:t>
      </w:r>
      <w:r w:rsidR="003E743B">
        <w:t xml:space="preserve"> pictorial descriptors in a specific</w:t>
      </w:r>
      <w:r w:rsidR="00AE7C74">
        <w:t xml:space="preserve"> context</w:t>
      </w:r>
      <w:r w:rsidR="00F07780">
        <w:t>.</w:t>
      </w:r>
      <w:r w:rsidR="005460D5">
        <w:t xml:space="preserve"> </w:t>
      </w:r>
      <w:r w:rsidR="005460D5" w:rsidRPr="005460D5">
        <w:t>Omni RP</w:t>
      </w:r>
      <w:r w:rsidR="005460D5">
        <w:t>E is, th</w:t>
      </w:r>
      <w:r w:rsidR="00AE7C74">
        <w:t>us</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6F96BC6A" w:rsidR="009C7583" w:rsidRDefault="00DE199A" w:rsidP="00497399">
      <w:pPr>
        <w:spacing w:line="480" w:lineRule="auto"/>
      </w:pPr>
      <w:r w:rsidRPr="00272526">
        <w:lastRenderedPageBreak/>
        <w:t xml:space="preserve">Relationship between subjective and objective measures has been </w:t>
      </w:r>
      <w:r w:rsidR="00374E7E">
        <w:t>investigated in laboratory studies</w:t>
      </w:r>
      <w:r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also</w:t>
      </w:r>
      <w:r w:rsidR="009E5669">
        <w:t xml:space="preserve"> f</w:t>
      </w:r>
      <w:r w:rsidR="009C7583">
        <w:t xml:space="preserve">ound the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3D7EE0C9" w:rsidR="00374E7E" w:rsidRDefault="007F61E2" w:rsidP="00497399">
      <w:pPr>
        <w:spacing w:line="480" w:lineRule="auto"/>
      </w:pPr>
      <w:r>
        <w:t>Despite plenty of laboratory validation of subjective scales, s</w:t>
      </w:r>
      <w:r w:rsidR="001C161E">
        <w:t>tudies on association between objective and subjective 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apply to the ergonomic assessment in the field.</w:t>
      </w:r>
    </w:p>
    <w:p w14:paraId="47C432AF" w14:textId="175740B8" w:rsidR="003A4B9E" w:rsidRDefault="003A4B9E" w:rsidP="003A4B9E">
      <w:pPr>
        <w:pStyle w:val="Heading3"/>
        <w:spacing w:line="480" w:lineRule="auto"/>
      </w:pPr>
      <w:r>
        <w:t>1.3 Objectives of this study</w:t>
      </w:r>
    </w:p>
    <w:p w14:paraId="38E75E17" w14:textId="4E746CE0" w:rsidR="00C945DC" w:rsidRDefault="0084013A" w:rsidP="00497399">
      <w:pPr>
        <w:spacing w:line="480" w:lineRule="auto"/>
      </w:pPr>
      <w:r>
        <w:t xml:space="preserve">The </w:t>
      </w:r>
      <w:r w:rsidR="000D6A80">
        <w:t xml:space="preserve">primary </w:t>
      </w:r>
      <w:r>
        <w:t xml:space="preserve">objective of this study was to find </w:t>
      </w:r>
      <w:r w:rsidR="000D6A80">
        <w:t xml:space="preserve">the </w:t>
      </w:r>
      <w:r w:rsidR="003A4B9E">
        <w:t>relationships</w:t>
      </w:r>
      <w:r>
        <w:t xml:space="preserve"> between the objective and subjective evaluation of the exertion at the overall level as well as at local body parts</w:t>
      </w:r>
      <w:r w:rsidR="00E60CBA">
        <w:t xml:space="preserve"> in</w:t>
      </w:r>
      <w:r w:rsidR="007148EB">
        <w:t xml:space="preserve"> the context of</w:t>
      </w:r>
      <w:r w:rsidR="00E60CBA">
        <w:t xml:space="preserve"> the Hispanic migrant </w:t>
      </w:r>
      <w:r w:rsidR="00132E4D">
        <w:t>farmworkers in the United States.</w:t>
      </w:r>
      <w:r w:rsidR="000D6A80">
        <w:t xml:space="preserve"> Specifically, this study </w:t>
      </w:r>
      <w:r w:rsidR="003A4B9E">
        <w:t xml:space="preserve">aimed to </w:t>
      </w:r>
      <w:r w:rsidR="000D6A80">
        <w:t xml:space="preserve">determine </w:t>
      </w:r>
      <w:r w:rsidR="003A4B9E">
        <w:t xml:space="preserve">1.) </w:t>
      </w:r>
      <w:r w:rsidR="000D6A80">
        <w:t xml:space="preserve">the correlation between </w:t>
      </w:r>
      <w:r w:rsidR="003A4B9E">
        <w:t>metabolic, i.e. cardiovascular, load and the RPE scales, and 2.) the correlation between muscle fatigue measured through EMG and the local CR10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15D5C078"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in the United States were on average 3.4 years (range 1-14 years). The participants were equally divided into three groups to </w:t>
      </w:r>
      <w:r w:rsidR="00DF3254">
        <w:lastRenderedPageBreak/>
        <w:t>perform different harvesting methods: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9:30-10:00.</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565DDBB1" w:rsidR="007C2133" w:rsidRPr="007C2133" w:rsidRDefault="0021786B" w:rsidP="00497399">
      <w:pPr>
        <w:spacing w:line="480" w:lineRule="auto"/>
      </w:pPr>
      <w:r>
        <w:t>Borg RPE and Omni RPE were used as subjective measures of overall effort while Borg CR10 was used as a subjective measure of local discomfort. The</w:t>
      </w:r>
      <w:r w:rsidRPr="00B14F02">
        <w:t xml:space="preserve"> Bo</w:t>
      </w:r>
      <w:r>
        <w:t xml:space="preserve">rg RPE and Borg CR10 translated into Spanish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13F0FFA" w:rsidR="003E68BB" w:rsidRDefault="003E68BB" w:rsidP="00497399">
      <w:pPr>
        <w:pStyle w:val="ListParagraph"/>
        <w:numPr>
          <w:ilvl w:val="0"/>
          <w:numId w:val="1"/>
        </w:numPr>
        <w:spacing w:line="480" w:lineRule="auto"/>
      </w:pPr>
      <w:r>
        <w:lastRenderedPageBreak/>
        <w:t>T0: right before start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168F7CB3" w:rsidR="003E68BB" w:rsidRPr="002B53E5" w:rsidRDefault="003E68BB" w:rsidP="00497399">
      <w:pPr>
        <w:pStyle w:val="ListParagraph"/>
        <w:numPr>
          <w:ilvl w:val="0"/>
          <w:numId w:val="1"/>
        </w:numPr>
        <w:spacing w:line="480" w:lineRule="auto"/>
      </w:pPr>
      <w:r>
        <w:t>T3: at the end of 8-hour work s</w:t>
      </w:r>
      <w:r w:rsidR="00A8074F">
        <w:t>h</w:t>
      </w:r>
      <w:r>
        <w:t>ift</w:t>
      </w:r>
    </w:p>
    <w:p w14:paraId="7E61619C" w14:textId="64934DF6" w:rsidR="007F35ED" w:rsidRDefault="00497399" w:rsidP="00497399">
      <w:pPr>
        <w:pStyle w:val="Heading3"/>
        <w:spacing w:line="480" w:lineRule="auto"/>
      </w:pPr>
      <w:r>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D69B799" w:rsidR="003E68BB" w:rsidRDefault="003E68BB" w:rsidP="00497399">
      <w:pPr>
        <w:spacing w:line="480" w:lineRule="auto"/>
      </w:pPr>
      <w:r>
        <w:rPr>
          <w:color w:val="000000"/>
        </w:rPr>
        <w:t>Raw heart rate data were filtered using a 5-point moving median to eliminate measurement artifacts</w:t>
      </w:r>
      <w:r>
        <w:t xml:space="preserve">. The mean heart rate for each period of interest, i.e. corresponding to the effort survey, were extracted. </w:t>
      </w:r>
    </w:p>
    <w:p w14:paraId="29F1D10C" w14:textId="2C3C889D" w:rsidR="00DF1C5E" w:rsidRDefault="00DF1C5E" w:rsidP="00497399">
      <w:pPr>
        <w:spacing w:line="480" w:lineRule="auto"/>
      </w:pPr>
      <w:r>
        <w:t>The metabolic load was calculated in terms of the percent of heart rate reserve 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0D6DF311" w:rsidR="002D6306" w:rsidRDefault="002D6306" w:rsidP="00497399">
      <w:pPr>
        <w:spacing w:line="480" w:lineRule="auto"/>
      </w:pPr>
      <w:r>
        <w:t>%HRR was square-root transformed to meet the assumption of normality</w:t>
      </w:r>
      <w:r w:rsidR="00DF1C5E">
        <w:t xml:space="preserve"> and</w:t>
      </w:r>
      <w:r>
        <w:t xml:space="preserve"> verified by Shapiro</w:t>
      </w:r>
      <w:r w:rsidR="003A3CCB">
        <w:t>-Wilk</w:t>
      </w:r>
      <w:r>
        <w:t xml:space="preserve"> test</w:t>
      </w:r>
      <w:r w:rsidR="00DF1C5E">
        <w:t>. Figure X shows the histograms and Q-Q plots of the data before and after the transformation.</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3469F5B" w:rsidR="00C945DC" w:rsidRDefault="002D6306" w:rsidP="00497399">
      <w:pPr>
        <w:spacing w:line="480" w:lineRule="auto"/>
      </w:pPr>
      <w:r>
        <w:t xml:space="preserve">Raw EMG signal were filtered with </w:t>
      </w:r>
      <w:r w:rsidR="004B7E31">
        <w:t>a</w:t>
      </w:r>
      <w:r>
        <w:t xml:space="preserve"> 20-450 Hz bandpass filter. </w:t>
      </w:r>
      <w:r w:rsidR="004B7E31">
        <w:t>By c</w:t>
      </w:r>
      <w:r>
        <w:t>onverting a time domain signal into 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to the question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lastRenderedPageBreak/>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41960EAB" w:rsidR="002D6306" w:rsidRDefault="00F970D6" w:rsidP="00497399">
      <w:pPr>
        <w:spacing w:line="480" w:lineRule="auto"/>
      </w:pPr>
      <w:r>
        <w:t>For the o</w:t>
      </w:r>
      <w:r w:rsidR="002D6306">
        <w:t>verall effort</w:t>
      </w:r>
      <w:r>
        <w:t xml:space="preserve"> or full body exertion, we calculated </w:t>
      </w:r>
      <w:r w:rsidR="005D3B50">
        <w:t>a</w:t>
      </w:r>
      <w:r w:rsidR="002D6306">
        <w:t xml:space="preserve"> correlation between %HRR and Borg RPE, </w:t>
      </w:r>
      <w:r>
        <w:t xml:space="preserve">and </w:t>
      </w:r>
      <w:r w:rsidR="005D3B50">
        <w:t>a</w:t>
      </w:r>
      <w:r>
        <w:t xml:space="preserve"> </w:t>
      </w:r>
      <w:r w:rsidR="002D6306">
        <w:t>correlation between %HRR and Omni RPE</w:t>
      </w:r>
      <w:r w:rsidR="00D67B70">
        <w:t xml:space="preserve">. </w:t>
      </w:r>
      <w:r>
        <w:t>For the l</w:t>
      </w:r>
      <w:r w:rsidR="002D6306">
        <w:t>ocal discomfort</w:t>
      </w:r>
      <w:r w:rsidR="005D3B50">
        <w:t xml:space="preserve"> or muscle fatigue</w:t>
      </w:r>
      <w:r>
        <w:t xml:space="preserve">, we calculated </w:t>
      </w:r>
      <w:r w:rsidR="005D3B50">
        <w:t xml:space="preserve">a </w:t>
      </w:r>
      <w:r w:rsidR="002D6306">
        <w:t xml:space="preserve">correlation between </w:t>
      </w:r>
      <w:r w:rsidR="00D67B70">
        <w:t>muscle fatigue (</w:t>
      </w:r>
      <w:r w:rsidR="002D6306">
        <w:t>EMG MPF</w:t>
      </w:r>
      <w:r w:rsidR="00D67B70">
        <w:t>)</w:t>
      </w:r>
      <w:r w:rsidR="002D6306">
        <w:t xml:space="preserve"> and Borg CR10</w:t>
      </w:r>
      <w:r w:rsidR="005D3B50">
        <w:t>.</w:t>
      </w:r>
    </w:p>
    <w:p w14:paraId="2D595C03" w14:textId="09430280" w:rsidR="00F970D6" w:rsidRDefault="00F970D6" w:rsidP="00497399">
      <w:pPr>
        <w:spacing w:line="480" w:lineRule="auto"/>
      </w:pPr>
      <w:r>
        <w:t xml:space="preserve">Initially, Pearson’s correlations </w:t>
      </w:r>
      <w:r w:rsidR="00D67B70">
        <w:t>between the subjective and objective measures were calculated. Then we conducted linear regressions to adjust for known confounders; that is, the harvesting method and the time of measurement for the overall exertion, and the harvesting method and the side of trapezius (dominant and non-dominant) for the local discomfort.</w:t>
      </w:r>
    </w:p>
    <w:p w14:paraId="3BA74A67" w14:textId="7CDE3BCB" w:rsidR="00C945DC" w:rsidRDefault="0084013A" w:rsidP="00497399">
      <w:pPr>
        <w:spacing w:line="480" w:lineRule="auto"/>
      </w:pPr>
      <w:r>
        <w:t>As</w:t>
      </w:r>
      <w:r w:rsidR="003F1E3F">
        <w:t xml:space="preserve"> the dataset </w:t>
      </w:r>
      <w:r>
        <w:t>w</w:t>
      </w:r>
      <w:r w:rsidR="005D3B50">
        <w:t>as</w:t>
      </w:r>
      <w:r>
        <w:t xml:space="preserve"> fairly small, that is, </w:t>
      </w:r>
      <w:r w:rsidR="003F1E3F">
        <w:t>24 participants for overall effort and 20 participants for local discomfort due to EMG data lost</w:t>
      </w:r>
      <w:r w:rsidR="005937E8">
        <w:t xml:space="preserve">, we set the </w:t>
      </w:r>
      <w:r>
        <w:t xml:space="preserve">level of statistical </w:t>
      </w:r>
      <w:r w:rsidR="005937E8">
        <w:t>significan</w:t>
      </w:r>
      <w:r>
        <w:t>ce</w:t>
      </w:r>
      <w:r w:rsidR="005937E8">
        <w:t xml:space="preserve"> at 0.90.</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lastRenderedPageBreak/>
        <w:t xml:space="preserve">3. </w:t>
      </w:r>
      <w:r w:rsidR="007F35ED">
        <w:t>Results</w:t>
      </w:r>
    </w:p>
    <w:p w14:paraId="5BD3E7FF" w14:textId="249EB269" w:rsidR="00F5247C" w:rsidRDefault="00497399" w:rsidP="00497399">
      <w:pPr>
        <w:pStyle w:val="Heading3"/>
        <w:spacing w:line="480" w:lineRule="auto"/>
      </w:pPr>
      <w:r>
        <w:t xml:space="preserve">3.1 </w:t>
      </w:r>
      <w:r w:rsidR="00F5247C">
        <w:t>Overall effort: %HRR a</w:t>
      </w:r>
      <w:r w:rsidR="00153E36">
        <w:t>s</w:t>
      </w:r>
      <w:r w:rsidR="00F5247C">
        <w:t xml:space="preserve"> metabolic load, Borg RPE and Omni RPE</w:t>
      </w:r>
    </w:p>
    <w:p w14:paraId="3A148121" w14:textId="30CA3B74" w:rsidR="007C2133" w:rsidRDefault="007C2133" w:rsidP="00497399">
      <w:pPr>
        <w:spacing w:line="480" w:lineRule="auto"/>
      </w:pPr>
      <w:r>
        <w:t xml:space="preserve">Based on the Shapiro-Wilk test, initial %HRR was not normally distributed (p = 0.013). After the %HRR was square-root transformed, the data became normally distributed (p = 0.48). Figure </w:t>
      </w:r>
      <w:r w:rsidR="00F00B20">
        <w:t>2</w:t>
      </w:r>
      <w:r>
        <w:t xml:space="preserve"> shows the histograms and the QQ-plots of data before and after the transformation.</w:t>
      </w:r>
    </w:p>
    <w:p w14:paraId="1E3AB818" w14:textId="1444257A" w:rsidR="00944852" w:rsidRDefault="00F36BE3" w:rsidP="00497399">
      <w:pPr>
        <w:spacing w:line="480" w:lineRule="auto"/>
      </w:pPr>
      <w:r>
        <w:t xml:space="preserve">The metabolic load, i.e. </w:t>
      </w:r>
      <w:r w:rsidR="00944852">
        <w:t>%HRR</w:t>
      </w:r>
      <w:r>
        <w:t xml:space="preserve">, among each group of workers at each time of measurement is shown in Figure </w:t>
      </w:r>
      <w:r w:rsidR="00F00B20">
        <w:t>3</w:t>
      </w:r>
      <w:r>
        <w:t xml:space="preserve">. In general, %HRR was between 0.15 and 0.75 after the participants had worked for 90 minutes (T1). Then the %HRR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7C2133">
        <w:t>5</w:t>
      </w:r>
      <w:r w:rsidR="00AE20B1">
        <w:t>, the %HRR in the Ladder workers were higher than the %HRR in the Ground and Platform groups at T1 and T3.</w:t>
      </w:r>
    </w:p>
    <w:p w14:paraId="166489A3" w14:textId="65943C58" w:rsidR="00432FA8" w:rsidRPr="00555106" w:rsidRDefault="00555106" w:rsidP="00497399">
      <w:pPr>
        <w:spacing w:line="480" w:lineRule="auto"/>
      </w:pPr>
      <w:r>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r w:rsidR="001F230A">
        <w:t xml:space="preserve">increases in </w:t>
      </w:r>
      <w:r>
        <w:t>Borg RPE over time were not significantly different across the harvesting methods.</w:t>
      </w:r>
    </w:p>
    <w:p w14:paraId="7722A7D5" w14:textId="49D69324" w:rsidR="00153E36" w:rsidRPr="00555106" w:rsidRDefault="00555106" w:rsidP="00497399">
      <w:pPr>
        <w:spacing w:line="480" w:lineRule="auto"/>
      </w:pPr>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the </w:t>
      </w:r>
      <w:r w:rsidR="001F230A">
        <w:t xml:space="preserve">increases in </w:t>
      </w:r>
      <w:r>
        <w:t xml:space="preserve">Omni RPE </w:t>
      </w:r>
      <w:r w:rsidR="001F230A">
        <w:t>from the beginning of the shift were significantly smaller in the Ground workers than in the Ladder and Platform groups (p-value = 0.05).</w:t>
      </w:r>
    </w:p>
    <w:p w14:paraId="0632C20B" w14:textId="5AA0A8A5" w:rsidR="00F5247C" w:rsidRDefault="00497399" w:rsidP="00497399">
      <w:pPr>
        <w:pStyle w:val="Heading3"/>
        <w:spacing w:line="480" w:lineRule="auto"/>
      </w:pPr>
      <w:r>
        <w:t xml:space="preserve">3.2 </w:t>
      </w:r>
      <w:r w:rsidR="00F5247C">
        <w:t>Association between objective metabolic load and subjective overall effort</w:t>
      </w:r>
    </w:p>
    <w:p w14:paraId="6D8B537A" w14:textId="29F1A154" w:rsidR="00BC3534" w:rsidRDefault="00BC3534" w:rsidP="00497399">
      <w:pPr>
        <w:spacing w:line="480" w:lineRule="auto"/>
      </w:pPr>
      <w:r>
        <w:t>Without adjusting for neither work period (T1, T2 and T3) nor harvesting method (Ground, Ladder and Platform), t</w:t>
      </w:r>
      <w:r w:rsidR="000B0FB2">
        <w:t xml:space="preserve">he correlation coefficient between the %HRR and the Borg RPE </w:t>
      </w:r>
      <w:r>
        <w:t xml:space="preserve">difference </w:t>
      </w:r>
      <w:r w:rsidR="000B0FB2">
        <w:t xml:space="preserve">was 0.152 with the </w:t>
      </w:r>
      <w:r w:rsidR="005406C7">
        <w:t>statistically insignificant</w:t>
      </w:r>
      <w:r>
        <w:t xml:space="preserve"> </w:t>
      </w:r>
      <w:r w:rsidR="000B0FB2">
        <w:t>p-value of 0.</w:t>
      </w:r>
      <w:r>
        <w:t xml:space="preserve">20. Similarly, the correlation coefficient between the %HRR and the Omni RPE difference was 0.169 </w:t>
      </w:r>
      <w:r w:rsidR="005406C7">
        <w:t xml:space="preserve">also with the statistically insignificant </w:t>
      </w:r>
      <w:r>
        <w:t>p-value of 0.16.</w:t>
      </w:r>
    </w:p>
    <w:p w14:paraId="76A48D58" w14:textId="6EE18213" w:rsidR="005406C7" w:rsidRDefault="00BC3534" w:rsidP="00497399">
      <w:pPr>
        <w:spacing w:line="480" w:lineRule="auto"/>
      </w:pPr>
      <w:r>
        <w:lastRenderedPageBreak/>
        <w:t>However, when adjusted for the work period and the harvesting method</w:t>
      </w:r>
      <w:r w:rsidR="005406C7">
        <w:t>, which had significant effect on the %HRR</w:t>
      </w:r>
      <w:r>
        <w:t xml:space="preserve">, the correlation coefficient between the %HRR and the Borg RPE difference </w:t>
      </w:r>
      <w:r w:rsidR="005406C7">
        <w:t>became</w:t>
      </w:r>
      <w:r>
        <w:t xml:space="preserve"> -0.0063 with the p-value of </w:t>
      </w:r>
      <w:r w:rsidR="005406C7">
        <w:t>0.048. In the same way, the correlation coefficient between the %HRR and the Omni RPE difference became -0.0127 with the p-value of 0.027.</w:t>
      </w:r>
    </w:p>
    <w:p w14:paraId="45E541F3" w14:textId="3AADD9CA" w:rsidR="005406C7"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significant correlation</w:t>
      </w:r>
      <w:r>
        <w:t>s</w:t>
      </w:r>
      <w:r w:rsidR="005406C7">
        <w:t xml:space="preserve"> between the %HRR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%HRR and the Omni RPE difference was found only in the Ladder group (p-value = 0.078).</w:t>
      </w:r>
    </w:p>
    <w:p w14:paraId="240E0450" w14:textId="2456EFA3" w:rsidR="007D6F9E" w:rsidRDefault="007D6F9E" w:rsidP="00497399">
      <w:pPr>
        <w:spacing w:line="480" w:lineRule="auto"/>
      </w:pPr>
      <w:r>
        <w:t xml:space="preserve">On the other hand, when stratified by the work period, i.e. the time point of measurement, </w:t>
      </w:r>
      <w:r w:rsidR="005937E8">
        <w:t xml:space="preserve">Figures </w:t>
      </w:r>
      <w:r w:rsidR="00F00B20">
        <w:t>6</w:t>
      </w:r>
      <w:r w:rsidR="005937E8">
        <w:t xml:space="preserve"> and </w:t>
      </w:r>
      <w:r w:rsidR="00F00B20">
        <w:t>7</w:t>
      </w:r>
      <w:r w:rsidR="005937E8">
        <w:t xml:space="preserve"> showed the negative correlations between the objective and subjective measures in all time points of measurement. Nevertheless, the </w:t>
      </w:r>
      <w:r>
        <w:t xml:space="preserve">correlations between the %HRR and the Borg RPE difference were found </w:t>
      </w:r>
      <w:r w:rsidR="005937E8">
        <w:t xml:space="preserve">statistically significant only </w:t>
      </w:r>
      <w:r>
        <w:t xml:space="preserve">at T1 and T3 (both p-values were 0.087). Meanwhile, none of the </w:t>
      </w:r>
      <w:r w:rsidR="00566F4E">
        <w:t>correlation coefficients between the %HRR and the Omni RPE were statistically significant.</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1E46E930"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used for analysis to find correlation between EMG MDF and Borg CR10. Figure </w:t>
      </w:r>
      <w:r w:rsidR="00F00B20">
        <w:t>9</w:t>
      </w:r>
      <w:r>
        <w:t xml:space="preserve"> shows the distribution </w:t>
      </w:r>
      <w:r>
        <w:lastRenderedPageBreak/>
        <w:t xml:space="preserve">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data could be normally distributed (p-value = 0.059).</w:t>
      </w:r>
    </w:p>
    <w:p w14:paraId="66FECE11" w14:textId="030E8A44"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to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26A361BD" w:rsidR="00F5247C" w:rsidRDefault="00497399" w:rsidP="00497399">
      <w:pPr>
        <w:pStyle w:val="Heading3"/>
        <w:spacing w:line="480" w:lineRule="auto"/>
      </w:pPr>
      <w:r>
        <w:t xml:space="preserve">3.4 </w:t>
      </w:r>
      <w:r w:rsidR="00F5247C">
        <w:t>Association between objective muscle fatigue and subjective local discomfort</w:t>
      </w:r>
    </w:p>
    <w:p w14:paraId="1AF295B3" w14:textId="2AC74074"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p>
    <w:p w14:paraId="4030052B" w14:textId="3DEF0E98" w:rsidR="007F35ED" w:rsidRDefault="00497399" w:rsidP="00497399">
      <w:pPr>
        <w:pStyle w:val="Heading2"/>
        <w:spacing w:line="480" w:lineRule="auto"/>
      </w:pPr>
      <w:r w:rsidRPr="00BC2E53">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77777777" w:rsidR="00CD687A" w:rsidRDefault="003F1E3F" w:rsidP="00497399">
      <w:pPr>
        <w:spacing w:line="480" w:lineRule="auto"/>
      </w:pPr>
      <w:r>
        <w:t xml:space="preserve">There were negative </w:t>
      </w:r>
      <w:r w:rsidR="00806938">
        <w:t xml:space="preserve">significant </w:t>
      </w:r>
      <w:r>
        <w:t>correlations between the objective 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 xml:space="preserve">predict the outcomes of %HRR. </w:t>
      </w:r>
    </w:p>
    <w:p w14:paraId="4AC148AC" w14:textId="62AF67CE" w:rsidR="00636887" w:rsidRDefault="00806938" w:rsidP="00497399">
      <w:pPr>
        <w:spacing w:line="480" w:lineRule="auto"/>
      </w:pPr>
      <w:r>
        <w:lastRenderedPageBreak/>
        <w:t>When stratifying by harvesting method, the significance level was still strong only in the Ladder group, but less strong in the Ground and Platform groups, respectively. This might have been due to the fact that the Ladder group had a very physically demanding load</w:t>
      </w:r>
      <w:r w:rsidR="00BC2E53">
        <w:t xml:space="preserve">, followed by the Ground and the Platform group. </w:t>
      </w:r>
      <w:r w:rsidR="00CD687A">
        <w:t>Accordingly, on one hand, t</w:t>
      </w:r>
      <w:r w:rsidR="00BC2E53">
        <w:t xml:space="preserve">he relationship between Borg RPE and %HRR and </w:t>
      </w:r>
      <w:r w:rsidR="00CD687A">
        <w:t xml:space="preserve">the </w:t>
      </w:r>
      <w:r w:rsidR="00BC2E53">
        <w:t xml:space="preserve">one between Omni RPE and %HRR </w:t>
      </w:r>
      <w:r w:rsidR="00CD687A">
        <w:t xml:space="preserve">were established when the physical workload was sufficiently demanding. On the other hand, during relatively lighter work, the subjective ratings like Borg RPE and Omni RPE may not be useful for ergonomic assessment. </w:t>
      </w:r>
    </w:p>
    <w:p w14:paraId="14B173A4" w14:textId="5606B92C" w:rsidR="00CD687A" w:rsidRDefault="0055539C" w:rsidP="00497399">
      <w:pPr>
        <w:spacing w:line="480" w:lineRule="auto"/>
      </w:pPr>
      <w:r>
        <w:t>W</w:t>
      </w:r>
      <w:r w:rsidR="00CD687A">
        <w:t xml:space="preserve">hen stratifying by the time in the work shift, </w:t>
      </w:r>
      <w:r>
        <w:t xml:space="preserve">the </w:t>
      </w:r>
      <w:r w:rsidR="00CD687A">
        <w:t>statistically significant relationship between Borg RPE and %HRR were found at T1 and T3, i.e. after morning and afternoon work sessions, but not at T2, after the lunch break. This finding is in accordance with the case of stratifying by harvesting method. That is, it require</w:t>
      </w:r>
      <w:r>
        <w:t>d</w:t>
      </w:r>
      <w:r w:rsidR="00CD687A">
        <w:t xml:space="preserve"> the farmworkers to </w:t>
      </w:r>
      <w:r>
        <w:t xml:space="preserve">a </w:t>
      </w:r>
      <w:r w:rsidR="00CD687A">
        <w:t>perform heavy</w:t>
      </w:r>
      <w:r>
        <w:t xml:space="preserve"> task so that the subjective Borg RPE responses could be meaningful. Otherwise, during or after a rest period, Borg RPE was not interpretable in this population and should not be used to </w:t>
      </w:r>
      <w:r w:rsidR="00E5395A">
        <w:t>assess</w:t>
      </w:r>
      <w:r>
        <w:t xml:space="preserve"> a recovery from the rest in place of the objective direct measurement.</w:t>
      </w:r>
    </w:p>
    <w:p w14:paraId="454BAAAD" w14:textId="3883CB8D" w:rsidR="0055539C" w:rsidRDefault="0055539C" w:rsidP="00497399">
      <w:pPr>
        <w:spacing w:line="480" w:lineRule="auto"/>
      </w:pPr>
      <w:r>
        <w:t xml:space="preserve">Additionally, when stratifying by the time in the work shift, the relationship between Omni RPE and %HRR became statistically insignificant. This finding suggested that the Omni RPE with the pictures of apple harvesting may </w:t>
      </w:r>
      <w:r w:rsidR="00E5395A">
        <w:t>still not be robust. Notwithstanding, it is worth noting that the reason might be due to the fact that the stratification reduced the sample size and, consequently, there was not enough power to detect a significant correlation in each group.</w:t>
      </w:r>
    </w:p>
    <w:p w14:paraId="2F504244" w14:textId="05F9D95D" w:rsidR="003F1E3F" w:rsidRDefault="003F1E3F" w:rsidP="00497399">
      <w:pPr>
        <w:spacing w:line="480" w:lineRule="auto"/>
      </w:pPr>
      <w:r>
        <w:t xml:space="preserve">There was no </w:t>
      </w:r>
      <w:r w:rsidR="00E5395A">
        <w:t xml:space="preserve">significant </w:t>
      </w:r>
      <w:r>
        <w:t>correlation between the objective and subjective measures of local discomfort.</w:t>
      </w:r>
      <w:r w:rsidR="00E5395A">
        <w:t xml:space="preserve"> In other words, Borg CR10 scales at local body parts, particularly the shoulders, were not representative for the muscle fatigue as directly measured and characterized by EMG.</w:t>
      </w:r>
    </w:p>
    <w:p w14:paraId="7862BBD8" w14:textId="5EA8AD43" w:rsidR="00C945DC" w:rsidRDefault="00636887" w:rsidP="00497399">
      <w:pPr>
        <w:spacing w:line="480" w:lineRule="auto"/>
      </w:pPr>
      <w:r>
        <w:t>Despite</w:t>
      </w:r>
      <w:r w:rsidR="003F1E3F">
        <w:t xml:space="preserve"> being</w:t>
      </w:r>
      <w:r>
        <w:t xml:space="preserve"> translated and adapted to the culture, the subjective effort surveys, namely Omni RPE, Borg RPE and Borg CR10, may not be suitable for </w:t>
      </w:r>
      <w:r w:rsidR="00E5395A">
        <w:t xml:space="preserve">ergonomic assessment among Hispanic migrant fruit </w:t>
      </w:r>
      <w:r w:rsidR="00E5395A">
        <w:lastRenderedPageBreak/>
        <w:t>harvesters, especially when the physical workload were not extreme</w:t>
      </w:r>
      <w:r>
        <w:t xml:space="preserve">. Therefore, they should not </w:t>
      </w:r>
      <w:r w:rsidR="00E5395A">
        <w:t xml:space="preserve">fully </w:t>
      </w:r>
      <w:r>
        <w:t>replace the objective direct</w:t>
      </w:r>
      <w:r w:rsidR="00E5395A">
        <w:t>ly</w:t>
      </w:r>
      <w:r>
        <w:t xml:space="preserve">-measured </w:t>
      </w:r>
      <w:r w:rsidR="00E5395A">
        <w:t>outcomes like metabolic load or muscle fatigue</w:t>
      </w:r>
      <w:r>
        <w:t>.</w:t>
      </w:r>
    </w:p>
    <w:p w14:paraId="5B39B5E9" w14:textId="34A5F5EB" w:rsidR="009E5669" w:rsidRDefault="003A4B9E" w:rsidP="00F8329F">
      <w:pPr>
        <w:pStyle w:val="Heading3"/>
        <w:spacing w:line="480" w:lineRule="auto"/>
      </w:pPr>
      <w:r>
        <w:t>4.2 Comparisons to previous studies</w:t>
      </w:r>
    </w:p>
    <w:p w14:paraId="6A065C90" w14:textId="648AEE63" w:rsidR="00D859F9" w:rsidRDefault="00C36CDC" w:rsidP="00D859F9">
      <w:pPr>
        <w:spacing w:line="480" w:lineRule="auto"/>
      </w:pPr>
      <w:r>
        <w:t>This study indicated the unsuitability of subjective scales for ergonomic assessment in fruit harvesting tasks undertaken by the Hispanic migrant workers, as compared to the uses of cardiac measures and the muscle fatigue of trapezius. Particularly, the finding from this study that the subjective scales were more sensitive to heavy workload is relevant to a previous work. 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tasks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 xml:space="preserve">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 Above all, this study found increases over time in both EMG MPF and Borg CR10; however, we did not address whether the objective measure of muscle fatigue like EMG or the subjective discomfort responses like Borg scales could provide a better ergonomic assessment.</w:t>
      </w:r>
    </w:p>
    <w:p w14:paraId="5D6C72A6" w14:textId="137E858F" w:rsidR="00D859F9" w:rsidRDefault="00D859F9" w:rsidP="00D859F9">
      <w:pPr>
        <w:spacing w:line="480" w:lineRule="auto"/>
      </w:pPr>
      <w:r>
        <w:t xml:space="preserve">Newly developed subjective rating scales like Omni RPE may be used for certain contexts, in this case, when farmworkers actually perform heavy work but not the light work. This subjective measurement should, thus, be used as a complement of their corresponding objective measurement rather than as 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RPE alone was not distinguishable across different in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lastRenderedPageBreak/>
        <w:t xml:space="preserve">4.3 </w:t>
      </w:r>
      <w:r w:rsidR="00F8329F">
        <w:t>Study limitations</w:t>
      </w:r>
    </w:p>
    <w:p w14:paraId="00B81526" w14:textId="37A62C41" w:rsidR="003A4B9E" w:rsidRDefault="00083EF8" w:rsidP="00497399">
      <w:pPr>
        <w:spacing w:line="480" w:lineRule="auto"/>
      </w:pPr>
      <w:r>
        <w:t xml:space="preserve">A number of systematic biases in this study should be mentioned. Firstly, the presence of researchers in the field might have altered the way the participants work; as a result, the objective directly-measured outcomes on muscle fatigue or metabolic load may be affected. Secondly, </w:t>
      </w:r>
      <w:r w:rsidR="00A16228">
        <w:t>administ</w:t>
      </w:r>
      <w:r w:rsidR="004C3899">
        <w:t>ering</w:t>
      </w:r>
      <w:r w:rsidR="00A16228">
        <w:t xml:space="preserve"> the </w:t>
      </w:r>
      <w:r w:rsidR="004C3899">
        <w:t>Borg and Omni questionnaires</w:t>
      </w:r>
      <w:r w:rsidR="00A16228">
        <w:t xml:space="preserve"> could have interrupted the workers’ lunch break</w:t>
      </w:r>
      <w:r w:rsidR="004C3899">
        <w:t>. It is possible that some workers ended up answering the questions as fast as they could rather than did it attentively.</w:t>
      </w:r>
    </w:p>
    <w:p w14:paraId="2DC05812" w14:textId="0CDF1209" w:rsidR="009412F3" w:rsidRDefault="004C3899" w:rsidP="009412F3">
      <w:pPr>
        <w:spacing w:line="480" w:lineRule="auto"/>
      </w:pPr>
      <w:r>
        <w:t xml:space="preserve">Moreover, there </w:t>
      </w:r>
      <w:r w:rsidR="00457DE9">
        <w:t>was a limitation</w:t>
      </w:r>
      <w:r>
        <w:t xml:space="preserve"> associated with the heart rate measurement. In the ideal situation, a resting heart rate should be measured in a recumbent position. However, in this study, the resting heart rate was measured during a quiet sitting position prior to the work shift, and then the measured values were subtracted by 10 as per the equation (ii) similarly to the previous work </w:t>
      </w:r>
      <w:r>
        <w:fldChar w:fldCharType="begin" w:fldLock="1"/>
      </w:r>
      <w:r w:rsidR="00457DE9">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fldChar w:fldCharType="separate"/>
      </w:r>
      <w:r w:rsidRPr="004C3899">
        <w:rPr>
          <w:noProof/>
        </w:rPr>
        <w:t>(Thamsuwan et al., 2019)</w:t>
      </w:r>
      <w:r>
        <w:fldChar w:fldCharType="end"/>
      </w:r>
      <w:r>
        <w:t>; in other words, the resting heart rate was obtained by approximation rather than exact measurement.</w:t>
      </w:r>
    </w:p>
    <w:p w14:paraId="03D1C4FF" w14:textId="175AD0C4" w:rsidR="004C3899" w:rsidRDefault="004C3899" w:rsidP="009412F3">
      <w:pPr>
        <w:spacing w:line="480" w:lineRule="auto"/>
      </w:pPr>
      <w:r>
        <w:t xml:space="preserve">Furthermore, </w:t>
      </w:r>
      <w:r w:rsidR="00457DE9">
        <w:t xml:space="preserve">there were challenges in EMG measurement in the field due to perspiration of workers and the physical contact between electrodes and the apple bag strap or the ladder. Anomalies in EMG data were detected and removed with a new algorithm to retain the muscle activity signal </w:t>
      </w:r>
      <w:r w:rsidR="00457DE9">
        <w:fldChar w:fldCharType="begin" w:fldLock="1"/>
      </w:r>
      <w:r w:rsidR="00457DE9">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2022)"},"properties":{"noteIndex":0},"schema":"https://github.com/citation-style-language/schema/raw/master/csl-citation.json"}</w:instrText>
      </w:r>
      <w:r w:rsidR="00457DE9">
        <w:fldChar w:fldCharType="separate"/>
      </w:r>
      <w:r w:rsidR="00457DE9" w:rsidRPr="00457DE9">
        <w:rPr>
          <w:noProof/>
        </w:rPr>
        <w:t>(Thamsuwan &amp; Johnson, 2022)</w:t>
      </w:r>
      <w:r w:rsidR="00457DE9">
        <w:fldChar w:fldCharType="end"/>
      </w:r>
      <w:r w:rsidR="00457DE9">
        <w:t xml:space="preserve"> but there were still some data lost. Future studies should instead find a way to detect the anomalies in real time during the data collection, which could prevent data lost more effectively as compared to logging the data to examine later at the end of the work shift like in this study.</w:t>
      </w:r>
    </w:p>
    <w:p w14:paraId="2C98ADDF" w14:textId="5B8E4F66" w:rsidR="00374E7E" w:rsidRDefault="00374E7E" w:rsidP="00374E7E">
      <w:pPr>
        <w:pStyle w:val="Heading2"/>
        <w:spacing w:line="480" w:lineRule="auto"/>
      </w:pPr>
      <w:r w:rsidRPr="0047623D">
        <w:t>5. Conclusion</w:t>
      </w:r>
      <w:r>
        <w:t xml:space="preserve"> </w:t>
      </w:r>
    </w:p>
    <w:p w14:paraId="5A667111" w14:textId="7FFBB73E" w:rsidR="0064052E" w:rsidRDefault="009C2A8C" w:rsidP="00497399">
      <w:pPr>
        <w:spacing w:line="480" w:lineRule="auto"/>
      </w:pPr>
      <w:r>
        <w:t>This study examined whether there was a relationship between subjective and objective measures of overall cardiovascular load and local muscle fatigue among Hispanic migrant farmworkers harvesting apples in North America.</w:t>
      </w:r>
      <w:r w:rsidR="005F70A4">
        <w:t xml:space="preserve"> Borg RPE and Borg CR10 were translated</w:t>
      </w:r>
      <w:r w:rsidR="00701205">
        <w:t xml:space="preserve"> into Spanish</w:t>
      </w:r>
      <w:r w:rsidR="005F70A4">
        <w:t>, and Omni RPE</w:t>
      </w:r>
      <w:r w:rsidR="00BF7160">
        <w:t xml:space="preserve"> with pictures</w:t>
      </w:r>
      <w:r w:rsidR="005F70A4">
        <w:t xml:space="preserve"> were created for this specific population. The Borg RPE and Omni RPE</w:t>
      </w:r>
      <w:r w:rsidR="00BF7160">
        <w:t xml:space="preserve"> results</w:t>
      </w:r>
      <w:r w:rsidR="005F70A4">
        <w:t xml:space="preserve"> were compared to metabolic load derived from heart rate data</w:t>
      </w:r>
      <w:r w:rsidR="008327AA">
        <w:t xml:space="preserve">, which represented overall </w:t>
      </w:r>
      <w:r w:rsidR="00BF7160">
        <w:t>physical exertion</w:t>
      </w:r>
      <w:r w:rsidR="005F70A4">
        <w:t>.</w:t>
      </w:r>
      <w:r w:rsidR="008327AA">
        <w:t xml:space="preserve"> </w:t>
      </w:r>
      <w:r w:rsidR="00BF7160">
        <w:t>This study found s</w:t>
      </w:r>
      <w:r w:rsidR="008327AA">
        <w:t>trong negative correlations between the objective and subjective measures after the workers performed hard work but neither after the light work nor after the break.</w:t>
      </w:r>
      <w:r w:rsidR="005F70A4">
        <w:t xml:space="preserve"> The Borg CR10</w:t>
      </w:r>
      <w:r w:rsidR="008327AA">
        <w:t>, which was expected to indicate local discomfort, was</w:t>
      </w:r>
      <w:r w:rsidR="005F70A4">
        <w:t xml:space="preserve"> compared to the muscle fatigue as </w:t>
      </w:r>
      <w:r w:rsidR="008327AA">
        <w:t xml:space="preserve">characterized </w:t>
      </w:r>
      <w:r w:rsidR="005F70A4">
        <w:t>by EMG at trapezius</w:t>
      </w:r>
      <w:r w:rsidR="008327AA">
        <w:t>. Unlike the results of the correlations between the RPE’s and the cardiovascular load, there was no</w:t>
      </w:r>
      <w:r w:rsidR="00BF7160">
        <w:t xml:space="preserve"> significant</w:t>
      </w:r>
      <w:r w:rsidR="008327AA">
        <w:t xml:space="preserve"> correlation between the Borg CR10 and the EMG. All things considered, objective direct measures could not be replaced by subjective measures according to this study.</w:t>
      </w:r>
    </w:p>
    <w:p w14:paraId="42BAB8CB" w14:textId="38002430" w:rsidR="009C7583" w:rsidRDefault="009C7583" w:rsidP="00A44D59">
      <w:pPr>
        <w:pStyle w:val="Heading2"/>
        <w:spacing w:line="480" w:lineRule="auto"/>
      </w:pPr>
      <w:r>
        <w:t>Reference</w:t>
      </w:r>
    </w:p>
    <w:p w14:paraId="4E5AFACC" w14:textId="7FB1B656" w:rsidR="00457DE9" w:rsidRPr="00457DE9" w:rsidRDefault="009E5669" w:rsidP="00457DE9">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57DE9" w:rsidRPr="00457DE9">
        <w:rPr>
          <w:rFonts w:ascii="Calibri" w:hAnsi="Calibri" w:cs="Calibri"/>
          <w:noProof/>
          <w:szCs w:val="24"/>
        </w:rPr>
        <w:t xml:space="preserve">Alka, S., U., S. G., Rajesh, S., &amp; Dinesh, P. (2014). Ergonomic study of farm women during wheat harvesting by improved sickle. </w:t>
      </w:r>
      <w:r w:rsidR="00457DE9" w:rsidRPr="00457DE9">
        <w:rPr>
          <w:rFonts w:ascii="Calibri" w:hAnsi="Calibri" w:cs="Calibri"/>
          <w:i/>
          <w:iCs/>
          <w:noProof/>
          <w:szCs w:val="24"/>
        </w:rPr>
        <w:t>African Journal of Agricultural Research</w:t>
      </w:r>
      <w:r w:rsidR="00457DE9" w:rsidRPr="00457DE9">
        <w:rPr>
          <w:rFonts w:ascii="Calibri" w:hAnsi="Calibri" w:cs="Calibri"/>
          <w:noProof/>
          <w:szCs w:val="24"/>
        </w:rPr>
        <w:t xml:space="preserve">, </w:t>
      </w:r>
      <w:r w:rsidR="00457DE9" w:rsidRPr="00457DE9">
        <w:rPr>
          <w:rFonts w:ascii="Calibri" w:hAnsi="Calibri" w:cs="Calibri"/>
          <w:i/>
          <w:iCs/>
          <w:noProof/>
          <w:szCs w:val="24"/>
        </w:rPr>
        <w:t>9</w:t>
      </w:r>
      <w:r w:rsidR="00457DE9" w:rsidRPr="00457DE9">
        <w:rPr>
          <w:rFonts w:ascii="Calibri" w:hAnsi="Calibri" w:cs="Calibri"/>
          <w:noProof/>
          <w:szCs w:val="24"/>
        </w:rPr>
        <w:t>(18), 1386–1390. https://doi.org/10.5897/AJAR2013.7956</w:t>
      </w:r>
    </w:p>
    <w:p w14:paraId="1354364F"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Bangaru, S. S., Wang, C., Busam, S. A., &amp; Aghazadeh, F. (2021). ANN-based automated scaffold builder </w:t>
      </w:r>
      <w:r w:rsidRPr="00457DE9">
        <w:rPr>
          <w:rFonts w:ascii="Calibri" w:hAnsi="Calibri" w:cs="Calibri"/>
          <w:noProof/>
          <w:szCs w:val="24"/>
        </w:rPr>
        <w:lastRenderedPageBreak/>
        <w:t xml:space="preserve">activity recognition through wearable EMG and IMU sensors. </w:t>
      </w:r>
      <w:r w:rsidRPr="00457DE9">
        <w:rPr>
          <w:rFonts w:ascii="Calibri" w:hAnsi="Calibri" w:cs="Calibri"/>
          <w:i/>
          <w:iCs/>
          <w:noProof/>
          <w:szCs w:val="24"/>
        </w:rPr>
        <w:t>Automation in Construction</w:t>
      </w:r>
      <w:r w:rsidRPr="00457DE9">
        <w:rPr>
          <w:rFonts w:ascii="Calibri" w:hAnsi="Calibri" w:cs="Calibri"/>
          <w:noProof/>
          <w:szCs w:val="24"/>
        </w:rPr>
        <w:t xml:space="preserve">, </w:t>
      </w:r>
      <w:r w:rsidRPr="00457DE9">
        <w:rPr>
          <w:rFonts w:ascii="Calibri" w:hAnsi="Calibri" w:cs="Calibri"/>
          <w:i/>
          <w:iCs/>
          <w:noProof/>
          <w:szCs w:val="24"/>
        </w:rPr>
        <w:t>126</w:t>
      </w:r>
      <w:r w:rsidRPr="00457DE9">
        <w:rPr>
          <w:rFonts w:ascii="Calibri" w:hAnsi="Calibri" w:cs="Calibri"/>
          <w:noProof/>
          <w:szCs w:val="24"/>
        </w:rPr>
        <w:t>, 103653. https://doi.org/10.1016/j.autcon.2021.103653</w:t>
      </w:r>
    </w:p>
    <w:p w14:paraId="20B43225"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Bedny, G. Z., Karwowski, W., &amp; Seglin, M. H. (2001). A Heart Rate Evaluation Approach to Determine Cost-Effectiveness an Ergonomics Intervention. </w:t>
      </w:r>
      <w:r w:rsidRPr="00457DE9">
        <w:rPr>
          <w:rFonts w:ascii="Calibri" w:hAnsi="Calibri" w:cs="Calibri"/>
          <w:i/>
          <w:iCs/>
          <w:noProof/>
          <w:szCs w:val="24"/>
        </w:rPr>
        <w:t>International Journal of Occupational Safety and Ergonomics</w:t>
      </w:r>
      <w:r w:rsidRPr="00457DE9">
        <w:rPr>
          <w:rFonts w:ascii="Calibri" w:hAnsi="Calibri" w:cs="Calibri"/>
          <w:noProof/>
          <w:szCs w:val="24"/>
        </w:rPr>
        <w:t xml:space="preserve">, </w:t>
      </w:r>
      <w:r w:rsidRPr="00457DE9">
        <w:rPr>
          <w:rFonts w:ascii="Calibri" w:hAnsi="Calibri" w:cs="Calibri"/>
          <w:i/>
          <w:iCs/>
          <w:noProof/>
          <w:szCs w:val="24"/>
        </w:rPr>
        <w:t>7</w:t>
      </w:r>
      <w:r w:rsidRPr="00457DE9">
        <w:rPr>
          <w:rFonts w:ascii="Calibri" w:hAnsi="Calibri" w:cs="Calibri"/>
          <w:noProof/>
          <w:szCs w:val="24"/>
        </w:rPr>
        <w:t>(2), 121–133. https://doi.org/10.1080/10803548.2001.11076481</w:t>
      </w:r>
    </w:p>
    <w:p w14:paraId="3BF466D2"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Borg, G. (1970). Perceived exertion as an indicator of somatic stress. </w:t>
      </w:r>
      <w:r w:rsidRPr="00457DE9">
        <w:rPr>
          <w:rFonts w:ascii="Calibri" w:hAnsi="Calibri" w:cs="Calibri"/>
          <w:i/>
          <w:iCs/>
          <w:noProof/>
          <w:szCs w:val="24"/>
        </w:rPr>
        <w:t>Scandinavian Journal of Rehabilitation Medicine</w:t>
      </w:r>
      <w:r w:rsidRPr="00457DE9">
        <w:rPr>
          <w:rFonts w:ascii="Calibri" w:hAnsi="Calibri" w:cs="Calibri"/>
          <w:noProof/>
          <w:szCs w:val="24"/>
        </w:rPr>
        <w:t xml:space="preserve">, </w:t>
      </w:r>
      <w:r w:rsidRPr="00457DE9">
        <w:rPr>
          <w:rFonts w:ascii="Calibri" w:hAnsi="Calibri" w:cs="Calibri"/>
          <w:i/>
          <w:iCs/>
          <w:noProof/>
          <w:szCs w:val="24"/>
        </w:rPr>
        <w:t>2</w:t>
      </w:r>
      <w:r w:rsidRPr="00457DE9">
        <w:rPr>
          <w:rFonts w:ascii="Calibri" w:hAnsi="Calibri" w:cs="Calibri"/>
          <w:noProof/>
          <w:szCs w:val="24"/>
        </w:rPr>
        <w:t>, 92–98. https://doi.org/S/N</w:t>
      </w:r>
    </w:p>
    <w:p w14:paraId="2A1954AA"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Borg, G. A. (1982). Psychophysical bases of perceived exertion. </w:t>
      </w:r>
      <w:r w:rsidRPr="00457DE9">
        <w:rPr>
          <w:rFonts w:ascii="Calibri" w:hAnsi="Calibri" w:cs="Calibri"/>
          <w:i/>
          <w:iCs/>
          <w:noProof/>
          <w:szCs w:val="24"/>
        </w:rPr>
        <w:t>Medicine and Science in Sports and Exercise</w:t>
      </w:r>
      <w:r w:rsidRPr="00457DE9">
        <w:rPr>
          <w:rFonts w:ascii="Calibri" w:hAnsi="Calibri" w:cs="Calibri"/>
          <w:noProof/>
          <w:szCs w:val="24"/>
        </w:rPr>
        <w:t xml:space="preserve">, </w:t>
      </w:r>
      <w:r w:rsidRPr="00457DE9">
        <w:rPr>
          <w:rFonts w:ascii="Calibri" w:hAnsi="Calibri" w:cs="Calibri"/>
          <w:i/>
          <w:iCs/>
          <w:noProof/>
          <w:szCs w:val="24"/>
        </w:rPr>
        <w:t>14</w:t>
      </w:r>
      <w:r w:rsidRPr="00457DE9">
        <w:rPr>
          <w:rFonts w:ascii="Calibri" w:hAnsi="Calibri" w:cs="Calibri"/>
          <w:noProof/>
          <w:szCs w:val="24"/>
        </w:rPr>
        <w:t>, 377–381. https://doi.org/10.1249/00005768-198205000-00012</w:t>
      </w:r>
    </w:p>
    <w:p w14:paraId="28D1D773"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Caballero, Y., Ando, T. J., Nakae, S., Usui, C., Aoyama, T., Nakanishi, M., Nagayoshi, S., Fujiwara, Y., &amp; Tanaka, S. (2019). Simple Prediction of Metabolic Equivalents of Daily Activities Using Heart Rate Monitor without Calibration of Individuals. </w:t>
      </w:r>
      <w:r w:rsidRPr="00457DE9">
        <w:rPr>
          <w:rFonts w:ascii="Calibri" w:hAnsi="Calibri" w:cs="Calibri"/>
          <w:i/>
          <w:iCs/>
          <w:noProof/>
          <w:szCs w:val="24"/>
        </w:rPr>
        <w:t>International Journal of Environmental Research and Public Health</w:t>
      </w:r>
      <w:r w:rsidRPr="00457DE9">
        <w:rPr>
          <w:rFonts w:ascii="Calibri" w:hAnsi="Calibri" w:cs="Calibri"/>
          <w:noProof/>
          <w:szCs w:val="24"/>
        </w:rPr>
        <w:t xml:space="preserve">, </w:t>
      </w:r>
      <w:r w:rsidRPr="00457DE9">
        <w:rPr>
          <w:rFonts w:ascii="Calibri" w:hAnsi="Calibri" w:cs="Calibri"/>
          <w:i/>
          <w:iCs/>
          <w:noProof/>
          <w:szCs w:val="24"/>
        </w:rPr>
        <w:t>17</w:t>
      </w:r>
      <w:r w:rsidRPr="00457DE9">
        <w:rPr>
          <w:rFonts w:ascii="Calibri" w:hAnsi="Calibri" w:cs="Calibri"/>
          <w:noProof/>
          <w:szCs w:val="24"/>
        </w:rPr>
        <w:t>(1), 216. https://doi.org/10.3390/ijerph17010216</w:t>
      </w:r>
    </w:p>
    <w:p w14:paraId="15431A84"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457DE9">
        <w:rPr>
          <w:rFonts w:ascii="Calibri" w:hAnsi="Calibri" w:cs="Calibri"/>
          <w:i/>
          <w:iCs/>
          <w:noProof/>
          <w:szCs w:val="24"/>
        </w:rPr>
        <w:t>Measurement in Physical Education and Exercise Science</w:t>
      </w:r>
      <w:r w:rsidRPr="00457DE9">
        <w:rPr>
          <w:rFonts w:ascii="Calibri" w:hAnsi="Calibri" w:cs="Calibri"/>
          <w:noProof/>
          <w:szCs w:val="24"/>
        </w:rPr>
        <w:t xml:space="preserve">, </w:t>
      </w:r>
      <w:r w:rsidRPr="00457DE9">
        <w:rPr>
          <w:rFonts w:ascii="Calibri" w:hAnsi="Calibri" w:cs="Calibri"/>
          <w:i/>
          <w:iCs/>
          <w:noProof/>
          <w:szCs w:val="24"/>
        </w:rPr>
        <w:t>24</w:t>
      </w:r>
      <w:r w:rsidRPr="00457DE9">
        <w:rPr>
          <w:rFonts w:ascii="Calibri" w:hAnsi="Calibri" w:cs="Calibri"/>
          <w:noProof/>
          <w:szCs w:val="24"/>
        </w:rPr>
        <w:t>(2), 103–114. https://doi.org/10.1080/1091367X.2019.1710709</w:t>
      </w:r>
    </w:p>
    <w:p w14:paraId="4A5CF539"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Castillo, F., Mora, A. M., Kayser, G. L., Vanos, J., Hyland, C., Yang, A. R., &amp; Eskenazi, B. (2021). Environmental Health Threats to Latino Migrant Farmworkers. </w:t>
      </w:r>
      <w:r w:rsidRPr="00457DE9">
        <w:rPr>
          <w:rFonts w:ascii="Calibri" w:hAnsi="Calibri" w:cs="Calibri"/>
          <w:i/>
          <w:iCs/>
          <w:noProof/>
          <w:szCs w:val="24"/>
        </w:rPr>
        <w:t>Annual Review of Public Health</w:t>
      </w:r>
      <w:r w:rsidRPr="00457DE9">
        <w:rPr>
          <w:rFonts w:ascii="Calibri" w:hAnsi="Calibri" w:cs="Calibri"/>
          <w:noProof/>
          <w:szCs w:val="24"/>
        </w:rPr>
        <w:t xml:space="preserve">, </w:t>
      </w:r>
      <w:r w:rsidRPr="00457DE9">
        <w:rPr>
          <w:rFonts w:ascii="Calibri" w:hAnsi="Calibri" w:cs="Calibri"/>
          <w:i/>
          <w:iCs/>
          <w:noProof/>
          <w:szCs w:val="24"/>
        </w:rPr>
        <w:t>42</w:t>
      </w:r>
      <w:r w:rsidRPr="00457DE9">
        <w:rPr>
          <w:rFonts w:ascii="Calibri" w:hAnsi="Calibri" w:cs="Calibri"/>
          <w:noProof/>
          <w:szCs w:val="24"/>
        </w:rPr>
        <w:t>(1), 257–276. https://doi.org/10.1146/annurev-publhealth-012420-105014</w:t>
      </w:r>
    </w:p>
    <w:p w14:paraId="6B38592E"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Clouser, J. M., Bush, A., Gan, W., &amp; Swanberg, J. (2018). Associations of Work Stress, Supervisor Unfairness, and Supervisor Inability to Speak Spanish with Occupational Injury among Latino </w:t>
      </w:r>
      <w:r w:rsidRPr="00457DE9">
        <w:rPr>
          <w:rFonts w:ascii="Calibri" w:hAnsi="Calibri" w:cs="Calibri"/>
          <w:noProof/>
          <w:szCs w:val="24"/>
        </w:rPr>
        <w:lastRenderedPageBreak/>
        <w:t xml:space="preserve">Farmworkers. </w:t>
      </w:r>
      <w:r w:rsidRPr="00457DE9">
        <w:rPr>
          <w:rFonts w:ascii="Calibri" w:hAnsi="Calibri" w:cs="Calibri"/>
          <w:i/>
          <w:iCs/>
          <w:noProof/>
          <w:szCs w:val="24"/>
        </w:rPr>
        <w:t>Journal of Immigrant and Minority Health</w:t>
      </w:r>
      <w:r w:rsidRPr="00457DE9">
        <w:rPr>
          <w:rFonts w:ascii="Calibri" w:hAnsi="Calibri" w:cs="Calibri"/>
          <w:noProof/>
          <w:szCs w:val="24"/>
        </w:rPr>
        <w:t xml:space="preserve">, </w:t>
      </w:r>
      <w:r w:rsidRPr="00457DE9">
        <w:rPr>
          <w:rFonts w:ascii="Calibri" w:hAnsi="Calibri" w:cs="Calibri"/>
          <w:i/>
          <w:iCs/>
          <w:noProof/>
          <w:szCs w:val="24"/>
        </w:rPr>
        <w:t>20</w:t>
      </w:r>
      <w:r w:rsidRPr="00457DE9">
        <w:rPr>
          <w:rFonts w:ascii="Calibri" w:hAnsi="Calibri" w:cs="Calibri"/>
          <w:noProof/>
          <w:szCs w:val="24"/>
        </w:rPr>
        <w:t>(4), 894–901. https://doi.org/10.1007/s10903-017-0617-1</w:t>
      </w:r>
    </w:p>
    <w:p w14:paraId="6BC232DE"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Cooper, S., Burau, K., Frankowski, R., Shipp, E., Ddeljunco, D., Whitworth, R., Sweeney, A., Macnaughton, N., Wellor, N., &amp; Hanis, C. (2006). A Cohort Study of Injuries in Migrant Farm Worker Families in South Texas. </w:t>
      </w:r>
      <w:r w:rsidRPr="00457DE9">
        <w:rPr>
          <w:rFonts w:ascii="Calibri" w:hAnsi="Calibri" w:cs="Calibri"/>
          <w:i/>
          <w:iCs/>
          <w:noProof/>
          <w:szCs w:val="24"/>
        </w:rPr>
        <w:t>Annals of Epidemiology</w:t>
      </w:r>
      <w:r w:rsidRPr="00457DE9">
        <w:rPr>
          <w:rFonts w:ascii="Calibri" w:hAnsi="Calibri" w:cs="Calibri"/>
          <w:noProof/>
          <w:szCs w:val="24"/>
        </w:rPr>
        <w:t xml:space="preserve">, </w:t>
      </w:r>
      <w:r w:rsidRPr="00457DE9">
        <w:rPr>
          <w:rFonts w:ascii="Calibri" w:hAnsi="Calibri" w:cs="Calibri"/>
          <w:i/>
          <w:iCs/>
          <w:noProof/>
          <w:szCs w:val="24"/>
        </w:rPr>
        <w:t>16</w:t>
      </w:r>
      <w:r w:rsidRPr="00457DE9">
        <w:rPr>
          <w:rFonts w:ascii="Calibri" w:hAnsi="Calibri" w:cs="Calibri"/>
          <w:noProof/>
          <w:szCs w:val="24"/>
        </w:rPr>
        <w:t>(4), 313–320. https://doi.org/10.1016/j.annepidem.2005.04.004</w:t>
      </w:r>
    </w:p>
    <w:p w14:paraId="142663EA"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Cristi-Montero, C. (2016). Considerations regarding the use of metabolic equivalents when prescribing exercise for health: preventive medicine in practice. </w:t>
      </w:r>
      <w:r w:rsidRPr="00457DE9">
        <w:rPr>
          <w:rFonts w:ascii="Calibri" w:hAnsi="Calibri" w:cs="Calibri"/>
          <w:i/>
          <w:iCs/>
          <w:noProof/>
          <w:szCs w:val="24"/>
        </w:rPr>
        <w:t>The Physician and Sportsmedicine</w:t>
      </w:r>
      <w:r w:rsidRPr="00457DE9">
        <w:rPr>
          <w:rFonts w:ascii="Calibri" w:hAnsi="Calibri" w:cs="Calibri"/>
          <w:noProof/>
          <w:szCs w:val="24"/>
        </w:rPr>
        <w:t xml:space="preserve">, </w:t>
      </w:r>
      <w:r w:rsidRPr="00457DE9">
        <w:rPr>
          <w:rFonts w:ascii="Calibri" w:hAnsi="Calibri" w:cs="Calibri"/>
          <w:i/>
          <w:iCs/>
          <w:noProof/>
          <w:szCs w:val="24"/>
        </w:rPr>
        <w:t>44</w:t>
      </w:r>
      <w:r w:rsidRPr="00457DE9">
        <w:rPr>
          <w:rFonts w:ascii="Calibri" w:hAnsi="Calibri" w:cs="Calibri"/>
          <w:noProof/>
          <w:szCs w:val="24"/>
        </w:rPr>
        <w:t>(2), 109–111. https://doi.org/10.1080/00913847.2016.1158624</w:t>
      </w:r>
    </w:p>
    <w:p w14:paraId="1FD3C5D3"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457DE9">
        <w:rPr>
          <w:rFonts w:ascii="Calibri" w:hAnsi="Calibri" w:cs="Calibri"/>
          <w:i/>
          <w:iCs/>
          <w:noProof/>
          <w:szCs w:val="24"/>
        </w:rPr>
        <w:t>Journal of Science and Medicine in Sport</w:t>
      </w:r>
      <w:r w:rsidRPr="00457DE9">
        <w:rPr>
          <w:rFonts w:ascii="Calibri" w:hAnsi="Calibri" w:cs="Calibri"/>
          <w:noProof/>
          <w:szCs w:val="24"/>
        </w:rPr>
        <w:t xml:space="preserve">, </w:t>
      </w:r>
      <w:r w:rsidRPr="00457DE9">
        <w:rPr>
          <w:rFonts w:ascii="Calibri" w:hAnsi="Calibri" w:cs="Calibri"/>
          <w:i/>
          <w:iCs/>
          <w:noProof/>
          <w:szCs w:val="24"/>
        </w:rPr>
        <w:t>14</w:t>
      </w:r>
      <w:r w:rsidRPr="00457DE9">
        <w:rPr>
          <w:rFonts w:ascii="Calibri" w:hAnsi="Calibri" w:cs="Calibri"/>
          <w:noProof/>
          <w:szCs w:val="24"/>
        </w:rPr>
        <w:t>(1), 46–57. https://doi.org/10.1016/j.jsams.2010.07.008</w:t>
      </w:r>
    </w:p>
    <w:p w14:paraId="1A5903E0"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D. J. Shah, E. M. Shipp, S. P. Cooper, J. C. Huber, D. J. del Junco, A. A. Rene, &amp; J. S. Moore. (2009). Hand Problems in Migrant Farmworkers. </w:t>
      </w:r>
      <w:r w:rsidRPr="00457DE9">
        <w:rPr>
          <w:rFonts w:ascii="Calibri" w:hAnsi="Calibri" w:cs="Calibri"/>
          <w:i/>
          <w:iCs/>
          <w:noProof/>
          <w:szCs w:val="24"/>
        </w:rPr>
        <w:t>Journal of Agricultural Safety and Health</w:t>
      </w:r>
      <w:r w:rsidRPr="00457DE9">
        <w:rPr>
          <w:rFonts w:ascii="Calibri" w:hAnsi="Calibri" w:cs="Calibri"/>
          <w:noProof/>
          <w:szCs w:val="24"/>
        </w:rPr>
        <w:t xml:space="preserve">, </w:t>
      </w:r>
      <w:r w:rsidRPr="00457DE9">
        <w:rPr>
          <w:rFonts w:ascii="Calibri" w:hAnsi="Calibri" w:cs="Calibri"/>
          <w:i/>
          <w:iCs/>
          <w:noProof/>
          <w:szCs w:val="24"/>
        </w:rPr>
        <w:t>15</w:t>
      </w:r>
      <w:r w:rsidRPr="00457DE9">
        <w:rPr>
          <w:rFonts w:ascii="Calibri" w:hAnsi="Calibri" w:cs="Calibri"/>
          <w:noProof/>
          <w:szCs w:val="24"/>
        </w:rPr>
        <w:t>(2), 157–169. https://doi.org/10.13031/2013.26802</w:t>
      </w:r>
    </w:p>
    <w:p w14:paraId="63F66225"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Das, B., Ghosh, T., &amp; Gangopadhyay, S. (2013). Child Work in Agriculture in West Bengal, India: Assessment of Musculoskeletal Disorders and Occupational Health Problems. </w:t>
      </w:r>
      <w:r w:rsidRPr="00457DE9">
        <w:rPr>
          <w:rFonts w:ascii="Calibri" w:hAnsi="Calibri" w:cs="Calibri"/>
          <w:i/>
          <w:iCs/>
          <w:noProof/>
          <w:szCs w:val="24"/>
        </w:rPr>
        <w:t>Journal of Occupational Health</w:t>
      </w:r>
      <w:r w:rsidRPr="00457DE9">
        <w:rPr>
          <w:rFonts w:ascii="Calibri" w:hAnsi="Calibri" w:cs="Calibri"/>
          <w:noProof/>
          <w:szCs w:val="24"/>
        </w:rPr>
        <w:t xml:space="preserve">, </w:t>
      </w:r>
      <w:r w:rsidRPr="00457DE9">
        <w:rPr>
          <w:rFonts w:ascii="Calibri" w:hAnsi="Calibri" w:cs="Calibri"/>
          <w:i/>
          <w:iCs/>
          <w:noProof/>
          <w:szCs w:val="24"/>
        </w:rPr>
        <w:t>55</w:t>
      </w:r>
      <w:r w:rsidRPr="00457DE9">
        <w:rPr>
          <w:rFonts w:ascii="Calibri" w:hAnsi="Calibri" w:cs="Calibri"/>
          <w:noProof/>
          <w:szCs w:val="24"/>
        </w:rPr>
        <w:t>(4), 244–258. https://doi.org/10.1539/joh.12-0185-OA</w:t>
      </w:r>
    </w:p>
    <w:p w14:paraId="7E200100"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lower back. </w:t>
      </w:r>
      <w:r w:rsidRPr="00457DE9">
        <w:rPr>
          <w:rFonts w:ascii="Calibri" w:hAnsi="Calibri" w:cs="Calibri"/>
          <w:i/>
          <w:iCs/>
          <w:noProof/>
          <w:szCs w:val="24"/>
        </w:rPr>
        <w:t>Clinical Biomechanics</w:t>
      </w:r>
      <w:r w:rsidRPr="00457DE9">
        <w:rPr>
          <w:rFonts w:ascii="Calibri" w:hAnsi="Calibri" w:cs="Calibri"/>
          <w:noProof/>
          <w:szCs w:val="24"/>
        </w:rPr>
        <w:t xml:space="preserve">, </w:t>
      </w:r>
      <w:r w:rsidRPr="00457DE9">
        <w:rPr>
          <w:rFonts w:ascii="Calibri" w:hAnsi="Calibri" w:cs="Calibri"/>
          <w:i/>
          <w:iCs/>
          <w:noProof/>
          <w:szCs w:val="24"/>
        </w:rPr>
        <w:t>14</w:t>
      </w:r>
      <w:r w:rsidRPr="00457DE9">
        <w:rPr>
          <w:rFonts w:ascii="Calibri" w:hAnsi="Calibri" w:cs="Calibri"/>
          <w:noProof/>
          <w:szCs w:val="24"/>
        </w:rPr>
        <w:t>(2), 103–111. https://doi.org/10.1016/S0268-0033(98)00053-9</w:t>
      </w:r>
    </w:p>
    <w:p w14:paraId="2CD35BDB"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Dewi, N. S., &amp; Komatsuzaki, M. (2018). On-body personal assist suit for commercial farming: Effect on heart rate, EMG, trunk movements, and user acceptance during digging. </w:t>
      </w:r>
      <w:r w:rsidRPr="00457DE9">
        <w:rPr>
          <w:rFonts w:ascii="Calibri" w:hAnsi="Calibri" w:cs="Calibri"/>
          <w:i/>
          <w:iCs/>
          <w:noProof/>
          <w:szCs w:val="24"/>
        </w:rPr>
        <w:t>International Journal of Industrial Ergonomics</w:t>
      </w:r>
      <w:r w:rsidRPr="00457DE9">
        <w:rPr>
          <w:rFonts w:ascii="Calibri" w:hAnsi="Calibri" w:cs="Calibri"/>
          <w:noProof/>
          <w:szCs w:val="24"/>
        </w:rPr>
        <w:t xml:space="preserve">, </w:t>
      </w:r>
      <w:r w:rsidRPr="00457DE9">
        <w:rPr>
          <w:rFonts w:ascii="Calibri" w:hAnsi="Calibri" w:cs="Calibri"/>
          <w:i/>
          <w:iCs/>
          <w:noProof/>
          <w:szCs w:val="24"/>
        </w:rPr>
        <w:t>68</w:t>
      </w:r>
      <w:r w:rsidRPr="00457DE9">
        <w:rPr>
          <w:rFonts w:ascii="Calibri" w:hAnsi="Calibri" w:cs="Calibri"/>
          <w:noProof/>
          <w:szCs w:val="24"/>
        </w:rPr>
        <w:t>, 290–296. https://doi.org/10.1016/j.ergon.2018.08.013</w:t>
      </w:r>
    </w:p>
    <w:p w14:paraId="4377A7F7"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Douphrate, D. I., Fethke, N. B., Nonnenmann, M. W., Rodriguez, A., Hagevoort, R., &amp; Gimeno Ruiz de Porras, D. (2017). Full-shift and task-specific upper extremity muscle activity among US large-herd dairy parlour workers. </w:t>
      </w:r>
      <w:r w:rsidRPr="00457DE9">
        <w:rPr>
          <w:rFonts w:ascii="Calibri" w:hAnsi="Calibri" w:cs="Calibri"/>
          <w:i/>
          <w:iCs/>
          <w:noProof/>
          <w:szCs w:val="24"/>
        </w:rPr>
        <w:t>Ergonomics</w:t>
      </w:r>
      <w:r w:rsidRPr="00457DE9">
        <w:rPr>
          <w:rFonts w:ascii="Calibri" w:hAnsi="Calibri" w:cs="Calibri"/>
          <w:noProof/>
          <w:szCs w:val="24"/>
        </w:rPr>
        <w:t>. https://doi.org/10.1080/00140139.2016.1262464</w:t>
      </w:r>
    </w:p>
    <w:p w14:paraId="60738C8A"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457DE9">
        <w:rPr>
          <w:rFonts w:ascii="Calibri" w:hAnsi="Calibri" w:cs="Calibri"/>
          <w:i/>
          <w:iCs/>
          <w:noProof/>
          <w:szCs w:val="24"/>
        </w:rPr>
        <w:t>Journal of Human Kinetics</w:t>
      </w:r>
      <w:r w:rsidRPr="00457DE9">
        <w:rPr>
          <w:rFonts w:ascii="Calibri" w:hAnsi="Calibri" w:cs="Calibri"/>
          <w:noProof/>
          <w:szCs w:val="24"/>
        </w:rPr>
        <w:t xml:space="preserve">, </w:t>
      </w:r>
      <w:r w:rsidRPr="00457DE9">
        <w:rPr>
          <w:rFonts w:ascii="Calibri" w:hAnsi="Calibri" w:cs="Calibri"/>
          <w:i/>
          <w:iCs/>
          <w:noProof/>
          <w:szCs w:val="24"/>
        </w:rPr>
        <w:t>81</w:t>
      </w:r>
      <w:r w:rsidRPr="00457DE9">
        <w:rPr>
          <w:rFonts w:ascii="Calibri" w:hAnsi="Calibri" w:cs="Calibri"/>
          <w:noProof/>
          <w:szCs w:val="24"/>
        </w:rPr>
        <w:t>(1), 41–52. https://doi.org/10.2478/hukin-2022-0004</w:t>
      </w:r>
    </w:p>
    <w:p w14:paraId="4BE373DB"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457DE9">
        <w:rPr>
          <w:rFonts w:ascii="Calibri" w:hAnsi="Calibri" w:cs="Calibri"/>
          <w:i/>
          <w:iCs/>
          <w:noProof/>
          <w:szCs w:val="24"/>
        </w:rPr>
        <w:t>Journal of Occupational and Environmental Hygiene</w:t>
      </w:r>
      <w:r w:rsidRPr="00457DE9">
        <w:rPr>
          <w:rFonts w:ascii="Calibri" w:hAnsi="Calibri" w:cs="Calibri"/>
          <w:noProof/>
          <w:szCs w:val="24"/>
        </w:rPr>
        <w:t xml:space="preserve">, </w:t>
      </w:r>
      <w:r w:rsidRPr="00457DE9">
        <w:rPr>
          <w:rFonts w:ascii="Calibri" w:hAnsi="Calibri" w:cs="Calibri"/>
          <w:i/>
          <w:iCs/>
          <w:noProof/>
          <w:szCs w:val="24"/>
        </w:rPr>
        <w:t>17</w:t>
      </w:r>
      <w:r w:rsidRPr="00457DE9">
        <w:rPr>
          <w:rFonts w:ascii="Calibri" w:hAnsi="Calibri" w:cs="Calibri"/>
          <w:noProof/>
          <w:szCs w:val="24"/>
        </w:rPr>
        <w:t>(2–3), 85–96. https://doi.org/10.1080/15459624.2020.1717502</w:t>
      </w:r>
    </w:p>
    <w:p w14:paraId="6FE07DB6"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Groenesteijn, L., Eikhout, S. M., &amp; Vink, P. (2004). One set of pliers for more tasks in installation work: the effects on (dis)comfort and productivity. </w:t>
      </w:r>
      <w:r w:rsidRPr="00457DE9">
        <w:rPr>
          <w:rFonts w:ascii="Calibri" w:hAnsi="Calibri" w:cs="Calibri"/>
          <w:i/>
          <w:iCs/>
          <w:noProof/>
          <w:szCs w:val="24"/>
        </w:rPr>
        <w:t>Applied Ergonomics</w:t>
      </w:r>
      <w:r w:rsidRPr="00457DE9">
        <w:rPr>
          <w:rFonts w:ascii="Calibri" w:hAnsi="Calibri" w:cs="Calibri"/>
          <w:noProof/>
          <w:szCs w:val="24"/>
        </w:rPr>
        <w:t xml:space="preserve">, </w:t>
      </w:r>
      <w:r w:rsidRPr="00457DE9">
        <w:rPr>
          <w:rFonts w:ascii="Calibri" w:hAnsi="Calibri" w:cs="Calibri"/>
          <w:i/>
          <w:iCs/>
          <w:noProof/>
          <w:szCs w:val="24"/>
        </w:rPr>
        <w:t>35</w:t>
      </w:r>
      <w:r w:rsidRPr="00457DE9">
        <w:rPr>
          <w:rFonts w:ascii="Calibri" w:hAnsi="Calibri" w:cs="Calibri"/>
          <w:noProof/>
          <w:szCs w:val="24"/>
        </w:rPr>
        <w:t>(5), 485–492. https://doi.org/10.1016/j.apergo.2004.03.010</w:t>
      </w:r>
    </w:p>
    <w:p w14:paraId="12439134"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457DE9">
        <w:rPr>
          <w:rFonts w:ascii="Calibri" w:hAnsi="Calibri" w:cs="Calibri"/>
          <w:i/>
          <w:iCs/>
          <w:noProof/>
          <w:szCs w:val="24"/>
        </w:rPr>
        <w:t>Science &amp; Sports</w:t>
      </w:r>
      <w:r w:rsidRPr="00457DE9">
        <w:rPr>
          <w:rFonts w:ascii="Calibri" w:hAnsi="Calibri" w:cs="Calibri"/>
          <w:noProof/>
          <w:szCs w:val="24"/>
        </w:rPr>
        <w:t xml:space="preserve">, </w:t>
      </w:r>
      <w:r w:rsidRPr="00457DE9">
        <w:rPr>
          <w:rFonts w:ascii="Calibri" w:hAnsi="Calibri" w:cs="Calibri"/>
          <w:i/>
          <w:iCs/>
          <w:noProof/>
          <w:szCs w:val="24"/>
        </w:rPr>
        <w:t>28</w:t>
      </w:r>
      <w:r w:rsidRPr="00457DE9">
        <w:rPr>
          <w:rFonts w:ascii="Calibri" w:hAnsi="Calibri" w:cs="Calibri"/>
          <w:noProof/>
          <w:szCs w:val="24"/>
        </w:rPr>
        <w:t>(2), e29–e35. https://doi.org/10.1016/j.scispo.2012.07.008</w:t>
      </w:r>
    </w:p>
    <w:p w14:paraId="45262286"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Hägg, G. M., Luttmann, A., &amp; Jäger, M. (2000). Methodologies for evaluating electromyographic field data in ergonomics. </w:t>
      </w:r>
      <w:r w:rsidRPr="00457DE9">
        <w:rPr>
          <w:rFonts w:ascii="Calibri" w:hAnsi="Calibri" w:cs="Calibri"/>
          <w:i/>
          <w:iCs/>
          <w:noProof/>
          <w:szCs w:val="24"/>
        </w:rPr>
        <w:t>Journal of Electromyography and Kinesiology</w:t>
      </w:r>
      <w:r w:rsidRPr="00457DE9">
        <w:rPr>
          <w:rFonts w:ascii="Calibri" w:hAnsi="Calibri" w:cs="Calibri"/>
          <w:noProof/>
          <w:szCs w:val="24"/>
        </w:rPr>
        <w:t xml:space="preserve">, </w:t>
      </w:r>
      <w:r w:rsidRPr="00457DE9">
        <w:rPr>
          <w:rFonts w:ascii="Calibri" w:hAnsi="Calibri" w:cs="Calibri"/>
          <w:i/>
          <w:iCs/>
          <w:noProof/>
          <w:szCs w:val="24"/>
        </w:rPr>
        <w:t>10</w:t>
      </w:r>
      <w:r w:rsidRPr="00457DE9">
        <w:rPr>
          <w:rFonts w:ascii="Calibri" w:hAnsi="Calibri" w:cs="Calibri"/>
          <w:noProof/>
          <w:szCs w:val="24"/>
        </w:rPr>
        <w:t>(5), 301–312. https://doi.org/10.1016/S1050-6411(00)00022-5</w:t>
      </w:r>
    </w:p>
    <w:p w14:paraId="63075614"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Haskel, W. L., Lee, I.-M., Pate, R. R., Powell, K. E., Blair, S. N., Franklin, B. A., Macera, C. A., Heath, G. W., Thompson, P. D., &amp; Bauman, A. (2007). Physical Activity and Public Health. </w:t>
      </w:r>
      <w:r w:rsidRPr="00457DE9">
        <w:rPr>
          <w:rFonts w:ascii="Calibri" w:hAnsi="Calibri" w:cs="Calibri"/>
          <w:i/>
          <w:iCs/>
          <w:noProof/>
          <w:szCs w:val="24"/>
        </w:rPr>
        <w:t>Medicine &amp; Science in Sports &amp; Exercise</w:t>
      </w:r>
      <w:r w:rsidRPr="00457DE9">
        <w:rPr>
          <w:rFonts w:ascii="Calibri" w:hAnsi="Calibri" w:cs="Calibri"/>
          <w:noProof/>
          <w:szCs w:val="24"/>
        </w:rPr>
        <w:t xml:space="preserve">, </w:t>
      </w:r>
      <w:r w:rsidRPr="00457DE9">
        <w:rPr>
          <w:rFonts w:ascii="Calibri" w:hAnsi="Calibri" w:cs="Calibri"/>
          <w:i/>
          <w:iCs/>
          <w:noProof/>
          <w:szCs w:val="24"/>
        </w:rPr>
        <w:t>39</w:t>
      </w:r>
      <w:r w:rsidRPr="00457DE9">
        <w:rPr>
          <w:rFonts w:ascii="Calibri" w:hAnsi="Calibri" w:cs="Calibri"/>
          <w:noProof/>
          <w:szCs w:val="24"/>
        </w:rPr>
        <w:t>(8), 1423–1434. https://doi.org/10.1249/mss.0b013e3180616b27</w:t>
      </w:r>
    </w:p>
    <w:p w14:paraId="2B7E3095"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Hiilloskorpi, Fogelholm, Laukkanen, Pasanen, Oja, Mänttäri, &amp; Natri. (1999). Factors Affecting the Relation Between Heart Rate and Energy Expenditure During Exercise. </w:t>
      </w:r>
      <w:r w:rsidRPr="00457DE9">
        <w:rPr>
          <w:rFonts w:ascii="Calibri" w:hAnsi="Calibri" w:cs="Calibri"/>
          <w:i/>
          <w:iCs/>
          <w:noProof/>
          <w:szCs w:val="24"/>
        </w:rPr>
        <w:t>International Journal of Sports Medicine</w:t>
      </w:r>
      <w:r w:rsidRPr="00457DE9">
        <w:rPr>
          <w:rFonts w:ascii="Calibri" w:hAnsi="Calibri" w:cs="Calibri"/>
          <w:noProof/>
          <w:szCs w:val="24"/>
        </w:rPr>
        <w:t xml:space="preserve">, </w:t>
      </w:r>
      <w:r w:rsidRPr="00457DE9">
        <w:rPr>
          <w:rFonts w:ascii="Calibri" w:hAnsi="Calibri" w:cs="Calibri"/>
          <w:i/>
          <w:iCs/>
          <w:noProof/>
          <w:szCs w:val="24"/>
        </w:rPr>
        <w:t>20</w:t>
      </w:r>
      <w:r w:rsidRPr="00457DE9">
        <w:rPr>
          <w:rFonts w:ascii="Calibri" w:hAnsi="Calibri" w:cs="Calibri"/>
          <w:noProof/>
          <w:szCs w:val="24"/>
        </w:rPr>
        <w:t>(7), 438–443. https://doi.org/10.1055/s-1999-8829</w:t>
      </w:r>
    </w:p>
    <w:p w14:paraId="231A8C83"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Huang, D.-H., &amp; Chiou, W.-K. (2013). Validation of a facial pictorial rating of perceived exertion scale for evaluating physical tasks. </w:t>
      </w:r>
      <w:r w:rsidRPr="00457DE9">
        <w:rPr>
          <w:rFonts w:ascii="Calibri" w:hAnsi="Calibri" w:cs="Calibri"/>
          <w:i/>
          <w:iCs/>
          <w:noProof/>
          <w:szCs w:val="24"/>
        </w:rPr>
        <w:t>Journal of Industrial and Production Engineering</w:t>
      </w:r>
      <w:r w:rsidRPr="00457DE9">
        <w:rPr>
          <w:rFonts w:ascii="Calibri" w:hAnsi="Calibri" w:cs="Calibri"/>
          <w:noProof/>
          <w:szCs w:val="24"/>
        </w:rPr>
        <w:t xml:space="preserve">, </w:t>
      </w:r>
      <w:r w:rsidRPr="00457DE9">
        <w:rPr>
          <w:rFonts w:ascii="Calibri" w:hAnsi="Calibri" w:cs="Calibri"/>
          <w:i/>
          <w:iCs/>
          <w:noProof/>
          <w:szCs w:val="24"/>
        </w:rPr>
        <w:t>30</w:t>
      </w:r>
      <w:r w:rsidRPr="00457DE9">
        <w:rPr>
          <w:rFonts w:ascii="Calibri" w:hAnsi="Calibri" w:cs="Calibri"/>
          <w:noProof/>
          <w:szCs w:val="24"/>
        </w:rPr>
        <w:t>(2), 125–131. https://doi.org/10.1080/21681015.2013.788079</w:t>
      </w:r>
    </w:p>
    <w:p w14:paraId="4C8D42E6"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457DE9">
        <w:rPr>
          <w:rFonts w:ascii="Calibri" w:hAnsi="Calibri" w:cs="Calibri"/>
          <w:i/>
          <w:iCs/>
          <w:noProof/>
          <w:szCs w:val="24"/>
        </w:rPr>
        <w:t>European Journal of Applied Physiology</w:t>
      </w:r>
      <w:r w:rsidRPr="00457DE9">
        <w:rPr>
          <w:rFonts w:ascii="Calibri" w:hAnsi="Calibri" w:cs="Calibri"/>
          <w:noProof/>
          <w:szCs w:val="24"/>
        </w:rPr>
        <w:t xml:space="preserve">, </w:t>
      </w:r>
      <w:r w:rsidRPr="00457DE9">
        <w:rPr>
          <w:rFonts w:ascii="Calibri" w:hAnsi="Calibri" w:cs="Calibri"/>
          <w:i/>
          <w:iCs/>
          <w:noProof/>
          <w:szCs w:val="24"/>
        </w:rPr>
        <w:t>95</w:t>
      </w:r>
      <w:r w:rsidRPr="00457DE9">
        <w:rPr>
          <w:rFonts w:ascii="Calibri" w:hAnsi="Calibri" w:cs="Calibri"/>
          <w:noProof/>
          <w:szCs w:val="24"/>
        </w:rPr>
        <w:t>(4), 321–326. https://doi.org/10.1007/s00421-005-0014-7</w:t>
      </w:r>
    </w:p>
    <w:p w14:paraId="624C4C11"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457DE9">
        <w:rPr>
          <w:rFonts w:ascii="Calibri" w:hAnsi="Calibri" w:cs="Calibri"/>
          <w:i/>
          <w:iCs/>
          <w:noProof/>
          <w:szCs w:val="24"/>
        </w:rPr>
        <w:t>European Journal of Applied Physiology</w:t>
      </w:r>
      <w:r w:rsidRPr="00457DE9">
        <w:rPr>
          <w:rFonts w:ascii="Calibri" w:hAnsi="Calibri" w:cs="Calibri"/>
          <w:noProof/>
          <w:szCs w:val="24"/>
        </w:rPr>
        <w:t xml:space="preserve">, </w:t>
      </w:r>
      <w:r w:rsidRPr="00457DE9">
        <w:rPr>
          <w:rFonts w:ascii="Calibri" w:hAnsi="Calibri" w:cs="Calibri"/>
          <w:i/>
          <w:iCs/>
          <w:noProof/>
          <w:szCs w:val="24"/>
        </w:rPr>
        <w:t>76</w:t>
      </w:r>
      <w:r w:rsidRPr="00457DE9">
        <w:rPr>
          <w:rFonts w:ascii="Calibri" w:hAnsi="Calibri" w:cs="Calibri"/>
          <w:noProof/>
          <w:szCs w:val="24"/>
        </w:rPr>
        <w:t>(3), 236–242. https://doi.org/10.1007/s004210050242</w:t>
      </w:r>
    </w:p>
    <w:p w14:paraId="240F1234"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Keytel, L. R., Goedecke, J. H., Noakes, T. D., Hiiloskorpi, H., Laukkanen, R., van der Merwe, L., &amp; Lambert, E. V. (2005). Prediction of energy expenditure from heart rate monitoring during submaximal exercise. </w:t>
      </w:r>
      <w:r w:rsidRPr="00457DE9">
        <w:rPr>
          <w:rFonts w:ascii="Calibri" w:hAnsi="Calibri" w:cs="Calibri"/>
          <w:i/>
          <w:iCs/>
          <w:noProof/>
          <w:szCs w:val="24"/>
        </w:rPr>
        <w:t>Journal of Sports Sciences</w:t>
      </w:r>
      <w:r w:rsidRPr="00457DE9">
        <w:rPr>
          <w:rFonts w:ascii="Calibri" w:hAnsi="Calibri" w:cs="Calibri"/>
          <w:noProof/>
          <w:szCs w:val="24"/>
        </w:rPr>
        <w:t>. https://doi.org/10.1080/02640410470001730089</w:t>
      </w:r>
    </w:p>
    <w:p w14:paraId="713A0930"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Kim, J. H., Aulck, L., Thamsuwan, O., Bartha, M. C., &amp; Johnson, P. W. (2014). The effect of key size of touch screen virtual keyboards on productivity, usability, and typing biomechanics. </w:t>
      </w:r>
      <w:r w:rsidRPr="00457DE9">
        <w:rPr>
          <w:rFonts w:ascii="Calibri" w:hAnsi="Calibri" w:cs="Calibri"/>
          <w:i/>
          <w:iCs/>
          <w:noProof/>
          <w:szCs w:val="24"/>
        </w:rPr>
        <w:t>Human Factors</w:t>
      </w:r>
      <w:r w:rsidRPr="00457DE9">
        <w:rPr>
          <w:rFonts w:ascii="Calibri" w:hAnsi="Calibri" w:cs="Calibri"/>
          <w:noProof/>
          <w:szCs w:val="24"/>
        </w:rPr>
        <w:t xml:space="preserve">, </w:t>
      </w:r>
      <w:r w:rsidRPr="00457DE9">
        <w:rPr>
          <w:rFonts w:ascii="Calibri" w:hAnsi="Calibri" w:cs="Calibri"/>
          <w:i/>
          <w:iCs/>
          <w:noProof/>
          <w:szCs w:val="24"/>
        </w:rPr>
        <w:t>56</w:t>
      </w:r>
      <w:r w:rsidRPr="00457DE9">
        <w:rPr>
          <w:rFonts w:ascii="Calibri" w:hAnsi="Calibri" w:cs="Calibri"/>
          <w:noProof/>
          <w:szCs w:val="24"/>
        </w:rPr>
        <w:t>(7), 1235–1248. https://doi.org/10.1177/0018720814531784</w:t>
      </w:r>
    </w:p>
    <w:p w14:paraId="5A7F6E65"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Kim, J. H., Aulck, L., Thamsuwan, O., Bartha, M. C., &amp; Johnson, P. W. (2013). The effects of virtual keyboard key sizes on typing productivity and physical exposures. </w:t>
      </w:r>
      <w:r w:rsidRPr="00457DE9">
        <w:rPr>
          <w:rFonts w:ascii="Calibri" w:hAnsi="Calibri" w:cs="Calibri"/>
          <w:i/>
          <w:iCs/>
          <w:noProof/>
          <w:szCs w:val="24"/>
        </w:rPr>
        <w:t>Proceedings of the Human Factors and Ergonomics Society</w:t>
      </w:r>
      <w:r w:rsidRPr="00457DE9">
        <w:rPr>
          <w:rFonts w:ascii="Calibri" w:hAnsi="Calibri" w:cs="Calibri"/>
          <w:noProof/>
          <w:szCs w:val="24"/>
        </w:rPr>
        <w:t>, 887–891. https://doi.org/10.1177/1541931213571193</w:t>
      </w:r>
    </w:p>
    <w:p w14:paraId="65BB118C"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457DE9">
        <w:rPr>
          <w:rFonts w:ascii="Calibri" w:hAnsi="Calibri" w:cs="Calibri"/>
          <w:i/>
          <w:iCs/>
          <w:noProof/>
          <w:szCs w:val="24"/>
        </w:rPr>
        <w:t>Applied Ergonomics</w:t>
      </w:r>
      <w:r w:rsidRPr="00457DE9">
        <w:rPr>
          <w:rFonts w:ascii="Calibri" w:hAnsi="Calibri" w:cs="Calibri"/>
          <w:noProof/>
          <w:szCs w:val="24"/>
        </w:rPr>
        <w:t xml:space="preserve">, </w:t>
      </w:r>
      <w:r w:rsidRPr="00457DE9">
        <w:rPr>
          <w:rFonts w:ascii="Calibri" w:hAnsi="Calibri" w:cs="Calibri"/>
          <w:i/>
          <w:iCs/>
          <w:noProof/>
          <w:szCs w:val="24"/>
        </w:rPr>
        <w:t>38</w:t>
      </w:r>
      <w:r w:rsidRPr="00457DE9">
        <w:rPr>
          <w:rFonts w:ascii="Calibri" w:hAnsi="Calibri" w:cs="Calibri"/>
          <w:noProof/>
          <w:szCs w:val="24"/>
        </w:rPr>
        <w:t>(5), 643–654. https://doi.org/10.1016/j.apergo.2006.05.004</w:t>
      </w:r>
    </w:p>
    <w:p w14:paraId="549D2789"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Kung, S. M., Fink, P. W., Legg, S. J., Ali, A., &amp; Shultz, S. P. (2020). Age-Related Differences in Perceived Exertion While Walking and Running Near the Preferred Transition Speed. </w:t>
      </w:r>
      <w:r w:rsidRPr="00457DE9">
        <w:rPr>
          <w:rFonts w:ascii="Calibri" w:hAnsi="Calibri" w:cs="Calibri"/>
          <w:i/>
          <w:iCs/>
          <w:noProof/>
          <w:szCs w:val="24"/>
        </w:rPr>
        <w:t>Pediatric Exercise Science</w:t>
      </w:r>
      <w:r w:rsidRPr="00457DE9">
        <w:rPr>
          <w:rFonts w:ascii="Calibri" w:hAnsi="Calibri" w:cs="Calibri"/>
          <w:noProof/>
          <w:szCs w:val="24"/>
        </w:rPr>
        <w:t xml:space="preserve">, </w:t>
      </w:r>
      <w:r w:rsidRPr="00457DE9">
        <w:rPr>
          <w:rFonts w:ascii="Calibri" w:hAnsi="Calibri" w:cs="Calibri"/>
          <w:i/>
          <w:iCs/>
          <w:noProof/>
          <w:szCs w:val="24"/>
        </w:rPr>
        <w:t>32</w:t>
      </w:r>
      <w:r w:rsidRPr="00457DE9">
        <w:rPr>
          <w:rFonts w:ascii="Calibri" w:hAnsi="Calibri" w:cs="Calibri"/>
          <w:noProof/>
          <w:szCs w:val="24"/>
        </w:rPr>
        <w:t>(4), 227–232. https://doi.org/10.1123/pes.2019-0233</w:t>
      </w:r>
    </w:p>
    <w:p w14:paraId="2C02A064"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457DE9">
        <w:rPr>
          <w:rFonts w:ascii="Calibri" w:hAnsi="Calibri" w:cs="Calibri"/>
          <w:i/>
          <w:iCs/>
          <w:noProof/>
          <w:szCs w:val="24"/>
        </w:rPr>
        <w:t>Sports Medicine - Open</w:t>
      </w:r>
      <w:r w:rsidRPr="00457DE9">
        <w:rPr>
          <w:rFonts w:ascii="Calibri" w:hAnsi="Calibri" w:cs="Calibri"/>
          <w:noProof/>
          <w:szCs w:val="24"/>
        </w:rPr>
        <w:t xml:space="preserve">, </w:t>
      </w:r>
      <w:r w:rsidRPr="00457DE9">
        <w:rPr>
          <w:rFonts w:ascii="Calibri" w:hAnsi="Calibri" w:cs="Calibri"/>
          <w:i/>
          <w:iCs/>
          <w:noProof/>
          <w:szCs w:val="24"/>
        </w:rPr>
        <w:t>8</w:t>
      </w:r>
      <w:r w:rsidRPr="00457DE9">
        <w:rPr>
          <w:rFonts w:ascii="Calibri" w:hAnsi="Calibri" w:cs="Calibri"/>
          <w:noProof/>
          <w:szCs w:val="24"/>
        </w:rPr>
        <w:t>(1), 2. https://doi.org/10.1186/s40798-021-00386-8</w:t>
      </w:r>
    </w:p>
    <w:p w14:paraId="7BCFEC33"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Leung, R. W., Leung, M.-L., &amp; Chung, P.-K. (2004). Validity and Reliability of a Cantonese-Translated Rating of Perceived Exertion Scale among Hong Kong Adults. </w:t>
      </w:r>
      <w:r w:rsidRPr="00457DE9">
        <w:rPr>
          <w:rFonts w:ascii="Calibri" w:hAnsi="Calibri" w:cs="Calibri"/>
          <w:i/>
          <w:iCs/>
          <w:noProof/>
          <w:szCs w:val="24"/>
        </w:rPr>
        <w:t>Perceptual and Motor Skills</w:t>
      </w:r>
      <w:r w:rsidRPr="00457DE9">
        <w:rPr>
          <w:rFonts w:ascii="Calibri" w:hAnsi="Calibri" w:cs="Calibri"/>
          <w:noProof/>
          <w:szCs w:val="24"/>
        </w:rPr>
        <w:t xml:space="preserve">, </w:t>
      </w:r>
      <w:r w:rsidRPr="00457DE9">
        <w:rPr>
          <w:rFonts w:ascii="Calibri" w:hAnsi="Calibri" w:cs="Calibri"/>
          <w:i/>
          <w:iCs/>
          <w:noProof/>
          <w:szCs w:val="24"/>
        </w:rPr>
        <w:t>98</w:t>
      </w:r>
      <w:r w:rsidRPr="00457DE9">
        <w:rPr>
          <w:rFonts w:ascii="Calibri" w:hAnsi="Calibri" w:cs="Calibri"/>
          <w:noProof/>
          <w:szCs w:val="24"/>
        </w:rPr>
        <w:t>(2), 725–735. https://doi.org/10.2466/pms.98.2.725-735</w:t>
      </w:r>
    </w:p>
    <w:p w14:paraId="72A5527E"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Luttmann, A., Jäger, M., &amp; Laurig, W. (2000). Electromyographical indication of muscular fatigue in occupational field studies. </w:t>
      </w:r>
      <w:r w:rsidRPr="00457DE9">
        <w:rPr>
          <w:rFonts w:ascii="Calibri" w:hAnsi="Calibri" w:cs="Calibri"/>
          <w:i/>
          <w:iCs/>
          <w:noProof/>
          <w:szCs w:val="24"/>
        </w:rPr>
        <w:t>International Journal of Industrial Ergonomics</w:t>
      </w:r>
      <w:r w:rsidRPr="00457DE9">
        <w:rPr>
          <w:rFonts w:ascii="Calibri" w:hAnsi="Calibri" w:cs="Calibri"/>
          <w:noProof/>
          <w:szCs w:val="24"/>
        </w:rPr>
        <w:t xml:space="preserve">, </w:t>
      </w:r>
      <w:r w:rsidRPr="00457DE9">
        <w:rPr>
          <w:rFonts w:ascii="Calibri" w:hAnsi="Calibri" w:cs="Calibri"/>
          <w:i/>
          <w:iCs/>
          <w:noProof/>
          <w:szCs w:val="24"/>
        </w:rPr>
        <w:t>25</w:t>
      </w:r>
      <w:r w:rsidRPr="00457DE9">
        <w:rPr>
          <w:rFonts w:ascii="Calibri" w:hAnsi="Calibri" w:cs="Calibri"/>
          <w:noProof/>
          <w:szCs w:val="24"/>
        </w:rPr>
        <w:t>(6), 645–660. https://doi.org/10.1016/S0169-8141(99)00053-0</w:t>
      </w:r>
    </w:p>
    <w:p w14:paraId="4B5A9040"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McCurdy, S. A., Samuels, S. J., Carroll, D. J., Beaumont, J. J., &amp; Morrin, L. A. (2003). Agricultural injury in California migrant Hispanic farm workers. </w:t>
      </w:r>
      <w:r w:rsidRPr="00457DE9">
        <w:rPr>
          <w:rFonts w:ascii="Calibri" w:hAnsi="Calibri" w:cs="Calibri"/>
          <w:i/>
          <w:iCs/>
          <w:noProof/>
          <w:szCs w:val="24"/>
        </w:rPr>
        <w:t>American Journal of Industrial Medicine</w:t>
      </w:r>
      <w:r w:rsidRPr="00457DE9">
        <w:rPr>
          <w:rFonts w:ascii="Calibri" w:hAnsi="Calibri" w:cs="Calibri"/>
          <w:noProof/>
          <w:szCs w:val="24"/>
        </w:rPr>
        <w:t xml:space="preserve">, </w:t>
      </w:r>
      <w:r w:rsidRPr="00457DE9">
        <w:rPr>
          <w:rFonts w:ascii="Calibri" w:hAnsi="Calibri" w:cs="Calibri"/>
          <w:i/>
          <w:iCs/>
          <w:noProof/>
          <w:szCs w:val="24"/>
        </w:rPr>
        <w:t>44</w:t>
      </w:r>
      <w:r w:rsidRPr="00457DE9">
        <w:rPr>
          <w:rFonts w:ascii="Calibri" w:hAnsi="Calibri" w:cs="Calibri"/>
          <w:noProof/>
          <w:szCs w:val="24"/>
        </w:rPr>
        <w:t>, 225–235. https://doi.org/10.1002/ajim.10272</w:t>
      </w:r>
    </w:p>
    <w:p w14:paraId="6C5CD76A"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McGorry, R. W., Lin, J.-H., Dempsey, P. G., &amp; Casey, J. S. (2010). Accuracy of the Borg CR10 Scale for Estimating Grip Forces Associated with Hand Tool Tasks. </w:t>
      </w:r>
      <w:r w:rsidRPr="00457DE9">
        <w:rPr>
          <w:rFonts w:ascii="Calibri" w:hAnsi="Calibri" w:cs="Calibri"/>
          <w:i/>
          <w:iCs/>
          <w:noProof/>
          <w:szCs w:val="24"/>
        </w:rPr>
        <w:t>Journal of Occupational and Environmental Hygiene</w:t>
      </w:r>
      <w:r w:rsidRPr="00457DE9">
        <w:rPr>
          <w:rFonts w:ascii="Calibri" w:hAnsi="Calibri" w:cs="Calibri"/>
          <w:noProof/>
          <w:szCs w:val="24"/>
        </w:rPr>
        <w:t xml:space="preserve">, </w:t>
      </w:r>
      <w:r w:rsidRPr="00457DE9">
        <w:rPr>
          <w:rFonts w:ascii="Calibri" w:hAnsi="Calibri" w:cs="Calibri"/>
          <w:i/>
          <w:iCs/>
          <w:noProof/>
          <w:szCs w:val="24"/>
        </w:rPr>
        <w:t>7</w:t>
      </w:r>
      <w:r w:rsidRPr="00457DE9">
        <w:rPr>
          <w:rFonts w:ascii="Calibri" w:hAnsi="Calibri" w:cs="Calibri"/>
          <w:noProof/>
          <w:szCs w:val="24"/>
        </w:rPr>
        <w:t>(5), 298–306. https://doi.org/10.1080/15459621003711360</w:t>
      </w:r>
    </w:p>
    <w:p w14:paraId="40C0FA7D"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457DE9">
        <w:rPr>
          <w:rFonts w:ascii="Calibri" w:hAnsi="Calibri" w:cs="Calibri"/>
          <w:i/>
          <w:iCs/>
          <w:noProof/>
          <w:szCs w:val="24"/>
        </w:rPr>
        <w:t>BioMedical Engineering OnLine</w:t>
      </w:r>
      <w:r w:rsidRPr="00457DE9">
        <w:rPr>
          <w:rFonts w:ascii="Calibri" w:hAnsi="Calibri" w:cs="Calibri"/>
          <w:noProof/>
          <w:szCs w:val="24"/>
        </w:rPr>
        <w:t xml:space="preserve">, </w:t>
      </w:r>
      <w:r w:rsidRPr="00457DE9">
        <w:rPr>
          <w:rFonts w:ascii="Calibri" w:hAnsi="Calibri" w:cs="Calibri"/>
          <w:i/>
          <w:iCs/>
          <w:noProof/>
          <w:szCs w:val="24"/>
        </w:rPr>
        <w:t>17</w:t>
      </w:r>
      <w:r w:rsidRPr="00457DE9">
        <w:rPr>
          <w:rFonts w:ascii="Calibri" w:hAnsi="Calibri" w:cs="Calibri"/>
          <w:noProof/>
          <w:szCs w:val="24"/>
        </w:rPr>
        <w:t>(1), 100. https://doi.org/10.1186/s12938-018-0532-2</w:t>
      </w:r>
    </w:p>
    <w:p w14:paraId="4656665A"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Öberg, T., SANDSJö, L., &amp; KADEFORS, R. (1994). Subjective and objective evaluation of shoulder muscle fatigue. </w:t>
      </w:r>
      <w:r w:rsidRPr="00457DE9">
        <w:rPr>
          <w:rFonts w:ascii="Calibri" w:hAnsi="Calibri" w:cs="Calibri"/>
          <w:i/>
          <w:iCs/>
          <w:noProof/>
          <w:szCs w:val="24"/>
        </w:rPr>
        <w:t>Ergonomics</w:t>
      </w:r>
      <w:r w:rsidRPr="00457DE9">
        <w:rPr>
          <w:rFonts w:ascii="Calibri" w:hAnsi="Calibri" w:cs="Calibri"/>
          <w:noProof/>
          <w:szCs w:val="24"/>
        </w:rPr>
        <w:t xml:space="preserve">, </w:t>
      </w:r>
      <w:r w:rsidRPr="00457DE9">
        <w:rPr>
          <w:rFonts w:ascii="Calibri" w:hAnsi="Calibri" w:cs="Calibri"/>
          <w:i/>
          <w:iCs/>
          <w:noProof/>
          <w:szCs w:val="24"/>
        </w:rPr>
        <w:t>37</w:t>
      </w:r>
      <w:r w:rsidRPr="00457DE9">
        <w:rPr>
          <w:rFonts w:ascii="Calibri" w:hAnsi="Calibri" w:cs="Calibri"/>
          <w:noProof/>
          <w:szCs w:val="24"/>
        </w:rPr>
        <w:t>(8), 1323–1333. https://doi.org/10.1080/00140139408964911</w:t>
      </w:r>
    </w:p>
    <w:p w14:paraId="7BA15578"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Østensvik, T., Nilsen, P., &amp; Veiersted, K. B. (2008). Muscle Activity Patterns in the Neck and Upper Extremities Among Machine Operators in Different Forest Vehicles. </w:t>
      </w:r>
      <w:r w:rsidRPr="00457DE9">
        <w:rPr>
          <w:rFonts w:ascii="Calibri" w:hAnsi="Calibri" w:cs="Calibri"/>
          <w:i/>
          <w:iCs/>
          <w:noProof/>
          <w:szCs w:val="24"/>
        </w:rPr>
        <w:t>International Journal of Forest Engineering</w:t>
      </w:r>
      <w:r w:rsidRPr="00457DE9">
        <w:rPr>
          <w:rFonts w:ascii="Calibri" w:hAnsi="Calibri" w:cs="Calibri"/>
          <w:noProof/>
          <w:szCs w:val="24"/>
        </w:rPr>
        <w:t xml:space="preserve">, </w:t>
      </w:r>
      <w:r w:rsidRPr="00457DE9">
        <w:rPr>
          <w:rFonts w:ascii="Calibri" w:hAnsi="Calibri" w:cs="Calibri"/>
          <w:i/>
          <w:iCs/>
          <w:noProof/>
          <w:szCs w:val="24"/>
        </w:rPr>
        <w:t>19</w:t>
      </w:r>
      <w:r w:rsidRPr="00457DE9">
        <w:rPr>
          <w:rFonts w:ascii="Calibri" w:hAnsi="Calibri" w:cs="Calibri"/>
          <w:noProof/>
          <w:szCs w:val="24"/>
        </w:rPr>
        <w:t>(2), 11–20. https://doi.org/10.1080/14942119.2008.10702563</w:t>
      </w:r>
    </w:p>
    <w:p w14:paraId="7758E76F"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Panikkar, B., &amp; Barrett, M.-K. (2021). Precarious Essential Work, Immigrant Dairy Farmworkers, and Occupational Health Experiences in Vermont. </w:t>
      </w:r>
      <w:r w:rsidRPr="00457DE9">
        <w:rPr>
          <w:rFonts w:ascii="Calibri" w:hAnsi="Calibri" w:cs="Calibri"/>
          <w:i/>
          <w:iCs/>
          <w:noProof/>
          <w:szCs w:val="24"/>
        </w:rPr>
        <w:t>International Journal of Environmental Research and Public Health</w:t>
      </w:r>
      <w:r w:rsidRPr="00457DE9">
        <w:rPr>
          <w:rFonts w:ascii="Calibri" w:hAnsi="Calibri" w:cs="Calibri"/>
          <w:noProof/>
          <w:szCs w:val="24"/>
        </w:rPr>
        <w:t xml:space="preserve">, </w:t>
      </w:r>
      <w:r w:rsidRPr="00457DE9">
        <w:rPr>
          <w:rFonts w:ascii="Calibri" w:hAnsi="Calibri" w:cs="Calibri"/>
          <w:i/>
          <w:iCs/>
          <w:noProof/>
          <w:szCs w:val="24"/>
        </w:rPr>
        <w:t>18</w:t>
      </w:r>
      <w:r w:rsidRPr="00457DE9">
        <w:rPr>
          <w:rFonts w:ascii="Calibri" w:hAnsi="Calibri" w:cs="Calibri"/>
          <w:noProof/>
          <w:szCs w:val="24"/>
        </w:rPr>
        <w:t>(7), 3675. https://doi.org/10.3390/ijerph18073675</w:t>
      </w:r>
    </w:p>
    <w:p w14:paraId="28B37D7E"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Reid, A., &amp; Schenker, M. B. (2016). Hired farmworkers in the US: Demographics, work organisation, and services. </w:t>
      </w:r>
      <w:r w:rsidRPr="00457DE9">
        <w:rPr>
          <w:rFonts w:ascii="Calibri" w:hAnsi="Calibri" w:cs="Calibri"/>
          <w:i/>
          <w:iCs/>
          <w:noProof/>
          <w:szCs w:val="24"/>
        </w:rPr>
        <w:t>American Journal of Industrial Medicine</w:t>
      </w:r>
      <w:r w:rsidRPr="00457DE9">
        <w:rPr>
          <w:rFonts w:ascii="Calibri" w:hAnsi="Calibri" w:cs="Calibri"/>
          <w:noProof/>
          <w:szCs w:val="24"/>
        </w:rPr>
        <w:t xml:space="preserve">, </w:t>
      </w:r>
      <w:r w:rsidRPr="00457DE9">
        <w:rPr>
          <w:rFonts w:ascii="Calibri" w:hAnsi="Calibri" w:cs="Calibri"/>
          <w:i/>
          <w:iCs/>
          <w:noProof/>
          <w:szCs w:val="24"/>
        </w:rPr>
        <w:t>59</w:t>
      </w:r>
      <w:r w:rsidRPr="00457DE9">
        <w:rPr>
          <w:rFonts w:ascii="Calibri" w:hAnsi="Calibri" w:cs="Calibri"/>
          <w:noProof/>
          <w:szCs w:val="24"/>
        </w:rPr>
        <w:t>(8), 644–655. https://doi.org/10.1002/ajim.22613</w:t>
      </w:r>
    </w:p>
    <w:p w14:paraId="08E22178"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Sahu, S., Sett, M., &amp; Kjellstrom, T. (2013). Heat Exposure, Cardiovascular Stress and Work Productivity in Rice Harvesters in India: Implications for a Climate Change Future. </w:t>
      </w:r>
      <w:r w:rsidRPr="00457DE9">
        <w:rPr>
          <w:rFonts w:ascii="Calibri" w:hAnsi="Calibri" w:cs="Calibri"/>
          <w:i/>
          <w:iCs/>
          <w:noProof/>
          <w:szCs w:val="24"/>
        </w:rPr>
        <w:t>Industrial Health</w:t>
      </w:r>
      <w:r w:rsidRPr="00457DE9">
        <w:rPr>
          <w:rFonts w:ascii="Calibri" w:hAnsi="Calibri" w:cs="Calibri"/>
          <w:noProof/>
          <w:szCs w:val="24"/>
        </w:rPr>
        <w:t xml:space="preserve">, </w:t>
      </w:r>
      <w:r w:rsidRPr="00457DE9">
        <w:rPr>
          <w:rFonts w:ascii="Calibri" w:hAnsi="Calibri" w:cs="Calibri"/>
          <w:i/>
          <w:iCs/>
          <w:noProof/>
          <w:szCs w:val="24"/>
        </w:rPr>
        <w:t>51</w:t>
      </w:r>
      <w:r w:rsidRPr="00457DE9">
        <w:rPr>
          <w:rFonts w:ascii="Calibri" w:hAnsi="Calibri" w:cs="Calibri"/>
          <w:noProof/>
          <w:szCs w:val="24"/>
        </w:rPr>
        <w:t>(4), 424–431. https://doi.org/10.2486/indhealth.2013-0006</w:t>
      </w:r>
    </w:p>
    <w:p w14:paraId="662AB223"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457DE9">
        <w:rPr>
          <w:rFonts w:ascii="Calibri" w:hAnsi="Calibri" w:cs="Calibri"/>
          <w:i/>
          <w:iCs/>
          <w:noProof/>
          <w:szCs w:val="24"/>
        </w:rPr>
        <w:t>Applied Ergonomics</w:t>
      </w:r>
      <w:r w:rsidRPr="00457DE9">
        <w:rPr>
          <w:rFonts w:ascii="Calibri" w:hAnsi="Calibri" w:cs="Calibri"/>
          <w:noProof/>
          <w:szCs w:val="24"/>
        </w:rPr>
        <w:t xml:space="preserve">, </w:t>
      </w:r>
      <w:r w:rsidRPr="00457DE9">
        <w:rPr>
          <w:rFonts w:ascii="Calibri" w:hAnsi="Calibri" w:cs="Calibri"/>
          <w:i/>
          <w:iCs/>
          <w:noProof/>
          <w:szCs w:val="24"/>
        </w:rPr>
        <w:t>81</w:t>
      </w:r>
      <w:r w:rsidRPr="00457DE9">
        <w:rPr>
          <w:rFonts w:ascii="Calibri" w:hAnsi="Calibri" w:cs="Calibri"/>
          <w:noProof/>
          <w:szCs w:val="24"/>
        </w:rPr>
        <w:t>, 102874. https://doi.org/10.1016/j.apergo.2019.102874</w:t>
      </w:r>
    </w:p>
    <w:p w14:paraId="0F00D5BD"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Shafti, A., Lazpita, B. U., Elhage, O., Wurdemann, H. A., &amp; Althoefer, K. (2016). Analysis of comfort and ergonomics for clinical work environments. </w:t>
      </w:r>
      <w:r w:rsidRPr="00457DE9">
        <w:rPr>
          <w:rFonts w:ascii="Calibri" w:hAnsi="Calibri" w:cs="Calibri"/>
          <w:i/>
          <w:iCs/>
          <w:noProof/>
          <w:szCs w:val="24"/>
        </w:rPr>
        <w:t>2016 38th Annual International Conference of the IEEE Engineering in Medicine and Biology Society (EMBC)</w:t>
      </w:r>
      <w:r w:rsidRPr="00457DE9">
        <w:rPr>
          <w:rFonts w:ascii="Calibri" w:hAnsi="Calibri" w:cs="Calibri"/>
          <w:noProof/>
          <w:szCs w:val="24"/>
        </w:rPr>
        <w:t>, 1894–1897. https://doi.org/10.1109/EMBC.2016.7591091</w:t>
      </w:r>
    </w:p>
    <w:p w14:paraId="2E147227"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457DE9">
        <w:rPr>
          <w:rFonts w:ascii="Calibri" w:hAnsi="Calibri" w:cs="Calibri"/>
          <w:i/>
          <w:iCs/>
          <w:noProof/>
          <w:szCs w:val="24"/>
        </w:rPr>
        <w:t>Journal of Agromedicine</w:t>
      </w:r>
      <w:r w:rsidRPr="00457DE9">
        <w:rPr>
          <w:rFonts w:ascii="Calibri" w:hAnsi="Calibri" w:cs="Calibri"/>
          <w:noProof/>
          <w:szCs w:val="24"/>
        </w:rPr>
        <w:t xml:space="preserve">, </w:t>
      </w:r>
      <w:r w:rsidRPr="00457DE9">
        <w:rPr>
          <w:rFonts w:ascii="Calibri" w:hAnsi="Calibri" w:cs="Calibri"/>
          <w:i/>
          <w:iCs/>
          <w:noProof/>
          <w:szCs w:val="24"/>
        </w:rPr>
        <w:t>24</w:t>
      </w:r>
      <w:r w:rsidRPr="00457DE9">
        <w:rPr>
          <w:rFonts w:ascii="Calibri" w:hAnsi="Calibri" w:cs="Calibri"/>
          <w:noProof/>
          <w:szCs w:val="24"/>
        </w:rPr>
        <w:t>(3). https://doi.org/10.1080/1059924X.2019.1593273</w:t>
      </w:r>
    </w:p>
    <w:p w14:paraId="616C0860"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457DE9">
        <w:rPr>
          <w:rFonts w:ascii="Calibri" w:hAnsi="Calibri" w:cs="Calibri"/>
          <w:i/>
          <w:iCs/>
          <w:noProof/>
          <w:szCs w:val="24"/>
        </w:rPr>
        <w:t>Journal of Agromedicine</w:t>
      </w:r>
      <w:r w:rsidRPr="00457DE9">
        <w:rPr>
          <w:rFonts w:ascii="Calibri" w:hAnsi="Calibri" w:cs="Calibri"/>
          <w:noProof/>
          <w:szCs w:val="24"/>
        </w:rPr>
        <w:t>. https://doi.org/10.1080/1059924X.2019.1593273</w:t>
      </w:r>
    </w:p>
    <w:p w14:paraId="088A2C49"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in apple harvesting workers. </w:t>
      </w:r>
      <w:r w:rsidRPr="00457DE9">
        <w:rPr>
          <w:rFonts w:ascii="Calibri" w:hAnsi="Calibri" w:cs="Calibri"/>
          <w:i/>
          <w:iCs/>
          <w:noProof/>
          <w:szCs w:val="24"/>
        </w:rPr>
        <w:t>Applied Ergonomics</w:t>
      </w:r>
      <w:r w:rsidRPr="00457DE9">
        <w:rPr>
          <w:rFonts w:ascii="Calibri" w:hAnsi="Calibri" w:cs="Calibri"/>
          <w:noProof/>
          <w:szCs w:val="24"/>
        </w:rPr>
        <w:t xml:space="preserve">, </w:t>
      </w:r>
      <w:r w:rsidRPr="00457DE9">
        <w:rPr>
          <w:rFonts w:ascii="Calibri" w:hAnsi="Calibri" w:cs="Calibri"/>
          <w:i/>
          <w:iCs/>
          <w:noProof/>
          <w:szCs w:val="24"/>
        </w:rPr>
        <w:t>98</w:t>
      </w:r>
      <w:r w:rsidRPr="00457DE9">
        <w:rPr>
          <w:rFonts w:ascii="Calibri" w:hAnsi="Calibri" w:cs="Calibri"/>
          <w:noProof/>
          <w:szCs w:val="24"/>
        </w:rPr>
        <w:t>, 103607. https://doi.org/10.1016/j.apergo.2021.103607</w:t>
      </w:r>
    </w:p>
    <w:p w14:paraId="37D1A517"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Thamsuwan, Ornwipa, Milosavljevic, S., Srinivasan, D., &amp; Trask, C. (2020). Potential exoskeleton uses for reducing low back muscular activity during farm tasks. </w:t>
      </w:r>
      <w:r w:rsidRPr="00457DE9">
        <w:rPr>
          <w:rFonts w:ascii="Calibri" w:hAnsi="Calibri" w:cs="Calibri"/>
          <w:i/>
          <w:iCs/>
          <w:noProof/>
          <w:szCs w:val="24"/>
        </w:rPr>
        <w:t>American Journal of Industrial Medicine</w:t>
      </w:r>
      <w:r w:rsidRPr="00457DE9">
        <w:rPr>
          <w:rFonts w:ascii="Calibri" w:hAnsi="Calibri" w:cs="Calibri"/>
          <w:noProof/>
          <w:szCs w:val="24"/>
        </w:rPr>
        <w:t xml:space="preserve">, </w:t>
      </w:r>
      <w:r w:rsidRPr="00457DE9">
        <w:rPr>
          <w:rFonts w:ascii="Calibri" w:hAnsi="Calibri" w:cs="Calibri"/>
          <w:i/>
          <w:iCs/>
          <w:noProof/>
          <w:szCs w:val="24"/>
        </w:rPr>
        <w:t>63</w:t>
      </w:r>
      <w:r w:rsidRPr="00457DE9">
        <w:rPr>
          <w:rFonts w:ascii="Calibri" w:hAnsi="Calibri" w:cs="Calibri"/>
          <w:noProof/>
          <w:szCs w:val="24"/>
        </w:rPr>
        <w:t>(11), 1017–1028. https://doi.org/10.1002/ajim.23180</w:t>
      </w:r>
    </w:p>
    <w:p w14:paraId="00B74285"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van Galen, G. P., Liesker, H., &amp; de Haan, A. (2007). Effects of a vertical keyboard design on typing performance, user comfort and muscle tension. </w:t>
      </w:r>
      <w:r w:rsidRPr="00457DE9">
        <w:rPr>
          <w:rFonts w:ascii="Calibri" w:hAnsi="Calibri" w:cs="Calibri"/>
          <w:i/>
          <w:iCs/>
          <w:noProof/>
          <w:szCs w:val="24"/>
        </w:rPr>
        <w:t>Applied Ergonomics</w:t>
      </w:r>
      <w:r w:rsidRPr="00457DE9">
        <w:rPr>
          <w:rFonts w:ascii="Calibri" w:hAnsi="Calibri" w:cs="Calibri"/>
          <w:noProof/>
          <w:szCs w:val="24"/>
        </w:rPr>
        <w:t xml:space="preserve">, </w:t>
      </w:r>
      <w:r w:rsidRPr="00457DE9">
        <w:rPr>
          <w:rFonts w:ascii="Calibri" w:hAnsi="Calibri" w:cs="Calibri"/>
          <w:i/>
          <w:iCs/>
          <w:noProof/>
          <w:szCs w:val="24"/>
        </w:rPr>
        <w:t>38</w:t>
      </w:r>
      <w:r w:rsidRPr="00457DE9">
        <w:rPr>
          <w:rFonts w:ascii="Calibri" w:hAnsi="Calibri" w:cs="Calibri"/>
          <w:noProof/>
          <w:szCs w:val="24"/>
        </w:rPr>
        <w:t>(1), 99–107. https://doi.org/10.1016/j.apergo.2005.09.005</w:t>
      </w:r>
    </w:p>
    <w:p w14:paraId="117F8FA8"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szCs w:val="24"/>
        </w:rPr>
      </w:pPr>
      <w:r w:rsidRPr="00457DE9">
        <w:rPr>
          <w:rFonts w:ascii="Calibri" w:hAnsi="Calibri" w:cs="Calibri"/>
          <w:noProof/>
          <w:szCs w:val="24"/>
        </w:rPr>
        <w:t xml:space="preserve">Vieira, E. R., Kumar, S., Coury, H. J. C. G., &amp; Narayan, Y. (2006). Low back problems and possible improvements in nursing jobs. </w:t>
      </w:r>
      <w:r w:rsidRPr="00457DE9">
        <w:rPr>
          <w:rFonts w:ascii="Calibri" w:hAnsi="Calibri" w:cs="Calibri"/>
          <w:i/>
          <w:iCs/>
          <w:noProof/>
          <w:szCs w:val="24"/>
        </w:rPr>
        <w:t>Journal of Advanced Nursing</w:t>
      </w:r>
      <w:r w:rsidRPr="00457DE9">
        <w:rPr>
          <w:rFonts w:ascii="Calibri" w:hAnsi="Calibri" w:cs="Calibri"/>
          <w:noProof/>
          <w:szCs w:val="24"/>
        </w:rPr>
        <w:t xml:space="preserve">, </w:t>
      </w:r>
      <w:r w:rsidRPr="00457DE9">
        <w:rPr>
          <w:rFonts w:ascii="Calibri" w:hAnsi="Calibri" w:cs="Calibri"/>
          <w:i/>
          <w:iCs/>
          <w:noProof/>
          <w:szCs w:val="24"/>
        </w:rPr>
        <w:t>55</w:t>
      </w:r>
      <w:r w:rsidRPr="00457DE9">
        <w:rPr>
          <w:rFonts w:ascii="Calibri" w:hAnsi="Calibri" w:cs="Calibri"/>
          <w:noProof/>
          <w:szCs w:val="24"/>
        </w:rPr>
        <w:t>(1), 79–89. https://doi.org/10.1111/j.1365-2648.2006.03877.x</w:t>
      </w:r>
    </w:p>
    <w:p w14:paraId="65B6E15E" w14:textId="77777777" w:rsidR="00457DE9" w:rsidRPr="00457DE9" w:rsidRDefault="00457DE9" w:rsidP="00457DE9">
      <w:pPr>
        <w:widowControl w:val="0"/>
        <w:autoSpaceDE w:val="0"/>
        <w:autoSpaceDN w:val="0"/>
        <w:adjustRightInd w:val="0"/>
        <w:spacing w:line="480" w:lineRule="auto"/>
        <w:ind w:left="480" w:hanging="480"/>
        <w:rPr>
          <w:rFonts w:ascii="Calibri" w:hAnsi="Calibri" w:cs="Calibri"/>
          <w:noProof/>
        </w:rPr>
      </w:pPr>
      <w:r w:rsidRPr="00457DE9">
        <w:rPr>
          <w:rFonts w:ascii="Calibri" w:hAnsi="Calibri" w:cs="Calibri"/>
          <w:noProof/>
          <w:szCs w:val="24"/>
        </w:rPr>
        <w:t xml:space="preserve">Xiao, H., Mccurdy, S. A., Stoecklin-Marois, M. T., Li, C. S., &amp; Schenker, M. B. (2013). Agricultural work and chronic musculoskeletal pain among latino farm workers: The MICASA study. </w:t>
      </w:r>
      <w:r w:rsidRPr="00457DE9">
        <w:rPr>
          <w:rFonts w:ascii="Calibri" w:hAnsi="Calibri" w:cs="Calibri"/>
          <w:i/>
          <w:iCs/>
          <w:noProof/>
          <w:szCs w:val="24"/>
        </w:rPr>
        <w:t>American Journal of Industrial Medicine</w:t>
      </w:r>
      <w:r w:rsidRPr="00457DE9">
        <w:rPr>
          <w:rFonts w:ascii="Calibri" w:hAnsi="Calibri" w:cs="Calibri"/>
          <w:noProof/>
          <w:szCs w:val="24"/>
        </w:rPr>
        <w:t xml:space="preserve">, </w:t>
      </w:r>
      <w:r w:rsidRPr="00457DE9">
        <w:rPr>
          <w:rFonts w:ascii="Calibri" w:hAnsi="Calibri" w:cs="Calibri"/>
          <w:i/>
          <w:iCs/>
          <w:noProof/>
          <w:szCs w:val="24"/>
        </w:rPr>
        <w:t>56</w:t>
      </w:r>
      <w:r w:rsidRPr="00457DE9">
        <w:rPr>
          <w:rFonts w:ascii="Calibri" w:hAnsi="Calibri" w:cs="Calibri"/>
          <w:noProof/>
          <w:szCs w:val="24"/>
        </w:rPr>
        <w:t>, 216–225. https://doi.org/10.1002/ajim.22118</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lastRenderedPageBreak/>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11">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BC392C5" w:rsidR="00FB3E8C" w:rsidRDefault="007211EE">
      <w:r>
        <w:rPr>
          <w:noProof/>
        </w:rPr>
        <w:lastRenderedPageBreak/>
        <w:drawing>
          <wp:inline distT="0" distB="0" distL="0" distR="0" wp14:anchorId="18E27DCA" wp14:editId="5782D513">
            <wp:extent cx="4794250" cy="319565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RR.png"/>
                    <pic:cNvPicPr/>
                  </pic:nvPicPr>
                  <pic:blipFill>
                    <a:blip r:embed="rId13">
                      <a:extLst>
                        <a:ext uri="{28A0092B-C50C-407E-A947-70E740481C1C}">
                          <a14:useLocalDpi xmlns:a14="http://schemas.microsoft.com/office/drawing/2010/main" val="0"/>
                        </a:ext>
                      </a:extLst>
                    </a:blip>
                    <a:stretch>
                      <a:fillRect/>
                    </a:stretch>
                  </pic:blipFill>
                  <pic:spPr>
                    <a:xfrm>
                      <a:off x="0" y="0"/>
                      <a:ext cx="4851373" cy="3233730"/>
                    </a:xfrm>
                    <a:prstGeom prst="rect">
                      <a:avLst/>
                    </a:prstGeom>
                  </pic:spPr>
                </pic:pic>
              </a:graphicData>
            </a:graphic>
          </wp:inline>
        </w:drawing>
      </w:r>
    </w:p>
    <w:p w14:paraId="7DAAD41A" w14:textId="0A0E3C3A" w:rsidR="001F230A" w:rsidRDefault="001F230A">
      <w:r>
        <w:t xml:space="preserve">Figure </w:t>
      </w:r>
      <w:r w:rsidR="00F00B20">
        <w:t>3</w:t>
      </w:r>
      <w:r w:rsidR="00276A77">
        <w:t>.</w:t>
      </w:r>
      <w:r>
        <w:t xml:space="preserve"> %HRR </w:t>
      </w:r>
      <w:r w:rsidR="00276A77">
        <w:t xml:space="preserve">measured among each group of workers at each work period </w:t>
      </w:r>
    </w:p>
    <w:p w14:paraId="21CFF662" w14:textId="77777777" w:rsidR="00F00B20" w:rsidRDefault="00F00B20"/>
    <w:p w14:paraId="1E28F3D9" w14:textId="6AB72CB7" w:rsidR="00FB3E8C" w:rsidRDefault="006E760B">
      <w:r>
        <w:rPr>
          <w:noProof/>
        </w:rPr>
        <w:drawing>
          <wp:inline distT="0" distB="0" distL="0" distR="0" wp14:anchorId="103B66E3" wp14:editId="6F1678BE">
            <wp:extent cx="4787900" cy="3191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gRPEdifference.png"/>
                    <pic:cNvPicPr/>
                  </pic:nvPicPr>
                  <pic:blipFill>
                    <a:blip r:embed="rId14">
                      <a:extLst>
                        <a:ext uri="{28A0092B-C50C-407E-A947-70E740481C1C}">
                          <a14:useLocalDpi xmlns:a14="http://schemas.microsoft.com/office/drawing/2010/main" val="0"/>
                        </a:ext>
                      </a:extLst>
                    </a:blip>
                    <a:stretch>
                      <a:fillRect/>
                    </a:stretch>
                  </pic:blipFill>
                  <pic:spPr>
                    <a:xfrm>
                      <a:off x="0" y="0"/>
                      <a:ext cx="4851475" cy="3233799"/>
                    </a:xfrm>
                    <a:prstGeom prst="rect">
                      <a:avLst/>
                    </a:prstGeom>
                  </pic:spPr>
                </pic:pic>
              </a:graphicData>
            </a:graphic>
          </wp:inline>
        </w:drawing>
      </w:r>
    </w:p>
    <w:p w14:paraId="1AF5182E" w14:textId="47F396A8" w:rsidR="00276A77" w:rsidRDefault="00276A77">
      <w:r>
        <w:t xml:space="preserve">Figure </w:t>
      </w:r>
      <w:r w:rsidR="00F00B20">
        <w:t>4</w:t>
      </w:r>
      <w:r>
        <w:t>. The difference in Borg RPE from the beginning of work reported by each group of workers at each work period</w:t>
      </w:r>
    </w:p>
    <w:p w14:paraId="7BB1090B" w14:textId="77777777" w:rsidR="00F00B20" w:rsidRDefault="00F00B20"/>
    <w:p w14:paraId="241F7F9C" w14:textId="506824BF" w:rsidR="00FB3E8C" w:rsidRDefault="006E760B">
      <w:r>
        <w:rPr>
          <w:noProof/>
        </w:rPr>
        <w:lastRenderedPageBreak/>
        <w:drawing>
          <wp:inline distT="0" distB="0" distL="0" distR="0" wp14:anchorId="46568788" wp14:editId="66B89F3A">
            <wp:extent cx="4787900" cy="3191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mniRPEdifference.png"/>
                    <pic:cNvPicPr/>
                  </pic:nvPicPr>
                  <pic:blipFill>
                    <a:blip r:embed="rId15">
                      <a:extLst>
                        <a:ext uri="{28A0092B-C50C-407E-A947-70E740481C1C}">
                          <a14:useLocalDpi xmlns:a14="http://schemas.microsoft.com/office/drawing/2010/main" val="0"/>
                        </a:ext>
                      </a:extLst>
                    </a:blip>
                    <a:stretch>
                      <a:fillRect/>
                    </a:stretch>
                  </pic:blipFill>
                  <pic:spPr>
                    <a:xfrm>
                      <a:off x="0" y="0"/>
                      <a:ext cx="4837835" cy="3224707"/>
                    </a:xfrm>
                    <a:prstGeom prst="rect">
                      <a:avLst/>
                    </a:prstGeom>
                  </pic:spPr>
                </pic:pic>
              </a:graphicData>
            </a:graphic>
          </wp:inline>
        </w:drawing>
      </w:r>
    </w:p>
    <w:p w14:paraId="69F9A177" w14:textId="59154560" w:rsidR="00276A77" w:rsidRDefault="00276A77">
      <w:r>
        <w:t xml:space="preserve">Figure </w:t>
      </w:r>
      <w:r w:rsidR="00F00B20">
        <w:t>5</w:t>
      </w:r>
      <w:r>
        <w:t>. The difference in Omni RPE from the beginning of work reported by each group of workers at each work period</w:t>
      </w:r>
    </w:p>
    <w:p w14:paraId="58E07126" w14:textId="77777777" w:rsidR="00F00B20" w:rsidRDefault="00F00B20"/>
    <w:p w14:paraId="676F4ADA" w14:textId="028B2CA8" w:rsidR="00FB3E8C" w:rsidRDefault="00FB3E8C">
      <w:r>
        <w:rPr>
          <w:noProof/>
        </w:rPr>
        <w:drawing>
          <wp:inline distT="0" distB="0" distL="0" distR="0" wp14:anchorId="5C3B1FDC" wp14:editId="5325A4CA">
            <wp:extent cx="4559300" cy="28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641" cy="2834027"/>
                    </a:xfrm>
                    <a:prstGeom prst="rect">
                      <a:avLst/>
                    </a:prstGeom>
                    <a:noFill/>
                    <a:ln>
                      <a:noFill/>
                    </a:ln>
                  </pic:spPr>
                </pic:pic>
              </a:graphicData>
            </a:graphic>
          </wp:inline>
        </w:drawing>
      </w:r>
    </w:p>
    <w:p w14:paraId="303CD324" w14:textId="209BEB84" w:rsidR="00276A77" w:rsidRDefault="00276A77">
      <w:r>
        <w:t xml:space="preserve">Figure </w:t>
      </w:r>
      <w:r w:rsidR="00F00B20">
        <w:t>6</w:t>
      </w:r>
      <w:r>
        <w:t>. The association between %HRR and Borg RPE difference from the beginning of work shift</w:t>
      </w:r>
    </w:p>
    <w:p w14:paraId="2BB950D1" w14:textId="77777777" w:rsidR="00F00B20" w:rsidRDefault="00F00B20"/>
    <w:p w14:paraId="33977C77" w14:textId="4AA56195" w:rsidR="00FB3E8C" w:rsidRDefault="00FB3E8C">
      <w:r>
        <w:rPr>
          <w:noProof/>
        </w:rPr>
        <w:lastRenderedPageBreak/>
        <w:drawing>
          <wp:inline distT="0" distB="0" distL="0" distR="0" wp14:anchorId="7A4E410F" wp14:editId="73C77D06">
            <wp:extent cx="4560570" cy="2808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186" cy="2838057"/>
                    </a:xfrm>
                    <a:prstGeom prst="rect">
                      <a:avLst/>
                    </a:prstGeom>
                    <a:noFill/>
                    <a:ln>
                      <a:noFill/>
                    </a:ln>
                  </pic:spPr>
                </pic:pic>
              </a:graphicData>
            </a:graphic>
          </wp:inline>
        </w:drawing>
      </w:r>
    </w:p>
    <w:p w14:paraId="459D6B31" w14:textId="55EDEA6C" w:rsidR="00276A77" w:rsidRDefault="00276A77">
      <w:r>
        <w:t xml:space="preserve">Figure </w:t>
      </w:r>
      <w:r w:rsidR="00F00B20">
        <w:t>7</w:t>
      </w:r>
      <w:r>
        <w:t>. The association between %HRR and Omni RPE difference from the beginning of work shift</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lastRenderedPageBreak/>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lastRenderedPageBreak/>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F65F3" w14:textId="77777777" w:rsidR="005F70A4" w:rsidRDefault="005F70A4" w:rsidP="00CC5DA2">
      <w:pPr>
        <w:spacing w:after="0" w:line="240" w:lineRule="auto"/>
      </w:pPr>
      <w:r>
        <w:separator/>
      </w:r>
    </w:p>
  </w:endnote>
  <w:endnote w:type="continuationSeparator" w:id="0">
    <w:p w14:paraId="127EABDF" w14:textId="77777777" w:rsidR="005F70A4" w:rsidRDefault="005F70A4" w:rsidP="00CC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0E981" w14:textId="77777777" w:rsidR="005F70A4" w:rsidRDefault="005F70A4" w:rsidP="00CC5DA2">
      <w:pPr>
        <w:spacing w:after="0" w:line="240" w:lineRule="auto"/>
      </w:pPr>
      <w:r>
        <w:separator/>
      </w:r>
    </w:p>
  </w:footnote>
  <w:footnote w:type="continuationSeparator" w:id="0">
    <w:p w14:paraId="316A2B89" w14:textId="77777777" w:rsidR="005F70A4" w:rsidRDefault="005F70A4" w:rsidP="00CC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8C"/>
    <w:rsid w:val="00006472"/>
    <w:rsid w:val="000316FC"/>
    <w:rsid w:val="000547DC"/>
    <w:rsid w:val="0005742A"/>
    <w:rsid w:val="000604D3"/>
    <w:rsid w:val="00064890"/>
    <w:rsid w:val="00071EDF"/>
    <w:rsid w:val="00083EF8"/>
    <w:rsid w:val="00087C8E"/>
    <w:rsid w:val="000B0FB2"/>
    <w:rsid w:val="000B15BF"/>
    <w:rsid w:val="000C14C8"/>
    <w:rsid w:val="000C1B26"/>
    <w:rsid w:val="000D097A"/>
    <w:rsid w:val="000D6A80"/>
    <w:rsid w:val="00132874"/>
    <w:rsid w:val="00132E4D"/>
    <w:rsid w:val="00147BF1"/>
    <w:rsid w:val="00153E36"/>
    <w:rsid w:val="00161026"/>
    <w:rsid w:val="001C161E"/>
    <w:rsid w:val="001F230A"/>
    <w:rsid w:val="0021786B"/>
    <w:rsid w:val="002214F9"/>
    <w:rsid w:val="00272526"/>
    <w:rsid w:val="00276A77"/>
    <w:rsid w:val="002B26FB"/>
    <w:rsid w:val="002B53E5"/>
    <w:rsid w:val="002D6306"/>
    <w:rsid w:val="003129C9"/>
    <w:rsid w:val="00361024"/>
    <w:rsid w:val="00374E7E"/>
    <w:rsid w:val="003A3CCB"/>
    <w:rsid w:val="003A4B9E"/>
    <w:rsid w:val="003E68BB"/>
    <w:rsid w:val="003E743B"/>
    <w:rsid w:val="003F1E3F"/>
    <w:rsid w:val="003F4CE5"/>
    <w:rsid w:val="0040026F"/>
    <w:rsid w:val="004078C6"/>
    <w:rsid w:val="00432FA8"/>
    <w:rsid w:val="00457DE9"/>
    <w:rsid w:val="0047623D"/>
    <w:rsid w:val="00497399"/>
    <w:rsid w:val="004B7E31"/>
    <w:rsid w:val="004C3899"/>
    <w:rsid w:val="004F1E78"/>
    <w:rsid w:val="005406C7"/>
    <w:rsid w:val="005460D5"/>
    <w:rsid w:val="0055017F"/>
    <w:rsid w:val="00555106"/>
    <w:rsid w:val="0055539C"/>
    <w:rsid w:val="00566F4E"/>
    <w:rsid w:val="005937E8"/>
    <w:rsid w:val="0059483A"/>
    <w:rsid w:val="005A4496"/>
    <w:rsid w:val="005A44D5"/>
    <w:rsid w:val="005D3B50"/>
    <w:rsid w:val="005E2A98"/>
    <w:rsid w:val="005E4691"/>
    <w:rsid w:val="005F70A4"/>
    <w:rsid w:val="005F748A"/>
    <w:rsid w:val="00636887"/>
    <w:rsid w:val="0064052E"/>
    <w:rsid w:val="006873AB"/>
    <w:rsid w:val="006C0BA8"/>
    <w:rsid w:val="006C1ED9"/>
    <w:rsid w:val="006E760B"/>
    <w:rsid w:val="00701205"/>
    <w:rsid w:val="00706C69"/>
    <w:rsid w:val="007148EB"/>
    <w:rsid w:val="00720BED"/>
    <w:rsid w:val="007211EE"/>
    <w:rsid w:val="00740C43"/>
    <w:rsid w:val="00747475"/>
    <w:rsid w:val="00754C3A"/>
    <w:rsid w:val="007630FC"/>
    <w:rsid w:val="0079332D"/>
    <w:rsid w:val="007A08B7"/>
    <w:rsid w:val="007B102D"/>
    <w:rsid w:val="007B19A7"/>
    <w:rsid w:val="007B4199"/>
    <w:rsid w:val="007C2133"/>
    <w:rsid w:val="007D4952"/>
    <w:rsid w:val="007D6F9E"/>
    <w:rsid w:val="007F35ED"/>
    <w:rsid w:val="007F46A9"/>
    <w:rsid w:val="007F61E2"/>
    <w:rsid w:val="00806938"/>
    <w:rsid w:val="008327AA"/>
    <w:rsid w:val="0084013A"/>
    <w:rsid w:val="008B3362"/>
    <w:rsid w:val="008B7597"/>
    <w:rsid w:val="00903820"/>
    <w:rsid w:val="009412F3"/>
    <w:rsid w:val="00944852"/>
    <w:rsid w:val="0094670B"/>
    <w:rsid w:val="00987A1E"/>
    <w:rsid w:val="00987AFB"/>
    <w:rsid w:val="009B5AD8"/>
    <w:rsid w:val="009C2A8C"/>
    <w:rsid w:val="009C5466"/>
    <w:rsid w:val="009C7583"/>
    <w:rsid w:val="009D6681"/>
    <w:rsid w:val="009E5669"/>
    <w:rsid w:val="00A16228"/>
    <w:rsid w:val="00A44D59"/>
    <w:rsid w:val="00A5187E"/>
    <w:rsid w:val="00A8074F"/>
    <w:rsid w:val="00A85A38"/>
    <w:rsid w:val="00AC1E2B"/>
    <w:rsid w:val="00AE20B1"/>
    <w:rsid w:val="00AE7C74"/>
    <w:rsid w:val="00B14F02"/>
    <w:rsid w:val="00B340EE"/>
    <w:rsid w:val="00B5041E"/>
    <w:rsid w:val="00B876B2"/>
    <w:rsid w:val="00BC2E53"/>
    <w:rsid w:val="00BC3534"/>
    <w:rsid w:val="00BD04E1"/>
    <w:rsid w:val="00BE1BAE"/>
    <w:rsid w:val="00BE78F9"/>
    <w:rsid w:val="00BF2C91"/>
    <w:rsid w:val="00BF7160"/>
    <w:rsid w:val="00C00D35"/>
    <w:rsid w:val="00C16F0C"/>
    <w:rsid w:val="00C337D4"/>
    <w:rsid w:val="00C36CDC"/>
    <w:rsid w:val="00C55E4C"/>
    <w:rsid w:val="00C9424F"/>
    <w:rsid w:val="00C945DC"/>
    <w:rsid w:val="00CA51BD"/>
    <w:rsid w:val="00CC5DA2"/>
    <w:rsid w:val="00CC6DCC"/>
    <w:rsid w:val="00CD06C8"/>
    <w:rsid w:val="00CD2A14"/>
    <w:rsid w:val="00CD687A"/>
    <w:rsid w:val="00CE3EEE"/>
    <w:rsid w:val="00CF4896"/>
    <w:rsid w:val="00D356FB"/>
    <w:rsid w:val="00D4501F"/>
    <w:rsid w:val="00D67B70"/>
    <w:rsid w:val="00D859F9"/>
    <w:rsid w:val="00DE199A"/>
    <w:rsid w:val="00DF1C5E"/>
    <w:rsid w:val="00DF3254"/>
    <w:rsid w:val="00DF6E0B"/>
    <w:rsid w:val="00E34E59"/>
    <w:rsid w:val="00E5395A"/>
    <w:rsid w:val="00E60CBA"/>
    <w:rsid w:val="00E852E1"/>
    <w:rsid w:val="00EF2A0A"/>
    <w:rsid w:val="00F00B20"/>
    <w:rsid w:val="00F07780"/>
    <w:rsid w:val="00F1751D"/>
    <w:rsid w:val="00F17D72"/>
    <w:rsid w:val="00F36BE3"/>
    <w:rsid w:val="00F5247C"/>
    <w:rsid w:val="00F8329F"/>
    <w:rsid w:val="00F87EFA"/>
    <w:rsid w:val="00F970D6"/>
    <w:rsid w:val="00FB3E8C"/>
    <w:rsid w:val="00FC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semiHidden/>
    <w:unhideWhenUsed/>
    <w:rsid w:val="00CA51BD"/>
    <w:rPr>
      <w:color w:val="0000FF"/>
      <w:u w:val="single"/>
    </w:rPr>
  </w:style>
  <w:style w:type="paragraph" w:styleId="EndnoteText">
    <w:name w:val="endnote text"/>
    <w:basedOn w:val="Normal"/>
    <w:link w:val="EndnoteTextChar"/>
    <w:uiPriority w:val="99"/>
    <w:semiHidden/>
    <w:unhideWhenUsed/>
    <w:rsid w:val="00CC5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A2"/>
    <w:rPr>
      <w:sz w:val="20"/>
      <w:szCs w:val="20"/>
    </w:rPr>
  </w:style>
  <w:style w:type="character" w:styleId="EndnoteReference">
    <w:name w:val="endnote reference"/>
    <w:basedOn w:val="DefaultParagraphFont"/>
    <w:uiPriority w:val="99"/>
    <w:semiHidden/>
    <w:unhideWhenUsed/>
    <w:rsid w:val="00CC5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FDEE-8BC2-417B-87F4-A59F74F03EE0}">
  <ds:schemaRefs>
    <ds:schemaRef ds:uri="1b2189cb-ccb6-4287-a69c-1cd833b0d4d4"/>
    <ds:schemaRef ds:uri="http://purl.org/dc/terms/"/>
    <ds:schemaRef ds:uri="http://schemas.microsoft.com/office/infopath/2007/PartnerControls"/>
    <ds:schemaRef ds:uri="97209f56-d127-49f6-965f-70fc22126732"/>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3.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CCFAB7-7902-44D2-9D18-28044021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27</Pages>
  <Words>21625</Words>
  <Characters>123269</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28</cp:revision>
  <dcterms:created xsi:type="dcterms:W3CDTF">2022-02-25T17:33:00Z</dcterms:created>
  <dcterms:modified xsi:type="dcterms:W3CDTF">2022-03-20T21:37:00Z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