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37F85" w14:textId="24462DA7" w:rsidR="007F35ED" w:rsidRDefault="009C7583" w:rsidP="00C945DC">
      <w:pPr>
        <w:pStyle w:val="Heading1"/>
      </w:pPr>
      <w:r>
        <w:t>Association</w:t>
      </w:r>
      <w:r w:rsidR="007F35ED">
        <w:t xml:space="preserve"> between subjective effort surveys and objective directly-measured workload</w:t>
      </w:r>
      <w:r w:rsidR="003F4CE5">
        <w:t>s in</w:t>
      </w:r>
      <w:r w:rsidR="00F5247C">
        <w:t xml:space="preserve"> Hispanic</w:t>
      </w:r>
      <w:r w:rsidR="003F4CE5">
        <w:t xml:space="preserve"> migrant farmworkers</w:t>
      </w:r>
    </w:p>
    <w:p w14:paraId="2D2E8BB8" w14:textId="77777777" w:rsidR="00C945DC" w:rsidRDefault="00C945DC"/>
    <w:p w14:paraId="3E3FDCFF" w14:textId="3A9F1940" w:rsidR="0021786B" w:rsidRDefault="00497399" w:rsidP="00497399">
      <w:pPr>
        <w:pStyle w:val="Heading2"/>
        <w:spacing w:line="480" w:lineRule="auto"/>
      </w:pPr>
      <w:r>
        <w:t xml:space="preserve">1. </w:t>
      </w:r>
      <w:r w:rsidR="007F35ED">
        <w:t>Introduction</w:t>
      </w:r>
    </w:p>
    <w:p w14:paraId="39040937" w14:textId="018DBAA8" w:rsidR="0047623D" w:rsidRDefault="0047623D" w:rsidP="0047623D">
      <w:pPr>
        <w:pStyle w:val="Heading3"/>
        <w:spacing w:line="480" w:lineRule="auto"/>
      </w:pPr>
      <w:r>
        <w:t>1.1 Context of Hispanic migrant farmworkers in North America</w:t>
      </w:r>
    </w:p>
    <w:p w14:paraId="6AE24D62" w14:textId="1D631EFD" w:rsidR="0047623D" w:rsidRDefault="0047623D" w:rsidP="0047623D">
      <w:pPr>
        <w:spacing w:line="480" w:lineRule="auto"/>
      </w:pPr>
      <w:r w:rsidRPr="00D4501F">
        <w:t>In the past several decades, the majority of farmworkers in the United States are Latino migrants</w:t>
      </w:r>
      <w:r>
        <w:t xml:space="preserve"> and </w:t>
      </w:r>
      <w:r w:rsidRPr="00D4501F">
        <w:t>more than half of th</w:t>
      </w:r>
      <w:r>
        <w:t>e population</w:t>
      </w:r>
      <w:r w:rsidRPr="00D4501F">
        <w:t xml:space="preserve"> do not have authorization to work in the United States</w:t>
      </w:r>
      <w:r>
        <w:t xml:space="preserve"> </w:t>
      </w:r>
      <w:r>
        <w:fldChar w:fldCharType="begin" w:fldLock="1"/>
      </w:r>
      <w:r>
        <w:instrText>ADDIN CSL_CITATION {"citationItems":[{"id":"ITEM-1","itemData":{"DOI":"10.1146/annurev-publhealth-012420-105014","ISSN":"0163-7525","abstract":"Approximately 75% of farmworkers in the United States are Latino migrants, and about 50% of hired farmworkers do not have authorization to work in the United States. Farmworkers face numerous chemical, physical, and biological threats to their health. The adverse effects of these hazards may be amplified among Latino migrant farmworkers, who are concurrently exposed to various psychosocial stressors. Factors such as documentation status, potential lack of authorization to work in the United States, and language and cultural barriers may also prevent Latino migrants from accessing federal aid, legal assistance, and health programs. These environmental, occupational, and social hazards may further exacerbate existing health disparities among US Latinos. This population is also likely to be disproportionately impacted by emerging threats, including climate change and severe acute respiratory syndrome coronavirus 2 (SARS-CoV-2). Latino migrant farmworkers are essential to agriculture in the United States, and actions are needed to protect this vulnerable population.","author":[{"dropping-particle":"","family":"Castillo","given":"Federico","non-dropping-particle":"","parse-names":false,"suffix":""},{"dropping-particle":"","family":"Mora","given":"Ana M.","non-dropping-particle":"","parse-names":false,"suffix":""},{"dropping-particle":"","family":"Kayser","given":"Georgia L.","non-dropping-particle":"","parse-names":false,"suffix":""},{"dropping-particle":"","family":"Vanos","given":"Jennifer","non-dropping-particle":"","parse-names":false,"suffix":""},{"dropping-particle":"","family":"Hyland","given":"Carly","non-dropping-particle":"","parse-names":false,"suffix":""},{"dropping-particle":"","family":"Yang","given":"Audrey R.","non-dropping-particle":"","parse-names":false,"suffix":""},{"dropping-particle":"","family":"Eskenazi","given":"Brenda","non-dropping-particle":"","parse-names":false,"suffix":""}],"container-title":"Annual Review of Public Health","id":"ITEM-1","issue":"1","issued":{"date-parts":[["2021","4","1"]]},"page":"257-276","title":"Environmental Health Threats to Latino Migrant Farmworkers","type":"article-journal","volume":"42"},"uris":["http://www.mendeley.com/documents/?uuid=29f7d2d7-30e4-4e25-ab35-7fa45dc7c3bd"]}],"mendeley":{"formattedCitation":"(Castillo et al., 2021)","plainTextFormattedCitation":"(Castillo et al., 2021)","previouslyFormattedCitation":"(Castillo et al., 2021)"},"properties":{"noteIndex":0},"schema":"https://github.com/citation-style-language/schema/raw/master/csl-citation.json"}</w:instrText>
      </w:r>
      <w:r>
        <w:fldChar w:fldCharType="separate"/>
      </w:r>
      <w:r w:rsidRPr="00361024">
        <w:rPr>
          <w:noProof/>
        </w:rPr>
        <w:t>(Castillo et al., 2021)</w:t>
      </w:r>
      <w:r>
        <w:fldChar w:fldCharType="end"/>
      </w:r>
      <w:r w:rsidRPr="00D4501F">
        <w:t>.</w:t>
      </w:r>
      <w:r>
        <w:t xml:space="preserve"> Despite being essential to the North American economy, migrant farmworkers’ exposure to the risks of occupational hazard have been negatively affected by language and cultural barriers. Compared to US-born farmworkers, undocumented Mexican workers had more precarious work, earn less, and more often paid piece rate than hourly </w:t>
      </w:r>
      <w:r>
        <w:fldChar w:fldCharType="begin" w:fldLock="1"/>
      </w:r>
      <w:r>
        <w:instrText>ADDIN CSL_CITATION {"citationItems":[{"id":"ITEM-1","itemData":{"DOI":"10.1002/ajim.22613","ISSN":"02713586","author":[{"dropping-particle":"","family":"Reid","given":"Alison","non-dropping-particle":"","parse-names":false,"suffix":""},{"dropping-particle":"","family":"Schenker","given":"Marc B.","non-dropping-particle":"","parse-names":false,"suffix":""}],"container-title":"American Journal of Industrial Medicine","id":"ITEM-1","issue":"8","issued":{"date-parts":[["2016","8"]]},"page":"644-655","title":"Hired farmworkers in the US: Demographics, work organisation, and services","type":"article-journal","volume":"59"},"uris":["http://www.mendeley.com/documents/?uuid=a7f99c16-eb4d-42c6-92b6-56f70e06ebc9"]}],"mendeley":{"formattedCitation":"(Reid &amp; Schenker, 2016)","plainTextFormattedCitation":"(Reid &amp; Schenker, 2016)","previouslyFormattedCitation":"(Reid &amp; Schenker, 2016)"},"properties":{"noteIndex":0},"schema":"https://github.com/citation-style-language/schema/raw/master/csl-citation.json"}</w:instrText>
      </w:r>
      <w:r>
        <w:fldChar w:fldCharType="separate"/>
      </w:r>
      <w:r w:rsidRPr="00CD2A14">
        <w:rPr>
          <w:noProof/>
        </w:rPr>
        <w:t>(Reid &amp; Schenker, 2016)</w:t>
      </w:r>
      <w:r>
        <w:fldChar w:fldCharType="end"/>
      </w:r>
      <w:r>
        <w:t xml:space="preserve">. This situation has led to more exposure to physical and mental stress </w:t>
      </w:r>
      <w:r w:rsidRPr="00CD2A14">
        <w:fldChar w:fldCharType="begin" w:fldLock="1"/>
      </w:r>
      <w:r>
        <w:instrText>ADDIN CSL_CITATION {"citationItems":[{"id":"ITEM-1","itemData":{"DOI":"10.1007/s10903-017-0617-1","ISSN":"1557-1912","author":[{"dropping-particle":"","family":"Clouser","given":"Jessica Miller","non-dropping-particle":"","parse-names":false,"suffix":""},{"dropping-particle":"","family":"Bush","given":"Ashley","non-dropping-particle":"","parse-names":false,"suffix":""},{"dropping-particle":"","family":"Gan","given":"Wenqi","non-dropping-particle":"","parse-names":false,"suffix":""},{"dropping-particle":"","family":"Swanberg","given":"Jennifer","non-dropping-particle":"","parse-names":false,"suffix":""}],"container-title":"Journal of Immigrant and Minority Health","id":"ITEM-1","issue":"4","issued":{"date-parts":[["2018","8","22"]]},"page":"894-901","title":"Associations of Work Stress, Supervisor Unfairness, and Supervisor Inability to Speak Spanish with Occupational Injury among Latino Farmworkers","type":"article-journal","volume":"20"},"uris":["http://www.mendeley.com/documents/?uuid=9b43b222-9317-40c0-9ba6-f3176910ec8e"]},{"id":"ITEM-2","itemData":{"DOI":"10.3390/ijerph18073675","ISSN":"1660-4601","abstract":"Migrant dairy workers in Vermont face a wide range of occupational and health hazards at work. This research examines the environmental risks, occupational health hazards, and health outcomes experienced by migrant dairy farm workers in Vermont. This research draws on a triangulation of sources including analysis of data—surveys and interviews with migrant dairy farmworkers gathered by the organization Migrant Justice since 2015 as well as relevant key informant interviews with community organizations across the state to characterize the occupational health experiences of migrant dairy workers in Vermont. Our results show that Vermont migrant dairy farmworkers received poor health and safety training and lacked sufficient protective gear. Over three quarters of the respondents reported experiencing harm from chemical and biological risks. Close to half the survey respondents reported headaches, itchy eyes and cough; a quarter reported breathing difficulties; three fourths reported being hurt by animal-related risks. These exposures and existing health concerns are avoidable. Migrant workers require better social representation and advocates to negotiate better work-related protection and training, access to health services, and social welfare to ensure their health and safety.","author":[{"dropping-particle":"","family":"Panikkar","given":"Bindu","non-dropping-particle":"","parse-names":false,"suffix":""},{"dropping-particle":"","family":"Barrett","given":"Mary-Kate","non-dropping-particle":"","parse-names":false,"suffix":""}],"container-title":"International Journal of Environmental Research and Public Health","id":"ITEM-2","issue":"7","issued":{"date-parts":[["2021","4","1"]]},"page":"3675","title":"Precarious Essential Work, Immigrant Dairy Farmworkers, and Occupational Health Experiences in Vermont","type":"article-journal","volume":"18"},"uris":["http://www.mendeley.com/documents/?uuid=9bc4ae86-e523-4594-b833-46e403734c80"]}],"mendeley":{"formattedCitation":"(Clouser et al., 2018; Panikkar &amp; Barrett, 2021)","plainTextFormattedCitation":"(Clouser et al., 2018; Panikkar &amp; Barrett, 2021)","previouslyFormattedCitation":"(Clouser et al., 2018; Panikkar &amp; Barrett, 2021)"},"properties":{"noteIndex":0},"schema":"https://github.com/citation-style-language/schema/raw/master/csl-citation.json"}</w:instrText>
      </w:r>
      <w:r w:rsidRPr="00CD2A14">
        <w:fldChar w:fldCharType="separate"/>
      </w:r>
      <w:r w:rsidRPr="00CD2A14">
        <w:rPr>
          <w:noProof/>
        </w:rPr>
        <w:t>(Clouser et al., 2018; Panikkar &amp; Barrett, 2021)</w:t>
      </w:r>
      <w:r w:rsidRPr="00CD2A14">
        <w:fldChar w:fldCharType="end"/>
      </w:r>
      <w:r>
        <w:t xml:space="preserve">, ultimately leading to work-related musculoskeletal injuries </w:t>
      </w:r>
      <w:r>
        <w:fldChar w:fldCharType="begin" w:fldLock="1"/>
      </w:r>
      <w:r>
        <w:instrText>ADDIN CSL_CITATION {"citationItems":[{"id":"ITEM-1","itemData":{"DOI":"10.1016/j.annepidem.2005.04.004","ISSN":"10472797","author":[{"dropping-particle":"","family":"Cooper","given":"S","non-dropping-particle":"","parse-names":false,"suffix":""},{"dropping-particle":"","family":"Burau","given":"K","non-dropping-particle":"","parse-names":false,"suffix":""},{"dropping-particle":"","family":"Frankowski","given":"R","non-dropping-particle":"","parse-names":false,"suffix":""},{"dropping-particle":"","family":"Shipp","given":"E","non-dropping-particle":"","parse-names":false,"suffix":""},{"dropping-particle":"","family":"Ddeljunco","given":"D","non-dropping-particle":"","parse-names":false,"suffix":""},{"dropping-particle":"","family":"Whitworth","given":"R","non-dropping-particle":"","parse-names":false,"suffix":""},{"dropping-particle":"","family":"Sweeney","given":"A","non-dropping-particle":"","parse-names":false,"suffix":""},{"dropping-particle":"","family":"Macnaughton","given":"N","non-dropping-particle":"","parse-names":false,"suffix":""},{"dropping-particle":"","family":"Wellor","given":"N","non-dropping-particle":"","parse-names":false,"suffix":""},{"dropping-particle":"","family":"Hanis","given":"C","non-dropping-particle":"","parse-names":false,"suffix":""}],"container-title":"Annals of Epidemiology","id":"ITEM-1","issue":"4","issued":{"date-parts":[["2006","4"]]},"page":"313-320","title":"A Cohort Study of Injuries in Migrant Farm Worker Families in South Texas","type":"article-journal","volume":"16"},"uris":["http://www.mendeley.com/documents/?uuid=284e748c-df3f-46db-b6df-bf00edac5202"]},{"id":"ITEM-2","itemData":{"DOI":"10.1002/ajim.10272","ISBN":"0271-3586","ISSN":"02713586","PMID":"12929142","abstract":"BACKGROUND: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workers","type":"article-journal","volume":"44"},"uris":["http://www.mendeley.com/documents/?uuid=454bc5f2-ae03-42ee-a3ee-918d04bc545c"]}],"mendeley":{"formattedCitation":"(Cooper et al., 2006; McCurdy et al., 2003)","plainTextFormattedCitation":"(Cooper et al., 2006; McCurdy et al., 2003)","previouslyFormattedCitation":"(Cooper et al., 2006; McCurdy et al., 2003)"},"properties":{"noteIndex":0},"schema":"https://github.com/citation-style-language/schema/raw/master/csl-citation.json"}</w:instrText>
      </w:r>
      <w:r>
        <w:fldChar w:fldCharType="separate"/>
      </w:r>
      <w:r w:rsidRPr="00CC5DA2">
        <w:rPr>
          <w:noProof/>
        </w:rPr>
        <w:t>(Cooper et al., 2006; McCurdy et al., 2003)</w:t>
      </w:r>
      <w:r>
        <w:fldChar w:fldCharType="end"/>
      </w:r>
      <w:r w:rsidRPr="00CD2A14">
        <w:t xml:space="preserve">. </w:t>
      </w:r>
      <w:r>
        <w:t xml:space="preserve">Particularly, this reported problem was affected by increasing age and being female </w:t>
      </w:r>
      <w:r>
        <w:fldChar w:fldCharType="begin" w:fldLock="1"/>
      </w:r>
      <w:r w:rsidR="004C3899">
        <w:instrText>ADDIN CSL_CITATION {"citationItems":[{"id":"ITEM-1","itemData":{"DOI":"10.13031/2013.26802","ISSN":"1943-7846","author":[{"dropping-particle":"","family":"D. J. Shah","given":"","non-dropping-particle":"","parse-names":false,"suffix":""},{"dropping-particle":"","family":"E. M. Shipp","given":"","non-dropping-particle":"","parse-names":false,"suffix":""},{"dropping-particle":"","family":"S. P. Cooper","given":"","non-dropping-particle":"","parse-names":false,"suffix":""},{"dropping-particle":"","family":"J. C. Huber","given":"","non-dropping-particle":"","parse-names":false,"suffix":""},{"dropping-particle":"","family":"D. J. del Junco","given":"","non-dropping-particle":"","parse-names":false,"suffix":""},{"dropping-particle":"","family":"A. A. Rene","given":"","non-dropping-particle":"","parse-names":false,"suffix":""},{"dropping-particle":"","family":"J. S. Moore","given":"","non-dropping-particle":"","parse-names":false,"suffix":""}],"container-title":"Journal of Agricultural Safety and Health","id":"ITEM-1","issue":"2","issued":{"date-parts":[["2009"]]},"page":"157-169","title":"Hand Problems in Migrant Farmworkers","type":"article-journal","volume":"15"},"uris":["http://www.mendeley.com/documents/?uuid=c61b11a6-7ce1-4386-a20c-de37ca98f2ee"]},{"id":"ITEM-2","itemData":{"DOI":"10.1002/ajim.10272","ISBN":"0271-3586","ISSN":"02713586","PMID":"12929142","abstract":"BACKGROUND: Agriculture is among the most hazardous industries in the United States. METHODS: A longitudinal study of injury among migrant Hispanic farm workers residing in six Northern California Migrant Family Housing Centers (MHCs) during the 1997 harvest season was conducted. Participants completed an initial interviewer-administered work-and-health questionnaire at the beginning of the harvest season addressing the preceding year; there were three periodic follow-up surveys. RESULTS: There were 1,201 adult farm workers (participation 85.2%) who completed the initial questionnaire. Of these, 837 (69.7%) completed the final follow-up survey. There were 86 agricultural injuries (incidence 9.3/100 full-time equivalent employees (FTEs), 95% CI 7.5-11.5/100 FTE). Increased risk for agricultural injury occurred among women paid piece-rate (RR 4.9, 95% CI 1.8-12.8). Sprains and strains were most common (31%), followed by lacerations (12%). CONCLUSIONS: Agricultural injury experience in this cohort is comparable to that of agricultural workers in other U.S. settings. Increased risk among women paid piece-rate suggests further study and potential policy changes regarding payment regimens. Heterogeneity of injury in this population presents a major prevention challenge. In view of high frequency of strain and sprain injuries, ergonomic interventions deserve further study.","author":[{"dropping-particle":"","family":"McCurdy","given":"Stephen A.","non-dropping-particle":"","parse-names":false,"suffix":""},{"dropping-particle":"","family":"Samuels","given":"Steven J.","non-dropping-particle":"","parse-names":false,"suffix":""},{"dropping-particle":"","family":"Carroll","given":"Daniel J.","non-dropping-particle":"","parse-names":false,"suffix":""},{"dropping-particle":"","family":"Beaumont","given":"James J.","non-dropping-particle":"","parse-names":false,"suffix":""},{"dropping-particle":"","family":"Morrin","given":"Lynne A.","non-dropping-particle":"","parse-names":false,"suffix":""}],"container-title":"American Journal of Industrial Medicine","id":"ITEM-2","issued":{"date-parts":[["2003"]]},"page":"225-235","title":"Agricultural injury in California migrant Hispanic farm workers","type":"article-journal","volume":"44"},"uris":["http://www.mendeley.com/documents/?uuid=454bc5f2-ae03-42ee-a3ee-918d04bc545c"]},{"id":"ITEM-3","itemData":{"DOI":"10.1002/ajim.22118","ISBN":"0271-3586","ISSN":"02713586","PMID":"23023585","abstract":"BACKGROUND: Agriculture poses varied dangers to hired farm workers in the U.S., but little information exists on occupational risks for chronic musculoskeletal pain. We examined common work positions, such as kneeling, carrying heavy loads, and repetitive motion that may increase the risk for chronic musculoskeletal pain.\\n\\nMETHODS: MICASA is a population-based study of occupational exposures and health in hired farm workers in California. This analysis includes 759 participants, 18-55 years old, engaged in farm work and residing in Mendota, CA. Chronic pain was defined as pain lasting 6 weeks or longer at specific body sites (back, knee, hip, etc.) over the entire farm work career.\\n\\nRESULTS: Mean age was 37.9 years. Sixty-five percent participants were born in Mexico, 27.7% were born in El Salvador, and 4.2% were U.S-born. Chronic pain was associated with older age and female sex. After adjustment for age, years working in agriculture, and smoking, stooping/bending &gt;30 hr/week among both men (OR = 2.49, 95% CI: 1.03-5.99) and women (OR = 2.15, 95% CI: 1.04-4.46) was associated with chronic hip pain. Driving tractors or other heavy farm equipment &gt;60 hr/week was associated with increased odds of chronic hip pain (OR = 2.16, 95% CI: 1.02-4.54) among men. We also observed significant associations with kneeling or crawling &gt;35 hr/week among women for both chronic back pain (OR = 2.96, 95% CI: 1.27-6.93) and knee pain (OR = 3.02, 95% CI: 1.07-8.50), respectively.\\n\\nCONCLUSIONS: Chronic musculoskeletal pain is prevalent among farm workers and is associated with common work positions. Further research should focus on developing preventive interventions for tasks associated with increased pain risk. These interventions should be targeted to specific types of agricultural tasks.","author":[{"dropping-particle":"","family":"Xiao","given":"Hong","non-dropping-particle":"","parse-names":false,"suffix":""},{"dropping-particle":"","family":"Mccurdy","given":"Stephen A.","non-dropping-particle":"","parse-names":false,"suffix":""},{"dropping-particle":"","family":"Stoecklin-Marois","given":"Maria T.","non-dropping-particle":"","parse-names":false,"suffix":""},{"dropping-particle":"","family":"Li","given":"Chin Shang","non-dropping-particle":"","parse-names":false,"suffix":""},{"dropping-particle":"","family":"Schenker","given":"Marc B.","non-dropping-particle":"","parse-names":false,"suffix":""}],"container-title":"American Journal of Industrial Medicine","id":"ITEM-3","issued":{"date-parts":[["2013"]]},"page":"216-225","title":"Agricultural work and chronic musculoskeletal pain among latino farm workers: The MICASA study","type":"article-journal","volume":"56"},"uris":["http://www.mendeley.com/documents/?uuid=d188d611-f7f4-4eb9-915b-f39d122b9eb2"]}],"mendeley":{"formattedCitation":"(D. J. Shah et al., 2009; McCurdy et al., 2003; Xiao et al., 2013)","manualFormatting":"(Shah et al., 2009; McCurdy et al., 2003)","plainTextFormattedCitation":"(D. J. Shah et al., 2009; McCurdy et al., 2003; Xiao et al., 2013)","previouslyFormattedCitation":"(D. J. Shah et al., 2009; McCurdy et al., 2003; Xiao et al., 2013)"},"properties":{"noteIndex":0},"schema":"https://github.com/citation-style-language/schema/raw/master/csl-citation.json"}</w:instrText>
      </w:r>
      <w:r>
        <w:fldChar w:fldCharType="separate"/>
      </w:r>
      <w:r w:rsidRPr="004078C6">
        <w:rPr>
          <w:noProof/>
        </w:rPr>
        <w:t>(Shah et al., 2009; McCurdy et al., 2003)</w:t>
      </w:r>
      <w:r>
        <w:fldChar w:fldCharType="end"/>
      </w:r>
      <w:r>
        <w:t>. Notwithstanding, the research instrument for ergonomic assessment that is adapted to this population has been lacking.</w:t>
      </w:r>
    </w:p>
    <w:p w14:paraId="73E2324D" w14:textId="3717DE46" w:rsidR="003A4B9E" w:rsidRDefault="003A4B9E" w:rsidP="003A4B9E">
      <w:pPr>
        <w:pStyle w:val="Heading3"/>
        <w:spacing w:line="480" w:lineRule="auto"/>
      </w:pPr>
      <w:r>
        <w:t>1.</w:t>
      </w:r>
      <w:r w:rsidR="0047623D">
        <w:t>2</w:t>
      </w:r>
      <w:r>
        <w:t xml:space="preserve"> Objective and subjective measures in ergonomic assessment</w:t>
      </w:r>
    </w:p>
    <w:p w14:paraId="0EF46021" w14:textId="095A9A68" w:rsidR="00BD04E1" w:rsidRDefault="003E743B" w:rsidP="00497399">
      <w:pPr>
        <w:spacing w:line="480" w:lineRule="auto"/>
      </w:pPr>
      <w:r>
        <w:t xml:space="preserve">Field ergonomic assessment can be done in both objective and subjective manners; in other words, the exposure to occupational ergonomic risk could be </w:t>
      </w:r>
      <w:r w:rsidR="004F1E78">
        <w:t>evaluated</w:t>
      </w:r>
      <w:r>
        <w:t xml:space="preserve"> through direct measurement using sensors as well as through participant’s subjective ratings.</w:t>
      </w:r>
    </w:p>
    <w:p w14:paraId="6EBA0E01" w14:textId="2DCD5F67" w:rsidR="000C14C8" w:rsidRDefault="003E743B" w:rsidP="003E743B">
      <w:pPr>
        <w:spacing w:line="480" w:lineRule="auto"/>
      </w:pPr>
      <w:r>
        <w:t xml:space="preserve">Metabolic </w:t>
      </w:r>
      <w:r w:rsidR="0079332D">
        <w:t>equivalent</w:t>
      </w:r>
      <w:r w:rsidR="005A4496">
        <w:t xml:space="preserve"> (MET)</w:t>
      </w:r>
      <w:r w:rsidR="0079332D">
        <w:t xml:space="preserve">, </w:t>
      </w:r>
      <w:r w:rsidR="007B4199">
        <w:t xml:space="preserve">defined as the oxygen consumption of a person and </w:t>
      </w:r>
      <w:r w:rsidR="0079332D">
        <w:t>representing a rate at which a person burns energy,</w:t>
      </w:r>
      <w:r>
        <w:t xml:space="preserve"> </w:t>
      </w:r>
      <w:r w:rsidR="00987A1E">
        <w:t xml:space="preserve">has been widely accepted as </w:t>
      </w:r>
      <w:r w:rsidR="005A4496">
        <w:t>a measures for the</w:t>
      </w:r>
      <w:r w:rsidR="0079332D">
        <w:t xml:space="preserve"> intensity of </w:t>
      </w:r>
      <w:r w:rsidR="005A4496">
        <w:t xml:space="preserve">a </w:t>
      </w:r>
      <w:r w:rsidR="0079332D">
        <w:t>physical exercise</w:t>
      </w:r>
      <w:r w:rsidR="005A44D5">
        <w:t xml:space="preserve"> or work</w:t>
      </w:r>
      <w:r w:rsidR="0079332D">
        <w:t xml:space="preserve"> </w:t>
      </w:r>
      <w:r w:rsidR="005A4496">
        <w:t>among adults aged 18 to 65 years</w:t>
      </w:r>
      <w:r w:rsidR="0094670B">
        <w:t xml:space="preserve"> </w:t>
      </w:r>
      <w:r w:rsidR="0094670B">
        <w:fldChar w:fldCharType="begin" w:fldLock="1"/>
      </w:r>
      <w:r w:rsidR="005A44D5">
        <w:instrText>ADDIN CSL_CITATION {"citationItems":[{"id":"ITEM-1","itemData":{"DOI":"10.1249/mss.0b013e3180616b27","ISSN":"0195-9131","author":[{"dropping-particle":"","family":"Haskel","given":"WILLIAM L.","non-dropping-particle":"","parse-names":false,"suffix":""},{"dropping-particle":"","family":"Lee","given":"I-MIN","non-dropping-particle":"","parse-names":false,"suffix":""},{"dropping-particle":"","family":"Pate","given":"RUSSELL R.","non-dropping-particle":"","parse-names":false,"suffix":""},{"dropping-particle":"","family":"Powell","given":"KENNETH E.","non-dropping-particle":"","parse-names":false,"suffix":""},{"dropping-particle":"","family":"Blair","given":"STEVEN N.","non-dropping-particle":"","parse-names":false,"suffix":""},{"dropping-particle":"","family":"Franklin","given":"BARRY A.","non-dropping-particle":"","parse-names":false,"suffix":""},{"dropping-particle":"","family":"Macera","given":"CAROLINE A.","non-dropping-particle":"","parse-names":false,"suffix":""},{"dropping-particle":"","family":"Heath","given":"GREGORY W.","non-dropping-particle":"","parse-names":false,"suffix":""},{"dropping-particle":"","family":"Thompson","given":"PAUL D.","non-dropping-particle":"","parse-names":false,"suffix":""},{"dropping-particle":"","family":"Bauman","given":"ADRIAN","non-dropping-particle":"","parse-names":false,"suffix":""}],"container-title":"Medicine &amp; Science in Sports &amp; Exercise","id":"ITEM-1","issue":"8","issued":{"date-parts":[["2007","8"]]},"page":"1423-1434","title":"Physical Activity and Public Health","type":"article-journal","volume":"39"},"uris":["http://www.mendeley.com/documents/?uuid=1a540519-b507-403e-958c-17204103fa56"]},{"id":"ITEM-2","itemData":{"DOI":"10.1080/00913847.2016.1158624","ISSN":"0091-3847","author":[{"dropping-particle":"","family":"Cristi-Montero","given":"Carlos","non-dropping-particle":"","parse-names":false,"suffix":""}],"container-title":"The Physician and Sportsmedicine","id":"ITEM-2","issue":"2","issued":{"date-parts":[["2016","4","2"]]},"page":"109-111","title":"Considerations regarding the use of metabolic equivalents when prescribing exercise for health: preventive medicine in practice","type":"article-journal","volume":"44"},"uris":["http://www.mendeley.com/documents/?uuid=a64c3b95-3b96-4f9e-b94d-cc9190e9fef4"]}],"mendeley":{"formattedCitation":"(Cristi-Montero, 2016; Haskel et al., 2007)","plainTextFormattedCitation":"(Cristi-Montero, 2016; Haskel et al., 2007)","previouslyFormattedCitation":"(Cristi-Montero, 2016; Haskel et al., 2007)"},"properties":{"noteIndex":0},"schema":"https://github.com/citation-style-language/schema/raw/master/csl-citation.json"}</w:instrText>
      </w:r>
      <w:r w:rsidR="0094670B">
        <w:fldChar w:fldCharType="separate"/>
      </w:r>
      <w:r w:rsidR="005A4496" w:rsidRPr="005A4496">
        <w:rPr>
          <w:noProof/>
        </w:rPr>
        <w:t>(Cristi-Montero, 2016; Haskel et al., 2007)</w:t>
      </w:r>
      <w:r w:rsidR="0094670B">
        <w:fldChar w:fldCharType="end"/>
      </w:r>
      <w:r w:rsidR="0079332D">
        <w:t>.</w:t>
      </w:r>
      <w:r w:rsidR="005A4496">
        <w:t xml:space="preserve"> Due to </w:t>
      </w:r>
      <w:r w:rsidR="005A4496">
        <w:lastRenderedPageBreak/>
        <w:t>difficulties in measuring oxygen consumption</w:t>
      </w:r>
      <w:r w:rsidR="00D356FB">
        <w:t xml:space="preserve"> outside laborator</w:t>
      </w:r>
      <w:r w:rsidR="000C14C8">
        <w:t>ies</w:t>
      </w:r>
      <w:r w:rsidR="005A4496">
        <w:t>, numerous studies estimated the MET using other measures feasible in the field such as acceleration</w:t>
      </w:r>
      <w:r w:rsidR="005A44D5">
        <w:t xml:space="preserve"> </w:t>
      </w:r>
      <w:r w:rsidR="005A44D5">
        <w:fldChar w:fldCharType="begin" w:fldLock="1"/>
      </w:r>
      <w:r w:rsidR="005A44D5">
        <w:instrText>ADDIN CSL_CITATION {"citationItems":[{"id":"ITEM-1","itemData":{"DOI":"10.2478/hukin-2022-0004","ISSN":"1899-7562","abstract":"Indoor spin cycling has gained popularity as a training modality for triathletes. Part of its appeal is that it can form a component of a structured periodised training program and provide an alternative to outdoor cycling. Indices of physiological components (i.e., the metabolic equivalent, caloric cost, perceived exertion) and changes in the body position can be inferred by wearable technology such as an accelerometer. This pilot study aimed to investigate the relationship between the rating of perceived exertion, heart rate reserve, and the metabolic equivalent between the whole body centre of mass acceleration using a sacrum mounted triaxial accelerometer during 20 minutes of 6 varied power conditions of indoor spin cycling. Compared with other conditions, cycling at a steady state (&gt;152-205 W) resulted in extremely large effects (&gt; 0.9) in mediolateral acceleration and the rating of perceived exertion (p &lt; 0.0001). The relationship between the body position (aerodynamic to drops) induced significant changes in anteroposterior acceleration magnitude (p &lt; 0.0001), although moving from drops to the aerodynamic position was not significant despite a large increase in heart rate reserve and extremely large effects of perceived exertion. The rating of perceived exertion scale and the metabolic equivalent comparative to the whole body centre of mass acceleration magnitude and power displayed a strong correlation (r = 0.865). An individually determined whole body centre of mass accelerations combined with perceived exertion, the metabolic equivalent and heart rate reserve could potentially contribute to improved indoor triathlete spin cycling performance.","author":[{"dropping-particle":"","family":"Evans","given":"Stuart A","non-dropping-particle":"","parse-names":false,"suffix":""},{"dropping-particle":"","family":"James","given":"Daniel A","non-dropping-particle":"","parse-names":false,"suffix":""},{"dropping-particle":"","family":"Rowlands","given":"David","non-dropping-particle":"","parse-names":false,"suffix":""},{"dropping-particle":"","family":"Lee","given":"James B","non-dropping-particle":"","parse-names":false,"suffix":""}],"container-title":"Journal of Human Kinetics","id":"ITEM-1","issue":"1","issued":{"date-parts":[["2022","2","10"]]},"page":"41-52","title":"Impact of Centre-of-Mass Acceleration on Perceived Exertion, the Metabolic Equivalent and Heart Rate Reserve in Triathlete Spin Cycling: A Pilot Study","type":"article-journal","volume":"81"},"uris":["http://www.mendeley.com/documents/?uuid=a5575fd7-c3b4-49cf-b756-95f13a030e72"]},{"id":"ITEM-2","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OnLine","id":"ITEM-2","issue":"1","issued":{"date-parts":[["2018","12","28"]]},"page":"100","title":"Estimating metabolic equivalents for activities in daily life using acceleration and heart rate in wearable devices","type":"article-journal","volume":"17"},"uris":["http://www.mendeley.com/documents/?uuid=e8f62831-8d63-4faf-88b2-0b88042803eb"]}],"mendeley":{"formattedCitation":"(Evans et al., 2022; Nakanishi et al., 2018)","plainTextFormattedCitation":"(Evans et al., 2022; Nakanishi et al., 2018)","previouslyFormattedCitation":"(Evans et al., 2022; Nakanishi et al., 2018)"},"properties":{"noteIndex":0},"schema":"https://github.com/citation-style-language/schema/raw/master/csl-citation.json"}</w:instrText>
      </w:r>
      <w:r w:rsidR="005A44D5">
        <w:fldChar w:fldCharType="separate"/>
      </w:r>
      <w:r w:rsidR="005A44D5" w:rsidRPr="005A44D5">
        <w:rPr>
          <w:noProof/>
        </w:rPr>
        <w:t>(Evans et al., 2022; Nakanishi et al., 2018)</w:t>
      </w:r>
      <w:r w:rsidR="005A44D5">
        <w:fldChar w:fldCharType="end"/>
      </w:r>
      <w:r w:rsidR="005A4496">
        <w:t xml:space="preserve"> and heart rate</w:t>
      </w:r>
      <w:r w:rsidR="005A44D5">
        <w:t xml:space="preserve"> </w:t>
      </w:r>
      <w:r w:rsidR="005A44D5">
        <w:fldChar w:fldCharType="begin" w:fldLock="1"/>
      </w:r>
      <w:r w:rsidR="00D356FB">
        <w:instrText>ADDIN CSL_CITATION {"citationItems":[{"id":"ITEM-1","itemData":{"DOI":"10.1186/s12938-018-0532-2","ISSN":"1475-925X","author":[{"dropping-particle":"","family":"Nakanishi","given":"Motofumi","non-dropping-particle":"","parse-names":false,"suffix":""},{"dropping-particle":"","family":"Izumi","given":"Shintaro","non-dropping-particle":"","parse-names":false,"suffix":""},{"dropping-particle":"","family":"Nagayoshi","given":"Sho","non-dropping-particle":"","parse-names":false,"suffix":""},{"dropping-particle":"","family":"Kawaguchi","given":"Hiroshi","non-dropping-particle":"","parse-names":false,"suffix":""},{"dropping-particle":"","family":"Yoshimoto","given":"Masahiko","non-dropping-particle":"","parse-names":false,"suffix":""},{"dropping-particle":"","family":"Shiga","given":"Toshikazu","non-dropping-particle":"","parse-names":false,"suffix":""},{"dropping-particle":"","family":"Ando","given":"Takafumi","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Tanaka","given":"Shigeho","non-dropping-particle":"","parse-names":false,"suffix":""}],"container-title":"BioMedical Engineering OnLine","id":"ITEM-1","issue":"1","issued":{"date-parts":[["2018","12","28"]]},"page":"100","title":"Estimating metabolic equivalents for activities in daily life using acceleration and heart rate in wearable devices","type":"article-journal","volume":"17"},"uris":["http://www.mendeley.com/documents/?uuid=e8f62831-8d63-4faf-88b2-0b88042803eb"]},{"id":"ITEM-2","itemData":{"DOI":"10.3390/ijerph17010216","ISSN":"1660-4601","abstract":"Background: Heart rate (HR) during physical activity is strongly affected by the level of physical fitness. Therefore, to assess the effects of fitness, we developed predictive equations to estimate the metabolic equivalent (MET) of daily activities, which includes low intensity activities, by % HR reserve (%HRR), resting HR, and multiple physical characteristics. Methods: Forty volunteers between the ages of 21 and 55 performed 20 types of daily activities while recording HR and sampling expired gas to evaluate METs values. Multiple regression analysis was performed to develop prediction models of METs with seven potential predictors, such as %HRR, resting HR, and sex. The contributing parameters were selected based on the brute force method. Additionally, leave-one-out method was performed to validate the prediction models. Results: %HRR, resting HR, sex, and height were selected as the independent variables. %HRR showed the highest contribution in the model, while the other variables exhibited small variances. METs were estimated within a 17.3% difference for each activity, with large differences in document arrangement while sitting (+17%), ascending stairs (−8%), and descending stairs (+8%). Conclusions: The results showed that %HRR is a strong predictor for estimating the METs of daily activities. Resting HR and other variables were mild contributors. (201 words)","author":[{"dropping-particle":"","family":"Caballero","given":"Yuko","non-dropping-particle":"","parse-names":false,"suffix":""},{"dropping-particle":"","family":"Ando","given":"Takafumi J.","non-dropping-particle":"","parse-names":false,"suffix":""},{"dropping-particle":"","family":"Nakae","given":"Satoshi","non-dropping-particle":"","parse-names":false,"suffix":""},{"dropping-particle":"","family":"Usui","given":"Chiyoko","non-dropping-particle":"","parse-names":false,"suffix":""},{"dropping-particle":"","family":"Aoyama","given":"Tomoko","non-dropping-particle":"","parse-names":false,"suffix":""},{"dropping-particle":"","family":"Nakanishi","given":"Motofumi","non-dropping-particle":"","parse-names":false,"suffix":""},{"dropping-particle":"","family":"Nagayoshi","given":"Sho","non-dropping-particle":"","parse-names":false,"suffix":""},{"dropping-particle":"","family":"Fujiwara","given":"Yoko","non-dropping-particle":"","parse-names":false,"suffix":""},{"dropping-particle":"","family":"Tanaka","given":"Shigeho","non-dropping-particle":"","parse-names":false,"suffix":""}],"container-title":"International Journal of Environmental Research and Public Health","id":"ITEM-2","issue":"1","issued":{"date-parts":[["2019","12","27"]]},"page":"216","title":"Simple Prediction of Metabolic Equivalents of Daily Activities Using Heart Rate Monitor without Calibration of Individuals","type":"article-journal","volume":"17"},"uris":["http://www.mendeley.com/documents/?uuid=56a9078a-47a9-446f-ac34-4556a3b0bb60"]},{"id":"ITEM-3","itemData":{"DOI":"10.1080/02640410470001730089","ISBN":"0264-0414","ISSN":"02640414","PMID":"15966347","abstract":"The aims of this study were to quantify the effects of factors such as mode of exercise, body composition and training on the relationship between heart rate and physical activity energy expenditure (measured in kJ x min(-1)) and to develop prediction equations for energy expenditure from heart rate. Regularly exercising individuals (n = 115; age 18-45 years, body mass 47-120 kg) underwent a test for maximal oxygen uptake (VO2max test), using incremental protocols on either a cycle ergometer or treadmill; VO2max ranged from 27 to 81 ml x kg(-1) x min(-1). The participants then completed three steady-state exercise stages on either the treadmill (10 min) or the cycle ergometer (15 min) at 35%, 62% and 80% of VO2max, corresponding to 57%, 77% and 90% of maximal heart rate. Heart rate and respiratory exchange ratio data were collected during each stage. A mixed-model analysis identified gender, heart rate, weight, V2max and age as factors that best predicted the relationship between heart rate and energy expenditure. The model (with the highest likelihood ratio) was used to estimate energy expenditure. The correlation coefficient (r) between the measured and estimated energy expenditure was 0.913. The model therefore accounted for 83.3% (R2) of the variance in energy expenditure in this sample. Because a measure of fitness, such as VO2max, is not always available, a model without VO2max included was also fitted. The correlation coefficient between the measured energy expenditure and estimates from the mixed model without VO2max was 0.857. It follows that the model without a fitness measure accounted for 73.4% of the variance in energy expenditure in this sample. Based on these results, we conclude that it is possible to estimate physical activity energy expenditure from heart rate in a group of individuals with a great deal of accuracy, after adjusting for age, gender, body mass and fitness.","author":[{"dropping-particle":"","family":"Keytel","given":"L. R.","non-dropping-particle":"","parse-names":false,"suffix":""},{"dropping-particle":"","family":"Goedecke","given":"J. H.","non-dropping-particle":"","parse-names":false,"suffix":""},{"dropping-particle":"","family":"Noakes","given":"T. D.","non-dropping-particle":"","parse-names":false,"suffix":""},{"dropping-particle":"","family":"Hiiloskorpi","given":"H.","non-dropping-particle":"","parse-names":false,"suffix":""},{"dropping-particle":"","family":"Laukkanen","given":"R.","non-dropping-particle":"","parse-names":false,"suffix":""},{"dropping-particle":"","family":"Merwe","given":"L.","non-dropping-particle":"van der","parse-names":false,"suffix":""},{"dropping-particle":"V.","family":"Lambert","given":"E.","non-dropping-particle":"","parse-names":false,"suffix":""}],"container-title":"Journal of Sports Sciences","id":"ITEM-3","issued":{"date-parts":[["2005"]]},"title":"Prediction of energy expenditure from heart rate monitoring during submaximal exercise","type":"article-journal"},"uris":["http://www.mendeley.com/documents/?uuid=1303caa5-29e3-42a4-ba99-3d9bcfcd74a4"]}],"mendeley":{"formattedCitation":"(Caballero et al., 2019; Keytel et al., 2005; Nakanishi et al., 2018)","plainTextFormattedCitation":"(Caballero et al., 2019; Keytel et al., 2005; Nakanishi et al., 2018)","previouslyFormattedCitation":"(Caballero et al., 2019; Keytel et al., 2005; Nakanishi et al., 2018)"},"properties":{"noteIndex":0},"schema":"https://github.com/citation-style-language/schema/raw/master/csl-citation.json"}</w:instrText>
      </w:r>
      <w:r w:rsidR="005A44D5">
        <w:fldChar w:fldCharType="separate"/>
      </w:r>
      <w:r w:rsidR="00D356FB" w:rsidRPr="00D356FB">
        <w:rPr>
          <w:noProof/>
        </w:rPr>
        <w:t>(Caballero et al., 2019; Keytel et al., 2005; Nakanishi et al., 2018)</w:t>
      </w:r>
      <w:r w:rsidR="005A44D5">
        <w:fldChar w:fldCharType="end"/>
      </w:r>
      <w:r w:rsidR="005A4496">
        <w:t>.</w:t>
      </w:r>
      <w:r w:rsidR="000C14C8">
        <w:t xml:space="preserve"> In the occupational health area, a heart-rate-based approach was also developed for determining the cost effectiveness of ergonomic interventions including break strategies, i.e. duration and frequency, as well as the provision of air-conditioning </w:t>
      </w:r>
      <w:r w:rsidR="000C14C8">
        <w:fldChar w:fldCharType="begin" w:fldLock="1"/>
      </w:r>
      <w:r w:rsidR="000C14C8">
        <w:instrText>ADDIN CSL_CITATION {"citationItems":[{"id":"ITEM-1","itemData":{"DOI":"10.1080/10803548.2001.11076481","ISSN":"1080-3548","author":[{"dropping-particle":"","family":"Bedny","given":"Gregory Z.","non-dropping-particle":"","parse-names":false,"suffix":""},{"dropping-particle":"","family":"Karwowski","given":"Waldemar","non-dropping-particle":"","parse-names":false,"suffix":""},{"dropping-particle":"","family":"Seglin","given":"Mark H.","non-dropping-particle":"","parse-names":false,"suffix":""}],"container-title":"International Journal of Occupational Safety and Ergonomics","id":"ITEM-1","issue":"2","issued":{"date-parts":[["2001","1","8"]]},"page":"121-133","title":"A Heart Rate Evaluation Approach to Determine Cost-Effectiveness an Ergonomics Intervention","type":"article-journal","volume":"7"},"uris":["http://www.mendeley.com/documents/?uuid=db899cee-738c-428b-b8cb-7c6574c14eb8"]}],"mendeley":{"formattedCitation":"(Bedny et al., 2001)","plainTextFormattedCitation":"(Bedny et al., 2001)","previouslyFormattedCitation":"(Bedny et al., 2001)"},"properties":{"noteIndex":0},"schema":"https://github.com/citation-style-language/schema/raw/master/csl-citation.json"}</w:instrText>
      </w:r>
      <w:r w:rsidR="000C14C8">
        <w:fldChar w:fldCharType="separate"/>
      </w:r>
      <w:r w:rsidR="000C14C8" w:rsidRPr="007B4199">
        <w:rPr>
          <w:noProof/>
        </w:rPr>
        <w:t>(Bedny et al., 2001)</w:t>
      </w:r>
      <w:r w:rsidR="000C14C8">
        <w:fldChar w:fldCharType="end"/>
      </w:r>
      <w:r w:rsidR="000C14C8">
        <w:t xml:space="preserve">. </w:t>
      </w:r>
      <w:r w:rsidR="00F87EFA">
        <w:t xml:space="preserve">In agricultural field settings, heart rates were used for evaluating work conditions in several activities such as </w:t>
      </w:r>
      <w:r w:rsidR="000C1B26">
        <w:t>cultivating potatoes</w:t>
      </w:r>
      <w:r w:rsidR="00F87EFA">
        <w:t xml:space="preserve"> </w:t>
      </w:r>
      <w:r w:rsidR="00F87EFA">
        <w:fldChar w:fldCharType="begin" w:fldLock="1"/>
      </w:r>
      <w:r w:rsidR="00F87EFA">
        <w:instrText>ADDIN CSL_CITATION {"citationItems":[{"id":"ITEM-1","itemData":{"DOI":"10.1539/joh.12-0185-OA","ISSN":"1341-9145","author":[{"dropping-particle":"","family":"Das","given":"Banibrata","non-dropping-particle":"","parse-names":false,"suffix":""},{"dropping-particle":"","family":"Ghosh","given":"Tirthankar","non-dropping-particle":"","parse-names":false,"suffix":""},{"dropping-particle":"","family":"Gangopadhyay","given":"Somnath","non-dropping-particle":"","parse-names":false,"suffix":""}],"container-title":"Journal of Occupational Health","id":"ITEM-1","issue":"4","issued":{"date-parts":[["2013","7","6"]]},"page":"244-258","title":"Child Work in Agriculture in West Bengal, India: Assessment of Musculoskeletal Disorders and Occupational Health Problems","type":"article-journal","volume":"55"},"uris":["http://www.mendeley.com/documents/?uuid=0b264f29-e75d-4cdc-962f-b2ec5e4d1e6c"]}],"mendeley":{"formattedCitation":"(Das et al., 2013)","plainTextFormattedCitation":"(Das et al., 2013)","previouslyFormattedCitation":"(Das et al., 2013)"},"properties":{"noteIndex":0},"schema":"https://github.com/citation-style-language/schema/raw/master/csl-citation.json"}</w:instrText>
      </w:r>
      <w:r w:rsidR="00F87EFA">
        <w:fldChar w:fldCharType="separate"/>
      </w:r>
      <w:r w:rsidR="00F87EFA" w:rsidRPr="00087C8E">
        <w:rPr>
          <w:noProof/>
        </w:rPr>
        <w:t>(Das et al., 2013)</w:t>
      </w:r>
      <w:r w:rsidR="00F87EFA">
        <w:fldChar w:fldCharType="end"/>
      </w:r>
      <w:r w:rsidR="00F87EFA">
        <w:t xml:space="preserve">, rice </w:t>
      </w:r>
      <w:r w:rsidR="00F87EFA">
        <w:fldChar w:fldCharType="begin" w:fldLock="1"/>
      </w:r>
      <w:r w:rsidR="00F87EFA">
        <w:instrText>ADDIN CSL_CITATION {"citationItems":[{"id":"ITEM-1","itemData":{"DOI":"10.2486/indhealth.2013-0006","ISSN":"0019-8366","author":[{"dropping-particle":"","family":"Sahu","given":"Subhashis","non-dropping-particle":"","parse-names":false,"suffix":""},{"dropping-particle":"","family":"Sett","given":"Moumita","non-dropping-particle":"","parse-names":false,"suffix":""},{"dropping-particle":"","family":"Kjellstrom","given":"Tord","non-dropping-particle":"","parse-names":false,"suffix":""}],"container-title":"Industrial Health","id":"ITEM-1","issue":"4","issued":{"date-parts":[["2013"]]},"page":"424-431","title":"Heat Exposure, Cardiovascular Stress and Work Productivity in Rice Harvesters in India: Implications for a Climate Change Future","type":"article-journal","volume":"51"},"uris":["http://www.mendeley.com/documents/?uuid=ecd1b7f8-f82c-48d0-b48f-f25c79c67485"]}],"mendeley":{"formattedCitation":"(Sahu et al., 2013)","plainTextFormattedCitation":"(Sahu et al., 2013)","previouslyFormattedCitation":"(Sahu et al., 2013)"},"properties":{"noteIndex":0},"schema":"https://github.com/citation-style-language/schema/raw/master/csl-citation.json"}</w:instrText>
      </w:r>
      <w:r w:rsidR="00F87EFA">
        <w:fldChar w:fldCharType="separate"/>
      </w:r>
      <w:r w:rsidR="00F87EFA" w:rsidRPr="00087C8E">
        <w:rPr>
          <w:noProof/>
        </w:rPr>
        <w:t>(Sahu et al., 2013)</w:t>
      </w:r>
      <w:r w:rsidR="00F87EFA">
        <w:fldChar w:fldCharType="end"/>
      </w:r>
      <w:r w:rsidR="00F87EFA">
        <w:t xml:space="preserve">, wheat </w:t>
      </w:r>
      <w:r w:rsidR="00F87EFA">
        <w:fldChar w:fldCharType="begin" w:fldLock="1"/>
      </w:r>
      <w:r w:rsidR="000C1B26">
        <w:instrText>ADDIN CSL_CITATION {"citationItems":[{"id":"ITEM-1","itemData":{"DOI":"10.5897/AJAR2013.7956","ISSN":"1991-637X","author":[{"dropping-particle":"","family":"Alka","given":"Singh","non-dropping-particle":"","parse-names":false,"suffix":""},{"dropping-particle":"","family":"U.","given":"S. Gautam","non-dropping-particle":"","parse-names":false,"suffix":""},{"dropping-particle":"","family":"Rajesh","given":"Singh","non-dropping-particle":"","parse-names":false,"suffix":""},{"dropping-particle":"","family":"Dinesh","given":"Paliwal","non-dropping-particle":"","parse-names":false,"suffix":""}],"container-title":"African Journal of Agricultural Research","id":"ITEM-1","issue":"18","issued":{"date-parts":[["2014","5","5"]]},"page":"1386-1390","title":"Ergonomic study of farm women during wheat harvesting by improved sickle","type":"article-journal","volume":"9"},"uris":["http://www.mendeley.com/documents/?uuid=b3cc8da4-c0bc-4308-b77d-25e8e3fc683c"]}],"mendeley":{"formattedCitation":"(Alka et al., 2014)","plainTextFormattedCitation":"(Alka et al., 2014)","previouslyFormattedCitation":"(Alka et al., 2014)"},"properties":{"noteIndex":0},"schema":"https://github.com/citation-style-language/schema/raw/master/csl-citation.json"}</w:instrText>
      </w:r>
      <w:r w:rsidR="00F87EFA">
        <w:fldChar w:fldCharType="separate"/>
      </w:r>
      <w:r w:rsidR="00F87EFA" w:rsidRPr="00F87EFA">
        <w:rPr>
          <w:noProof/>
        </w:rPr>
        <w:t>(Alka et al., 2014)</w:t>
      </w:r>
      <w:r w:rsidR="00F87EFA">
        <w:fldChar w:fldCharType="end"/>
      </w:r>
      <w:r w:rsidR="00F87EFA">
        <w:t xml:space="preserve"> and apple</w:t>
      </w:r>
      <w:r w:rsidR="009412F3">
        <w:t>s</w:t>
      </w:r>
      <w:r w:rsidR="00F87EFA">
        <w:t xml:space="preserve"> </w:t>
      </w:r>
      <w:r w:rsidR="00F87EFA">
        <w:fldChar w:fldCharType="begin" w:fldLock="1"/>
      </w:r>
      <w:r w:rsidR="00F87EFA">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F87EFA">
        <w:fldChar w:fldCharType="separate"/>
      </w:r>
      <w:r w:rsidR="00F87EFA" w:rsidRPr="00087C8E">
        <w:rPr>
          <w:noProof/>
        </w:rPr>
        <w:t>(Thamsuwan et al., 2019)</w:t>
      </w:r>
      <w:r w:rsidR="00F87EFA">
        <w:fldChar w:fldCharType="end"/>
      </w:r>
      <w:r w:rsidR="00F87EFA">
        <w:t>. However,</w:t>
      </w:r>
      <w:r w:rsidR="00D356FB">
        <w:t xml:space="preserve"> </w:t>
      </w:r>
      <w:r w:rsidR="009412F3">
        <w:t xml:space="preserve">one drawback of this technique is that </w:t>
      </w:r>
      <w:r w:rsidR="00D356FB">
        <w:t xml:space="preserve">heart rate varies by age, sex, BMI and fitness </w:t>
      </w:r>
      <w:r w:rsidR="00D356FB">
        <w:fldChar w:fldCharType="begin" w:fldLock="1"/>
      </w:r>
      <w:r w:rsidR="005F748A">
        <w:instrText>ADDIN CSL_CITATION {"citationItems":[{"id":"ITEM-1","itemData":{"DOI":"10.1055/s-1999-8829","ISSN":"01724622","author":[{"dropping-particle":"","family":"Hiilloskorpi","given":"","non-dropping-particle":"","parse-names":false,"suffix":""},{"dropping-particle":"","family":"Fogelholm","given":"","non-dropping-particle":"","parse-names":false,"suffix":""},{"dropping-particle":"","family":"Laukkanen","given":"","non-dropping-particle":"","parse-names":false,"suffix":""},{"dropping-particle":"","family":"Pasanen","given":"","non-dropping-particle":"","parse-names":false,"suffix":""},{"dropping-particle":"","family":"Oja","given":"","non-dropping-particle":"","parse-names":false,"suffix":""},{"dropping-particle":"","family":"Mänttäri","given":"","non-dropping-particle":"","parse-names":false,"suffix":""},{"dropping-particle":"","family":"Natri","given":"","non-dropping-particle":"","parse-names":false,"suffix":""}],"container-title":"International Journal of Sports Medicine","id":"ITEM-1","issue":"7","issued":{"date-parts":[["1999","10"]]},"page":"438-443","title":"Factors Affecting the Relation Between Heart Rate and Energy Expenditure During Exercise","type":"article-journal","volume":"20"},"uris":["http://www.mendeley.com/documents/?uuid=d6ee7caa-ec8f-4fb0-a2c5-d18fdcd5917a"]}],"mendeley":{"formattedCitation":"(Hiilloskorpi et al., 1999)","plainTextFormattedCitation":"(Hiilloskorpi et al., 1999)","previouslyFormattedCitation":"(Hiilloskorpi et al., 1999)"},"properties":{"noteIndex":0},"schema":"https://github.com/citation-style-language/schema/raw/master/csl-citation.json"}</w:instrText>
      </w:r>
      <w:r w:rsidR="00D356FB">
        <w:fldChar w:fldCharType="separate"/>
      </w:r>
      <w:r w:rsidR="00D356FB" w:rsidRPr="00D356FB">
        <w:rPr>
          <w:noProof/>
        </w:rPr>
        <w:t>(Hiilloskorpi et al., 1999)</w:t>
      </w:r>
      <w:r w:rsidR="00D356FB">
        <w:fldChar w:fldCharType="end"/>
      </w:r>
      <w:r w:rsidR="009412F3">
        <w:t>. Thus,</w:t>
      </w:r>
      <w:r w:rsidR="00D356FB">
        <w:t xml:space="preserve"> </w:t>
      </w:r>
      <w:r w:rsidR="000C14C8">
        <w:t>p</w:t>
      </w:r>
      <w:r w:rsidR="00D356FB">
        <w:t>ercent heart rate reserve</w:t>
      </w:r>
      <w:r w:rsidR="000C14C8">
        <w:t xml:space="preserve"> (% HRR), which adjusts for the maximum heart rate and resting heart rate</w:t>
      </w:r>
      <w:r w:rsidR="009412F3">
        <w:t xml:space="preserve"> and which has</w:t>
      </w:r>
      <w:r w:rsidR="00D356FB">
        <w:t xml:space="preserve"> a </w:t>
      </w:r>
      <w:r w:rsidR="000C14C8">
        <w:t xml:space="preserve">proven </w:t>
      </w:r>
      <w:r w:rsidR="00D356FB">
        <w:t xml:space="preserve">relationship with the oxygen uptake </w:t>
      </w:r>
      <w:r w:rsidR="00D356FB">
        <w:fldChar w:fldCharType="begin" w:fldLock="1"/>
      </w:r>
      <w:r w:rsidR="00D356FB">
        <w:instrText>ADDIN CSL_CITATION {"citationItems":[{"id":"ITEM-1","itemData":{"DOI":"10.1016/j.jsams.2010.07.008","ISSN":"14402440","author":[{"dropping-particle":"da","family":"Cunha","given":"Felipe Amorim","non-dropping-particle":"","parse-names":false,"suffix":""},{"dropping-particle":"","family":"Farinatti","given":"Paulo de Tarso Veras","non-dropping-particle":"","parse-names":false,"suffix":""},{"dropping-particle":"","family":"Midgley","given":"Adrian W.","non-dropping-particle":"","parse-names":false,"suffix":""}],"container-title":"Journal of Science and Medicine in Sport","id":"ITEM-1","issue":"1","issued":{"date-parts":[["2011","1"]]},"page":"46-57","title":"Methodological and practical application issues in exercise prescription using the heart rate reserve and oxygen uptake reserve methods","type":"article-journal","volume":"14"},"uris":["http://www.mendeley.com/documents/?uuid=5f61d81f-4f11-4105-8a37-2b00ad8569c8"]}],"mendeley":{"formattedCitation":"(Cunha et al., 2011)","plainTextFormattedCitation":"(Cunha et al., 2011)","previouslyFormattedCitation":"(Cunha et al., 2011)"},"properties":{"noteIndex":0},"schema":"https://github.com/citation-style-language/schema/raw/master/csl-citation.json"}</w:instrText>
      </w:r>
      <w:r w:rsidR="00D356FB">
        <w:fldChar w:fldCharType="separate"/>
      </w:r>
      <w:r w:rsidR="00D356FB" w:rsidRPr="00D356FB">
        <w:rPr>
          <w:noProof/>
        </w:rPr>
        <w:t>(Cunha et al., 2011)</w:t>
      </w:r>
      <w:r w:rsidR="00D356FB">
        <w:fldChar w:fldCharType="end"/>
      </w:r>
      <w:r w:rsidR="009412F3">
        <w:t>,</w:t>
      </w:r>
      <w:r w:rsidR="009412F3" w:rsidRPr="009412F3">
        <w:t xml:space="preserve"> </w:t>
      </w:r>
      <w:r w:rsidR="009412F3">
        <w:t>could instead be used as a predictor of MET.</w:t>
      </w:r>
      <w:r w:rsidR="000C14C8">
        <w:t xml:space="preserve"> </w:t>
      </w:r>
      <w:r w:rsidR="000C1B26">
        <w:t xml:space="preserve">In actual farms, % HRR was used for evaluating an assistive device for digging task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digging","type":"article-journal","volume":"68"},"uris":["http://www.mendeley.com/documents/?uuid=06500db7-e6f0-4183-b824-a136e2cf0a5c"]}],"mendeley":{"formattedCitation":"(Dewi &amp; Komatsuzaki, 2018)","plainTextFormattedCitation":"(Dewi &amp; Komatsuzaki, 2018)","previouslyFormattedCitation":"(Dewi &amp; Komatsuzaki, 2018)"},"properties":{"noteIndex":0},"schema":"https://github.com/citation-style-language/schema/raw/master/csl-citation.json"}</w:instrText>
      </w:r>
      <w:r w:rsidR="000C1B26">
        <w:fldChar w:fldCharType="separate"/>
      </w:r>
      <w:r w:rsidR="000C1B26" w:rsidRPr="000C1B26">
        <w:rPr>
          <w:noProof/>
        </w:rPr>
        <w:t>(Dewi &amp; Komatsuzaki, 2018)</w:t>
      </w:r>
      <w:r w:rsidR="000C1B26">
        <w:fldChar w:fldCharType="end"/>
      </w:r>
      <w:r w:rsidR="000C1B26">
        <w:t>.</w:t>
      </w:r>
    </w:p>
    <w:p w14:paraId="056F689B" w14:textId="2D46E43F" w:rsidR="003E743B" w:rsidRDefault="005F748A" w:rsidP="003E743B">
      <w:pPr>
        <w:spacing w:line="480" w:lineRule="auto"/>
      </w:pPr>
      <w:r>
        <w:t>Surface e</w:t>
      </w:r>
      <w:r w:rsidR="003E743B">
        <w:t xml:space="preserve">lectromyography </w:t>
      </w:r>
      <w:r>
        <w:t xml:space="preserve">(EMG) has been used for </w:t>
      </w:r>
      <w:r w:rsidR="00F87EFA">
        <w:t>assessing</w:t>
      </w:r>
      <w:r>
        <w:t xml:space="preserve"> musc</w:t>
      </w:r>
      <w:r w:rsidR="00F87EFA">
        <w:t>le</w:t>
      </w:r>
      <w:r>
        <w:t xml:space="preserve"> activity in</w:t>
      </w:r>
      <w:r w:rsidR="00F87EFA">
        <w:t xml:space="preserve"> the field of occupational</w:t>
      </w:r>
      <w:r>
        <w:t xml:space="preserve"> ergonomics </w:t>
      </w:r>
      <w:r>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id":"ITEM-2","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Ergonomics","id":"ITEM-2","issue":"6","issued":{"date-parts":[["2000","7"]]},"page":"645-660","title":"Electromyographical indication of muscular fatigue in occupational field studies","type":"article-journal","volume":"25"},"uris":["http://www.mendeley.com/documents/?uuid=31590941-04fd-477c-94b8-6785f210bb03"]}],"mendeley":{"formattedCitation":"(Hägg et al., 2000; Luttmann et al., 2000)","plainTextFormattedCitation":"(Hägg et al., 2000; Luttmann et al., 2000)","previouslyFormattedCitation":"(Hägg et al., 2000; Luttmann et al., 2000)"},"properties":{"noteIndex":0},"schema":"https://github.com/citation-style-language/schema/raw/master/csl-citation.json"}</w:instrText>
      </w:r>
      <w:r>
        <w:fldChar w:fldCharType="separate"/>
      </w:r>
      <w:r w:rsidR="00E34E59" w:rsidRPr="00E34E59">
        <w:rPr>
          <w:noProof/>
        </w:rPr>
        <w:t>(Hägg et al., 2000; Luttmann et al., 2000)</w:t>
      </w:r>
      <w:r>
        <w:fldChar w:fldCharType="end"/>
      </w:r>
      <w:r>
        <w:t>.</w:t>
      </w:r>
      <w:r w:rsidR="003E743B">
        <w:t xml:space="preserve"> </w:t>
      </w:r>
      <w:r w:rsidR="00E34E59">
        <w:t xml:space="preserve">EMG amplitude has a dose-response relationship with </w:t>
      </w:r>
      <w:r w:rsidR="00F87EFA">
        <w:t xml:space="preserve">a </w:t>
      </w:r>
      <w:r w:rsidR="00E34E59">
        <w:t xml:space="preserve">force applied during muscle contraction </w:t>
      </w:r>
      <w:r w:rsidR="00E34E59">
        <w:fldChar w:fldCharType="begin" w:fldLock="1"/>
      </w:r>
      <w:r w:rsidR="00E34E59">
        <w:instrText>ADDIN CSL_CITATION {"citationItems":[{"id":"ITEM-1","itemData":{"DOI":"10.1016/S1050-6411(00)00022-5","ISSN":"10506411","author":[{"dropping-particle":"","family":"Hägg","given":"Göran M","non-dropping-particle":"","parse-names":false,"suffix":""},{"dropping-particle":"","family":"Luttmann","given":"Alwin","non-dropping-particle":"","parse-names":false,"suffix":""},{"dropping-particle":"","family":"Jäger","given":"Matthias","non-dropping-particle":"","parse-names":false,"suffix":""}],"container-title":"Journal of Electromyography and Kinesiology","id":"ITEM-1","issue":"5","issued":{"date-parts":[["2000","10"]]},"page":"301-312","title":"Methodologies for evaluating electromyographic field data in ergonomics","type":"article-journal","volume":"10"},"uris":["http://www.mendeley.com/documents/?uuid=beef56e8-8b25-4ece-97d2-dbeb2e9be239"]}],"mendeley":{"formattedCitation":"(Hägg et al., 2000)","plainTextFormattedCitation":"(Hägg et al., 2000)","previouslyFormattedCitation":"(Hägg et al., 2000)"},"properties":{"noteIndex":0},"schema":"https://github.com/citation-style-language/schema/raw/master/csl-citation.json"}</w:instrText>
      </w:r>
      <w:r w:rsidR="00E34E59">
        <w:fldChar w:fldCharType="separate"/>
      </w:r>
      <w:r w:rsidR="00E34E59" w:rsidRPr="00E34E59">
        <w:rPr>
          <w:noProof/>
        </w:rPr>
        <w:t>(Hägg et al., 2000)</w:t>
      </w:r>
      <w:r w:rsidR="00E34E59">
        <w:fldChar w:fldCharType="end"/>
      </w:r>
      <w:r w:rsidR="00E34E59">
        <w:t>. Also, based on the spectral analysis</w:t>
      </w:r>
      <w:r w:rsidR="00F87EFA">
        <w:t xml:space="preserve"> of an EMG signal</w:t>
      </w:r>
      <w:r w:rsidR="00E34E59">
        <w:t xml:space="preserve">, a decrease in EMG mean power frequency (MPF) </w:t>
      </w:r>
      <w:r w:rsidR="00F87EFA">
        <w:t>was proven to be</w:t>
      </w:r>
      <w:r w:rsidR="00E34E59">
        <w:t xml:space="preserve"> an indicator for muscle fatigue </w:t>
      </w:r>
      <w:r w:rsidR="00E34E59">
        <w:fldChar w:fldCharType="begin" w:fldLock="1"/>
      </w:r>
      <w:r w:rsidR="007B102D">
        <w:instrText>ADDIN CSL_CITATION {"citationItems":[{"id":"ITEM-1","itemData":{"DOI":"10.1016/S0169-8141(99)00053-0","ISSN":"01698141","author":[{"dropping-particle":"","family":"Luttmann","given":"Alwin","non-dropping-particle":"","parse-names":false,"suffix":""},{"dropping-particle":"","family":"Jäger","given":"Matthias","non-dropping-particle":"","parse-names":false,"suffix":""},{"dropping-particle":"","family":"Laurig","given":"Wolfgang","non-dropping-particle":"","parse-names":false,"suffix":""}],"container-title":"International Journal of Industrial Ergonomics","id":"ITEM-1","issue":"6","issued":{"date-parts":[["2000","7"]]},"page":"645-660","title":"Electromyographical indication of muscular fatigue in occupational field studies","type":"article-journal","volume":"25"},"uris":["http://www.mendeley.com/documents/?uuid=31590941-04fd-477c-94b8-6785f210bb03"]}],"mendeley":{"formattedCitation":"(Luttmann et al., 2000)","plainTextFormattedCitation":"(Luttmann et al., 2000)","previouslyFormattedCitation":"(Luttmann et al., 2000)"},"properties":{"noteIndex":0},"schema":"https://github.com/citation-style-language/schema/raw/master/csl-citation.json"}</w:instrText>
      </w:r>
      <w:r w:rsidR="00E34E59">
        <w:fldChar w:fldCharType="separate"/>
      </w:r>
      <w:r w:rsidR="00E34E59" w:rsidRPr="00E34E59">
        <w:rPr>
          <w:noProof/>
        </w:rPr>
        <w:t>(Luttmann et al., 2000)</w:t>
      </w:r>
      <w:r w:rsidR="00E34E59">
        <w:fldChar w:fldCharType="end"/>
      </w:r>
      <w:r w:rsidR="00E34E59">
        <w:t>.</w:t>
      </w:r>
      <w:r w:rsidR="007B102D">
        <w:t xml:space="preserve"> </w:t>
      </w:r>
      <w:r w:rsidR="00CC6DCC">
        <w:t>Surface EMG has already been used for evaluating physical work demand, and comparing new and traditional tools. In laboratory studies, s</w:t>
      </w:r>
      <w:r w:rsidR="003129C9">
        <w:t xml:space="preserve">urface EMG </w:t>
      </w:r>
      <w:r w:rsidR="00CC6DCC">
        <w:t xml:space="preserve">has been used for evaluating the efficacy of emerging technology such as </w:t>
      </w:r>
      <w:r w:rsidR="0040026F">
        <w:t xml:space="preserve">vertical keyboards </w:t>
      </w:r>
      <w:r w:rsidR="0040026F">
        <w:fldChar w:fldCharType="begin" w:fldLock="1"/>
      </w:r>
      <w:r w:rsidR="00361024">
        <w:instrText>ADDIN CSL_CITATION {"citationItems":[{"id":"ITEM-1","itemData":{"DOI":"10.1016/j.apergo.2005.09.005","ISSN":"00036870","author":[{"dropping-particle":"","family":"Galen","given":"Gerard P.","non-dropping-particle":"van","parse-names":false,"suffix":""},{"dropping-particle":"","family":"Liesker","given":"Hanneke","non-dropping-particle":"","parse-names":false,"suffix":""},{"dropping-particle":"","family":"Haan","given":"Ab","non-dropping-particle":"de","parse-names":false,"suffix":""}],"container-title":"Applied Ergonomics","id":"ITEM-1","issue":"1","issued":{"date-parts":[["2007","1"]]},"page":"99-107","title":"Effects of a vertical keyboard design on typing performance, user comfort and muscle tension","type":"article-journal","volume":"38"},"uris":["http://www.mendeley.com/documents/?uuid=7e3caa75-a722-4be4-b28d-4002cfad1d2b"]}],"mendeley":{"formattedCitation":"(van Galen et al., 2007)","plainTextFormattedCitation":"(van Galen et al., 2007)","previouslyFormattedCitation":"(van Galen et al., 2007)"},"properties":{"noteIndex":0},"schema":"https://github.com/citation-style-language/schema/raw/master/csl-citation.json"}</w:instrText>
      </w:r>
      <w:r w:rsidR="0040026F">
        <w:fldChar w:fldCharType="separate"/>
      </w:r>
      <w:r w:rsidR="0040026F" w:rsidRPr="0040026F">
        <w:rPr>
          <w:noProof/>
        </w:rPr>
        <w:t>(van Galen et al., 2007)</w:t>
      </w:r>
      <w:r w:rsidR="0040026F">
        <w:fldChar w:fldCharType="end"/>
      </w:r>
      <w:r w:rsidR="0040026F">
        <w:t xml:space="preserve"> and </w:t>
      </w:r>
      <w:r w:rsidR="00A5187E">
        <w:t>touch screen</w:t>
      </w:r>
      <w:r w:rsidR="00CC6DCC">
        <w:t xml:space="preserve"> keyboards </w:t>
      </w:r>
      <w:r w:rsidR="00CC6DCC">
        <w:fldChar w:fldCharType="begin" w:fldLock="1"/>
      </w:r>
      <w:r w:rsidR="0040026F">
        <w:instrText>ADDIN CSL_CITATION {"citationItems":[{"id":"ITEM-1","itemData":{"DOI":"10.1177/0018720814531784","ISBN":"0018720814531","ISSN":"15478181","PMID":"25509005","abstract":"ObjectiveWe investigated whether different virtual keyboard key sizes affected typing force exposures, muscle activity, wrist posture, comfort, and typing productivity. BackgroundVirtual keyboard use is increasing and the physical exposures associated with virtual keyboard key sizes are not well documented. MethodTyping forces, forearm/shoulder muscle activity, wrist posture, subjective comfort, and typing productivity were measured from 21 subjects while they were typing on four different virtual keyboards with square key sizes, which were 13, 16, 19, and 22 mm on each side with 2-mm between-key spacing. ResultsThe results showed that virtual keyboard key size had little effect on typing force, forearm muscle activity, and ulnar/radial deviation. However, the virtual keyboard with the 13-mm keys had a 15% slower typing speed (p &lt; .0001), slightly higher static (10th percentile) shoulder muscle activity (2% maximum voluntary contractions, p = .01), slightly greater wrist extension in both hands (2{degrees} to 3{degrees}, p &lt; .01), and the lowest subjective comfort and preference ratings (p &lt; .1). ConclusionsThe study findings indicate that virtual keyboards with a key size less than 16 mm may be too small for touch typing given the slower typing speed, higher static shoulder muscle activity, greater wrist extension, and lowest subjective preferences. ApplicationsWe evaluated the effects of virtual keyboard key sizes on typing force exposures, muscle activity, comfort, and typing productivity.","author":[{"dropping-particle":"","family":"Kim","given":"Jeong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W.","non-dropping-particle":"","parse-names":false,"suffix":""}],"container-title":"Human Factors","id":"ITEM-1","issue":"7","issued":{"date-parts":[["2014"]]},"page":"1235-1248","title":"The effect of key size of touch screen virtual keyboards on productivity, usability, and typing biomechanics","type":"article-journal","volume":"56"},"uris":["http://www.mendeley.com/documents/?uuid=64ac706c-0f05-4631-8533-6c1b667ff2f4"]},{"id":"ITEM-2","itemData":{"DOI":"10.1177/1541931213571193","ISBN":"9780945289432","ISSN":"10711813","abstract":"With mobile devices including tablet PCs, gravitating towards smaller sizes, the keyboard key sizes on these devices often have to be smaller than recommended key sizes and spacing (18 to 20 mm) for notebook and desktop keyboards. Currently, there is limited research into how key sizes can affect typing proficiency and physical exposures during virtual keyboard use. Therefore, the present study investigated how different virtual keyboard key sizes affected muscle activity, wrist posture, and typing productivity. A total of 21 subjects (12 males and 9 females) participated in a repeated-measures laboratory experiment where typing speed, accuracy, muscle activity, wrist posture, and subjective discomfort were compared between four different virtual keyboards with key sizes (width x height) of 13x13, 16x16, 19x19, and 22x22 mm with a 2-mm gutter surrounding each key. The results showed that the keyboard with the 13x13 mm keys (15 mm center-to-center key spacing) had a 15% slower typing speed (p &lt; 0.0001), higher static (10th %tile) shoulder muscle activity (2% MVC, p = 0.01), and greater wrist extension in both hands (2° - 3°, p's &lt; 0.01). The study findings indicate that 13x13 mm key size may not be optimal for touch typing on a virtual keyboard. Copyright 2013 by Human Factors and Ergonomics Society, Inc.","author":[{"dropping-particle":"","family":"Kim","given":"Jeong Ho","non-dropping-particle":"","parse-names":false,"suffix":""},{"dropping-particle":"","family":"Aulck","given":"Lovenoor","non-dropping-particle":"","parse-names":false,"suffix":""},{"dropping-particle":"","family":"Thamsuwan","given":"Ornwipa","non-dropping-particle":"","parse-names":false,"suffix":""},{"dropping-particle":"","family":"Bartha","given":"Michael C.","non-dropping-particle":"","parse-names":false,"suffix":""},{"dropping-particle":"","family":"Johnson","given":"Peter W.","non-dropping-particle":"","parse-names":false,"suffix":""}],"container-title":"Proceedings of the Human Factors and Ergonomics Society","id":"ITEM-2","issued":{"date-parts":[["2013"]]},"page":"887-891","title":"The effects of virtual keyboard key sizes on typing productivity and physical exposures","type":"paper-conference"},"uris":["http://www.mendeley.com/documents/?uuid=4fdb3c02-747d-46b4-ad86-834f6363e159"]}],"mendeley":{"formattedCitation":"(Kim et al., 2014, 2013)","plainTextFormattedCitation":"(Kim et al., 2014, 2013)","previouslyFormattedCitation":"(Kim et al., 2014, 2013)"},"properties":{"noteIndex":0},"schema":"https://github.com/citation-style-language/schema/raw/master/csl-citation.json"}</w:instrText>
      </w:r>
      <w:r w:rsidR="00CC6DCC">
        <w:fldChar w:fldCharType="separate"/>
      </w:r>
      <w:r w:rsidR="00CC6DCC" w:rsidRPr="00CC6DCC">
        <w:rPr>
          <w:noProof/>
        </w:rPr>
        <w:t>(Kim et al., 2014, 2013)</w:t>
      </w:r>
      <w:r w:rsidR="00CC6DCC">
        <w:fldChar w:fldCharType="end"/>
      </w:r>
      <w:r w:rsidR="0040026F">
        <w:t xml:space="preserve"> </w:t>
      </w:r>
      <w:r w:rsidR="00CC6DCC">
        <w:t xml:space="preserve">before the technology was introduced to the market. </w:t>
      </w:r>
      <w:r w:rsidR="007B102D">
        <w:t>Nowadays, it is feasible to apply EMG techniques in field settings</w:t>
      </w:r>
      <w:r w:rsidR="00CC6DCC">
        <w:t>, which enable the follow up of the effectiveness after the implementation of technology as well as for general ergonomic assessment</w:t>
      </w:r>
      <w:r w:rsidR="007B102D">
        <w:t xml:space="preserve">. </w:t>
      </w:r>
      <w:r w:rsidR="00D859F9">
        <w:t xml:space="preserve">In construction, EMG-based muscle fatigue was used in assessing scaffold building activity </w:t>
      </w:r>
      <w:r w:rsidR="00D859F9">
        <w:fldChar w:fldCharType="begin" w:fldLock="1"/>
      </w:r>
      <w:r w:rsidR="00D859F9">
        <w:instrText>ADDIN CSL_CITATION {"citationItems":[{"id":"ITEM-1","itemData":{"DOI":"10.1016/j.autcon.2021.103653","ISSN":"09265805","author":[{"dropping-particle":"","family":"Bangaru","given":"Srikanth Sagar","non-dropping-particle":"","parse-names":false,"suffix":""},{"dropping-particle":"","family":"Wang","given":"Chao","non-dropping-particle":"","parse-names":false,"suffix":""},{"dropping-particle":"","family":"Busam","given":"Sri Aditya","non-dropping-particle":"","parse-names":false,"suffix":""},{"dropping-particle":"","family":"Aghazadeh","given":"Fereydoun","non-dropping-particle":"","parse-names":false,"suffix":""}],"container-title":"Automation in Construction","id":"ITEM-1","issued":{"date-parts":[["2021","6"]]},"page":"103653","title":"ANN-based automated scaffold builder activity recognition through wearable EMG and IMU sensors","type":"article-journal","volume":"126"},"uris":["http://www.mendeley.com/documents/?uuid=c68f787d-38dd-4480-8632-43adb70dc741"]}],"mendeley":{"formattedCitation":"(Bangaru et al., 2021)","plainTextFormattedCitation":"(Bangaru et al., 2021)","previouslyFormattedCitation":"(Bangaru et al., 2021)"},"properties":{"noteIndex":0},"schema":"https://github.com/citation-style-language/schema/raw/master/csl-citation.json"}</w:instrText>
      </w:r>
      <w:r w:rsidR="00D859F9">
        <w:fldChar w:fldCharType="separate"/>
      </w:r>
      <w:r w:rsidR="00D859F9" w:rsidRPr="009412F3">
        <w:rPr>
          <w:noProof/>
        </w:rPr>
        <w:t xml:space="preserve">(Bangaru et al., </w:t>
      </w:r>
      <w:r w:rsidR="00D859F9" w:rsidRPr="009412F3">
        <w:rPr>
          <w:noProof/>
        </w:rPr>
        <w:lastRenderedPageBreak/>
        <w:t>2021)</w:t>
      </w:r>
      <w:r w:rsidR="00D859F9">
        <w:fldChar w:fldCharType="end"/>
      </w:r>
      <w:r w:rsidR="00D859F9">
        <w:t>.</w:t>
      </w:r>
      <w:r w:rsidR="00147BF1">
        <w:t xml:space="preserve"> </w:t>
      </w:r>
      <w:r w:rsidR="00D859F9">
        <w:t xml:space="preserve">In forestry, surface EMG was also used for measuring muscle activity at trapezius of machine operators </w:t>
      </w:r>
      <w:r w:rsidR="00D859F9">
        <w:fldChar w:fldCharType="begin" w:fldLock="1"/>
      </w:r>
      <w:r w:rsidR="00D859F9">
        <w:instrText>ADDIN CSL_CITATION {"citationItems":[{"id":"ITEM-1","itemData":{"DOI":"10.1080/14942119.2008.10702563","ISSN":"1494-2119","author":[{"dropping-particle":"","family":"Østensvik","given":"Tove","non-dropping-particle":"","parse-names":false,"suffix":""},{"dropping-particle":"","family":"Nilsen","given":"Petter","non-dropping-particle":"","parse-names":false,"suffix":""},{"dropping-particle":"","family":"Veiersted","given":"Kaj Bo","non-dropping-particle":"","parse-names":false,"suffix":""}],"container-title":"International Journal of Forest Engineering","id":"ITEM-1","issue":"2","issued":{"date-parts":[["2008","6","18"]]},"page":"11-20","title":"Muscle Activity Patterns in the Neck and Upper Extremities Among Machine Operators in Different Forest Vehicles","type":"article-journal","volume":"19"},"uris":["http://www.mendeley.com/documents/?uuid=827ce3d1-6f27-44b5-af6e-06344aca2673"]}],"mendeley":{"formattedCitation":"(Østensvik et al., 2008)","plainTextFormattedCitation":"(Østensvik et al., 2008)","previouslyFormattedCitation":"(Østensvik et al., 2008)"},"properties":{"noteIndex":0},"schema":"https://github.com/citation-style-language/schema/raw/master/csl-citation.json"}</w:instrText>
      </w:r>
      <w:r w:rsidR="00D859F9">
        <w:fldChar w:fldCharType="separate"/>
      </w:r>
      <w:r w:rsidR="00D859F9" w:rsidRPr="005E2A98">
        <w:rPr>
          <w:noProof/>
        </w:rPr>
        <w:t>(Østensvik et al., 2008)</w:t>
      </w:r>
      <w:r w:rsidR="00D859F9">
        <w:fldChar w:fldCharType="end"/>
      </w:r>
      <w:r w:rsidR="00D859F9">
        <w:t>.</w:t>
      </w:r>
      <w:r w:rsidR="00147BF1">
        <w:t xml:space="preserve"> </w:t>
      </w:r>
      <w:r w:rsidR="007B102D">
        <w:t>In</w:t>
      </w:r>
      <w:r w:rsidR="009D6681">
        <w:t xml:space="preserve"> actual</w:t>
      </w:r>
      <w:r w:rsidR="007B102D">
        <w:t xml:space="preserve"> agricultur</w:t>
      </w:r>
      <w:r w:rsidR="009D6681">
        <w:t>al fields</w:t>
      </w:r>
      <w:r w:rsidR="007B102D">
        <w:t xml:space="preserve">, EMG was applied to </w:t>
      </w:r>
      <w:r w:rsidR="000C1B26">
        <w:t xml:space="preserve">assess on-farm exposures to biomechanical risk factors </w:t>
      </w:r>
      <w:r w:rsidR="000C1B26">
        <w:fldChar w:fldCharType="begin" w:fldLock="1"/>
      </w:r>
      <w:r w:rsidR="009412F3">
        <w:instrText>ADDIN CSL_CITATION {"citationItems":[{"id":"ITEM-1","itemData":{"DOI":"10.1080/15459624.2020.1717502","ISSN":"1545-9624","author":[{"dropping-particle":"","family":"Fethke","given":"Nathan B.","non-dropping-particle":"","parse-names":false,"suffix":""},{"dropping-particle":"","family":"Schall","given":"Mark C.","non-dropping-particle":"","parse-names":false,"suffix":""},{"dropping-particle":"","family":"Chen","given":"Howard","non-dropping-particle":"","parse-names":false,"suffix":""},{"dropping-particle":"","family":"Branch","given":"Cassidy A.","non-dropping-particle":"","parse-names":false,"suffix":""},{"dropping-particle":"","family":"Merlino","given":"Linda A.","non-dropping-particle":"","parse-names":false,"suffix":""}],"container-title":"Journal of Occupational and Environmental Hygiene","id":"ITEM-1","issue":"2-3","issued":{"date-parts":[["2020","3","3"]]},"page":"85-96","title":"Biomechanical factors during common agricultural activities: Results of on-farm exposure assessments using direct measurement methods","type":"article-journal","volume":"17"},"uris":["http://www.mendeley.com/documents/?uuid=a4036c1c-0eb1-4eca-87f9-05622c8125c8"]}],"mendeley":{"formattedCitation":"(Fethke et al., 2020)","plainTextFormattedCitation":"(Fethke et al., 2020)","previouslyFormattedCitation":"(Fethke et al., 2020)"},"properties":{"noteIndex":0},"schema":"https://github.com/citation-style-language/schema/raw/master/csl-citation.json"}</w:instrText>
      </w:r>
      <w:r w:rsidR="000C1B26">
        <w:fldChar w:fldCharType="separate"/>
      </w:r>
      <w:r w:rsidR="000C1B26" w:rsidRPr="000C1B26">
        <w:rPr>
          <w:noProof/>
        </w:rPr>
        <w:t>(Fethke et al., 2020)</w:t>
      </w:r>
      <w:r w:rsidR="000C1B26">
        <w:fldChar w:fldCharType="end"/>
      </w:r>
      <w:r w:rsidR="000C1B26">
        <w:t xml:space="preserve">, and to </w:t>
      </w:r>
      <w:r w:rsidR="007B102D">
        <w:t>evaluate the eff</w:t>
      </w:r>
      <w:r w:rsidR="009C5466">
        <w:t>icacy</w:t>
      </w:r>
      <w:r w:rsidR="007B102D">
        <w:t xml:space="preserve"> of </w:t>
      </w:r>
      <w:r w:rsidR="007F46A9">
        <w:t xml:space="preserve">a </w:t>
      </w:r>
      <w:r w:rsidR="007B102D">
        <w:t xml:space="preserve">rotary milking </w:t>
      </w:r>
      <w:proofErr w:type="spellStart"/>
      <w:r w:rsidR="007B102D">
        <w:t>parlour</w:t>
      </w:r>
      <w:proofErr w:type="spellEnd"/>
      <w:r w:rsidR="007B102D">
        <w:t xml:space="preserve"> as compared to herringbone and parallel ones </w:t>
      </w:r>
      <w:r w:rsidR="007B102D">
        <w:fldChar w:fldCharType="begin" w:fldLock="1"/>
      </w:r>
      <w:r w:rsidR="007B102D">
        <w:instrText>ADDIN CSL_CITATION {"citationItems":[{"id":"ITEM-1","itemData":{"DOI":"10.1080/00140139.2016.1262464","ISBN":"0014-0139","ISSN":"13665847","PMID":"23026094","abstract":"Obsessive-compulsive disorder (OCD) is a heterogeneous condition, comprised of multiple symptom domains. This study used aggregate composite scales representing three core OCD dimensions (Checking, Cleaning, Rituals), as well as Hoarding, to examine the discriminant validity, diagnostic specificity, and predictive ability of OCD symptom scales. The core OCD scales demonstrated strong patterns of convergent and discriminant validity – suggesting that these dimensions are distinct from other self-reported symptoms – whereas hoarding symptoms correlated just as strongly with OCD and non-OCD symptoms in most analyses. Across analyses, our results indicated that Checking is a particularly strong, specific marker of OCD diagnosis, whereas the specificity of Cleaning and Hoarding to OCD was less strong. Finally, the OCD Checking scale was the only significant predictor of OCD diagnosis in logistic regression analyses. Results are discussed with regard to the importance of assessing OCD symptom dimensions separately and implications for classification.","author":[{"dropping-particle":"","family":"Douphrate","given":"David I.","non-dropping-particle":"","parse-names":false,"suffix":""},{"dropping-particle":"","family":"Fethke","given":"Nathan B.","non-dropping-particle":"","parse-names":false,"suffix":""},{"dropping-particle":"","family":"Nonnenmann","given":"Matthew W.","non-dropping-particle":"","parse-names":false,"suffix":""},{"dropping-particle":"","family":"Rodriguez","given":"Anabel","non-dropping-particle":"","parse-names":false,"suffix":""},{"dropping-particle":"","family":"Hagevoort","given":"Robert","non-dropping-particle":"","parse-names":false,"suffix":""},{"dropping-particle":"","family":"Gimeno Ruiz de Porras","given":"David","non-dropping-particle":"","parse-names":false,"suffix":""}],"container-title":"Ergonomics","id":"ITEM-1","issued":{"date-parts":[["2017"]]},"title":"Full-shift and task-specific upper extremity muscle activity among US large-herd dairy parlour workers","type":"article-journal"},"uris":["http://www.mendeley.com/documents/?uuid=523482d3-5961-4fc4-91da-a359ea250ffd"]}],"mendeley":{"formattedCitation":"(Douphrate et al., 2017)","plainTextFormattedCitation":"(Douphrate et al., 2017)","previouslyFormattedCitation":"(Douphrate et al., 2017)"},"properties":{"noteIndex":0},"schema":"https://github.com/citation-style-language/schema/raw/master/csl-citation.json"}</w:instrText>
      </w:r>
      <w:r w:rsidR="007B102D">
        <w:fldChar w:fldCharType="separate"/>
      </w:r>
      <w:r w:rsidR="007B102D" w:rsidRPr="007B102D">
        <w:rPr>
          <w:noProof/>
        </w:rPr>
        <w:t>(Douphrate et al., 2017)</w:t>
      </w:r>
      <w:r w:rsidR="007B102D">
        <w:fldChar w:fldCharType="end"/>
      </w:r>
      <w:r w:rsidR="007B102D">
        <w:t>, mobile orchard platform against ladder uses</w:t>
      </w:r>
      <w:r w:rsidR="007F46A9">
        <w:t xml:space="preserve"> in the tree fruit industry</w:t>
      </w:r>
      <w:r w:rsidR="007B102D">
        <w:t xml:space="preserve"> </w:t>
      </w:r>
      <w:r w:rsidR="007B102D">
        <w:fldChar w:fldCharType="begin" w:fldLock="1"/>
      </w:r>
      <w:r w:rsidR="009C546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7B102D">
        <w:fldChar w:fldCharType="separate"/>
      </w:r>
      <w:r w:rsidR="007B102D" w:rsidRPr="007B102D">
        <w:rPr>
          <w:noProof/>
        </w:rPr>
        <w:t>(Thamsuwan &amp; Johnson, 2022)</w:t>
      </w:r>
      <w:r w:rsidR="007B102D">
        <w:fldChar w:fldCharType="end"/>
      </w:r>
      <w:r w:rsidR="009D6681">
        <w:t xml:space="preserve"> and</w:t>
      </w:r>
      <w:r w:rsidR="009C5466">
        <w:t xml:space="preserve"> </w:t>
      </w:r>
      <w:r w:rsidR="009D6681">
        <w:t>potential</w:t>
      </w:r>
      <w:r w:rsidR="009C5466">
        <w:t xml:space="preserve"> use</w:t>
      </w:r>
      <w:r w:rsidR="000C1B26">
        <w:t>s</w:t>
      </w:r>
      <w:r w:rsidR="009C5466">
        <w:t xml:space="preserve"> of </w:t>
      </w:r>
      <w:r w:rsidR="000C1B26">
        <w:t xml:space="preserve">an </w:t>
      </w:r>
      <w:r w:rsidR="009C5466">
        <w:t xml:space="preserve">exoskeleton </w:t>
      </w:r>
      <w:r w:rsidR="000C1B26">
        <w:t xml:space="preserve">or a personal assistive suit </w:t>
      </w:r>
      <w:r w:rsidR="009C5466">
        <w:t xml:space="preserve">in some manual farm tasks </w:t>
      </w:r>
      <w:r w:rsidR="000C1B26">
        <w:fldChar w:fldCharType="begin" w:fldLock="1"/>
      </w:r>
      <w:r w:rsidR="000C1B26">
        <w:instrText>ADDIN CSL_CITATION {"citationItems":[{"id":"ITEM-1","itemData":{"DOI":"10.1016/j.ergon.2018.08.013","ISSN":"01698141","author":[{"dropping-particle":"","family":"Dewi","given":"Nugrahaning Sani","non-dropping-particle":"","parse-names":false,"suffix":""},{"dropping-particle":"","family":"Komatsuzaki","given":"Masakazu","non-dropping-particle":"","parse-names":false,"suffix":""}],"container-title":"International Journal of Industrial Ergonomics","id":"ITEM-1","issued":{"date-parts":[["2018","11"]]},"page":"290-296","title":"On-body personal assist suit for commercial farming: Effect on heart rate, EMG, trunk movements, and user acceptance during digging","type":"article-journal","volume":"68"},"uris":["http://www.mendeley.com/documents/?uuid=06500db7-e6f0-4183-b824-a136e2cf0a5c"]},{"id":"ITEM-2","itemData":{"DOI":"10.1002/ajim.23180","ISSN":"0271-3586","author":[{"dropping-particle":"","family":"Thamsuwan","given":"Ornwipa","non-dropping-particle":"","parse-names":false,"suffix":""},{"dropping-particle":"","family":"Milosavljevic","given":"Stephan","non-dropping-particle":"","parse-names":false,"suffix":""},{"dropping-particle":"","family":"Srinivasan","given":"Divya","non-dropping-particle":"","parse-names":false,"suffix":""},{"dropping-particle":"","family":"Trask","given":"Catherine","non-dropping-particle":"","parse-names":false,"suffix":""}],"container-title":"American Journal of Industrial Medicine","id":"ITEM-2","issue":"11","issued":{"date-parts":[["2020","11","14"]]},"page":"1017-1028","title":"Potential exoskeleton uses for reducing low back muscular activity during farm tasks","type":"article-journal","volume":"63"},"uris":["http://www.mendeley.com/documents/?uuid=0e744845-4641-4501-bef0-29a03fe9c065"]}],"mendeley":{"formattedCitation":"(Dewi &amp; Komatsuzaki, 2018; Ornwipa Thamsuwan et al., 2020)","manualFormatting":"(Dewi &amp; Komatsuzaki, 2018; Thamsuwan et al., 2020)","plainTextFormattedCitation":"(Dewi &amp; Komatsuzaki, 2018; Ornwipa Thamsuwan et al., 2020)","previouslyFormattedCitation":"(Dewi &amp; Komatsuzaki, 2018; Ornwipa Thamsuwan et al., 2020)"},"properties":{"noteIndex":0},"schema":"https://github.com/citation-style-language/schema/raw/master/csl-citation.json"}</w:instrText>
      </w:r>
      <w:r w:rsidR="000C1B26">
        <w:fldChar w:fldCharType="separate"/>
      </w:r>
      <w:r w:rsidR="000C1B26" w:rsidRPr="000C1B26">
        <w:rPr>
          <w:noProof/>
        </w:rPr>
        <w:t>(Dewi &amp; Komatsuzaki, 2018; Thamsuwan et al., 2020)</w:t>
      </w:r>
      <w:r w:rsidR="000C1B26">
        <w:fldChar w:fldCharType="end"/>
      </w:r>
      <w:r w:rsidR="009D6681">
        <w:t>.</w:t>
      </w:r>
    </w:p>
    <w:p w14:paraId="0A209D79" w14:textId="1BA77708" w:rsidR="00DC6A2D" w:rsidRDefault="001C161E" w:rsidP="005460D5">
      <w:pPr>
        <w:spacing w:line="480" w:lineRule="auto"/>
      </w:pPr>
      <w:r>
        <w:t xml:space="preserve">With regards to the subjective measures of effort, fatigue and discomfort, several different scales have </w:t>
      </w:r>
      <w:commentRangeStart w:id="0"/>
      <w:commentRangeStart w:id="1"/>
      <w:r>
        <w:t>been</w:t>
      </w:r>
      <w:commentRangeEnd w:id="0"/>
      <w:r w:rsidR="00B53E18">
        <w:rPr>
          <w:rStyle w:val="CommentReference"/>
        </w:rPr>
        <w:commentReference w:id="0"/>
      </w:r>
      <w:commentRangeEnd w:id="1"/>
      <w:r w:rsidR="00C059B1">
        <w:rPr>
          <w:rStyle w:val="CommentReference"/>
        </w:rPr>
        <w:commentReference w:id="1"/>
      </w:r>
      <w:r>
        <w:t xml:space="preserve"> developed and validated. </w:t>
      </w:r>
      <w:r w:rsidR="006C0BA8">
        <w:t xml:space="preserve">On one hand, </w:t>
      </w:r>
      <w:r w:rsidR="002214F9">
        <w:t xml:space="preserve">Borg RPE </w:t>
      </w:r>
      <w:r w:rsidR="002214F9">
        <w:fldChar w:fldCharType="begin" w:fldLock="1"/>
      </w:r>
      <w:r w:rsidR="002214F9">
        <w:instrText>ADDIN CSL_CITATION {"citationItems":[{"id":"ITEM-1","itemData":{"DOI":"S/N","ISBN":"0036-5505 (Print)\\r0036-5505 (Linking)","ISSN":"0036-5505","PMID":"5523831","abstract":"&lt;AbstractText Label=\"BACKGROUND\" NlmCategory=\"BACKGROUND\"&gt;Soft-tissue sarcoma spreads predominantly to the lung. The frequency with which positron-emission tomography (pet) detects metastases not already obvious by chest computed tomography (ct) or clinical examination is currently unclear.&lt;/AbstractText&gt;\\n&lt;AbstractText Label=\"METHODS\" NlmCategory=\"METHODS\"&gt;We retrospectively identified cases of soft-tissue sarcoma. Ewing sarcoma, rhabdomyosarcoma, and gastrointestinal stromal tumour were excluded, as were cases in which patients underwent imaging for follow-up, response assessment, or recurrence. Patients all had undergone diagnostic chest ct as part of their staging. Directed studies were requested to follow up on abnormal findings in the clinical history or physical examination. All charts and pre-treatment imaging were reviewed retrospectively.&lt;/AbstractText&gt;\\n&lt;AbstractText Label=\"RESULTS\" NlmCategory=\"RESULTS\"&gt;From 2004 to 2008, 75 patients met the criteria for the present review. Their median age was 51 years. In 21% of cases, the primary tumour had been removed (by excisional biopsy or unplanned excision) before staging. Of the previously unresected primary tumours, 97% were avid for fluorodeoxyglucose. Of all tumours, 81% were intermediate or high grade (Fédération Nationale des Centres de Lutte Contre le Cancer grades 2-3). The primary tumour was stage T2b in 69% of cases. The most common primary site was a lower extremity (55%). The most common pathologic diagnoses were leiomyosarcoma (21%), liposarcoma (19%), and synovial sarcoma (17%). At the end of staging, 17% of patients were considered to have metastatic disease. Imaging by pet was negative for distant disease in 64 of the 75 cases. In 7 of the 64 cases, metastatic disease was evident on chest ct (negative predictive value: 88%). Imaging by pet was positive in 8 cases, with 5 of those already known to have metastases, 2 having pathologically proven false positives, and 1 being a new finding of a pulmonary metastasis (positive predictive value: 75%). The pet imaging was indeterminate in 3 patients (none of whom subsequently developed metastatic disease). Two incidental benign parotid tumours were found. Overall, only 1 patient was upstaged as a result of pet imaging (1.3%). In addition, pet did not alter the management of patients already know to have M1 disease (no new organ sites identified).&lt;/AbstractText&gt;\\n&lt;AbstractText Label=\"CONCLUSIONS\" NlmCategory=\"CONCLUSIONS\"&gt;Although pet may be…","author":[{"dropping-particle":"","family":"Borg","given":"G","non-dropping-particle":"","parse-names":false,"suffix":""}],"container-title":"Scandinavian journal of rehabilitation medicine","id":"ITEM-1","issued":{"date-parts":[["1970"]]},"page":"92-98","title":"Perceived exertion as an indicator of somatic stress.","type":"article-journal","volume":"2"},"uris":["http://www.mendeley.com/documents/?uuid=6e6028d6-09d4-49f3-8073-d32dff0846dc"]}],"mendeley":{"formattedCitation":"(G. Borg, 1970)","manualFormatting":"(Borg, 1970)","plainTextFormattedCitation":"(G. Borg, 1970)","previouslyFormattedCitation":"(G. Borg, 1970)"},"properties":{"noteIndex":0},"schema":"https://github.com/citation-style-language/schema/raw/master/csl-citation.json"}</w:instrText>
      </w:r>
      <w:r w:rsidR="002214F9">
        <w:fldChar w:fldCharType="separate"/>
      </w:r>
      <w:r w:rsidR="002214F9" w:rsidRPr="002214F9">
        <w:rPr>
          <w:noProof/>
        </w:rPr>
        <w:t>(Borg, 1970)</w:t>
      </w:r>
      <w:r w:rsidR="002214F9">
        <w:fldChar w:fldCharType="end"/>
      </w:r>
      <w:r w:rsidR="00BD04E1">
        <w:t xml:space="preserve">, </w:t>
      </w:r>
      <w:r w:rsidR="00987A1E">
        <w:t xml:space="preserve">which is </w:t>
      </w:r>
      <w:r w:rsidR="00BD04E1">
        <w:t xml:space="preserve">a </w:t>
      </w:r>
      <w:r w:rsidR="00272526">
        <w:t>perceived exertion scale rang</w:t>
      </w:r>
      <w:r w:rsidR="00BD04E1">
        <w:t>ing</w:t>
      </w:r>
      <w:r w:rsidR="00272526">
        <w:t xml:space="preserve"> from 6 to 20</w:t>
      </w:r>
      <w:r w:rsidR="00BD04E1">
        <w:t>, ha</w:t>
      </w:r>
      <w:r w:rsidR="00987A1E">
        <w:t>s</w:t>
      </w:r>
      <w:r w:rsidR="00BD04E1">
        <w:t xml:space="preserve"> been </w:t>
      </w:r>
      <w:r w:rsidR="006C0BA8">
        <w:t xml:space="preserve">widely </w:t>
      </w:r>
      <w:r w:rsidR="00BD04E1">
        <w:t>considered as a</w:t>
      </w:r>
      <w:r w:rsidR="00374E7E">
        <w:t xml:space="preserve"> psychosomatic</w:t>
      </w:r>
      <w:r w:rsidR="00BD04E1">
        <w:t xml:space="preserve"> </w:t>
      </w:r>
      <w:r w:rsidR="006C0BA8">
        <w:t>indicator</w:t>
      </w:r>
      <w:r w:rsidR="00BD04E1">
        <w:t xml:space="preserve"> of physical activity intensity</w:t>
      </w:r>
      <w:r w:rsidR="006C0BA8">
        <w:t xml:space="preserve"> during work</w:t>
      </w:r>
      <w:r w:rsidR="00BD04E1">
        <w:t>.</w:t>
      </w:r>
      <w:r w:rsidR="006C0BA8">
        <w:t xml:space="preserve"> The Borg RPE </w:t>
      </w:r>
      <w:r w:rsidR="00987A1E">
        <w:t>was</w:t>
      </w:r>
      <w:r w:rsidR="006C0BA8">
        <w:t xml:space="preserve"> developed </w:t>
      </w:r>
      <w:r w:rsidR="00F07780">
        <w:t xml:space="preserve">in the context of </w:t>
      </w:r>
      <w:r w:rsidR="005460D5">
        <w:t xml:space="preserve">cardiovascular </w:t>
      </w:r>
      <w:r w:rsidR="00F07780">
        <w:t>treadmill exercise and inte</w:t>
      </w:r>
      <w:r w:rsidR="005460D5">
        <w:t>n</w:t>
      </w:r>
      <w:r w:rsidR="00F07780">
        <w:t xml:space="preserve">ded </w:t>
      </w:r>
      <w:r w:rsidR="006C0BA8">
        <w:t xml:space="preserve">to be highly correlated with heart rate; that is, the RPE score </w:t>
      </w:r>
      <w:r w:rsidR="00987A1E">
        <w:t>multiplied by</w:t>
      </w:r>
      <w:r w:rsidR="006C0BA8">
        <w:t xml:space="preserve"> 10 </w:t>
      </w:r>
      <w:r>
        <w:t xml:space="preserve">generally </w:t>
      </w:r>
      <w:r w:rsidR="006C0BA8">
        <w:t>represent</w:t>
      </w:r>
      <w:r w:rsidR="00987A1E">
        <w:t>s</w:t>
      </w:r>
      <w:r w:rsidR="006C0BA8">
        <w:t xml:space="preserve"> a person’s actual heart rate in beats per minutes. On the other hand</w:t>
      </w:r>
      <w:r w:rsidR="00C16F0C">
        <w:t xml:space="preserve">, Borg CR10 </w:t>
      </w:r>
      <w:r w:rsidR="002214F9">
        <w:fldChar w:fldCharType="begin" w:fldLock="1"/>
      </w:r>
      <w:r w:rsidR="00272526">
        <w:instrText>ADDIN CSL_CITATION {"citationItems":[{"id":"ITEM-1","itemData":{"DOI":"10.1249/00005768-198205000-00012","ISBN":"0195-9131","ISSN":"01959131","PMID":"7154893","abstract":"There is a great demand for perceptual effort ratings in order to better understand man at work. Such ratings are important complements to behavioral and physiological measurements of physical performance and work capacity. This is true for both theoretical analysis and application in medicine, human factors, and sports. Perceptual estimates, obtained by psychophysical ratio-scaling methods, are valid when describing general perceptual variation, but category methods are more useful in several applied situations when differences between individuals are described. A presentation is made of ratio-scaling methods, category methods, especially the Borg Scale for ratings of perceived exertion, and a new method that combines the category method with ratio properties. Some of the advantages and disadvantages of the different methods are discussed in both theoretical-psychophysical and psychophysiological frames of reference.","author":[{"dropping-particle":"","family":"Borg","given":"G A","non-dropping-particle":"","parse-names":false,"suffix":""}],"container-title":"Medicine and science in sports and exercise","id":"ITEM-1","issued":{"date-parts":[["1982"]]},"page":"377-381","title":"Psychophysical bases of perceived exertion.","type":"article-journal","volume":"14"},"uris":["http://www.mendeley.com/documents/?uuid=24cd0fab-fe4d-4a73-af56-3fe76831da8d"]}],"mendeley":{"formattedCitation":"(G. A. Borg, 1982)","manualFormatting":"(Borg, 1982)","plainTextFormattedCitation":"(G. A. Borg, 1982)","previouslyFormattedCitation":"(G. A. Borg, 1982)"},"properties":{"noteIndex":0},"schema":"https://github.com/citation-style-language/schema/raw/master/csl-citation.json"}</w:instrText>
      </w:r>
      <w:r w:rsidR="002214F9">
        <w:fldChar w:fldCharType="separate"/>
      </w:r>
      <w:r w:rsidR="002214F9" w:rsidRPr="002214F9">
        <w:rPr>
          <w:noProof/>
        </w:rPr>
        <w:t>(Borg, 1982)</w:t>
      </w:r>
      <w:r w:rsidR="002214F9">
        <w:fldChar w:fldCharType="end"/>
      </w:r>
      <w:r w:rsidR="002214F9">
        <w:t xml:space="preserve"> </w:t>
      </w:r>
      <w:r w:rsidR="00987A1E">
        <w:t xml:space="preserve">which is </w:t>
      </w:r>
      <w:r w:rsidR="006C0BA8">
        <w:t>anchored at the number from 0 to 10, ha</w:t>
      </w:r>
      <w:r w:rsidR="00987A1E">
        <w:t>s</w:t>
      </w:r>
      <w:r w:rsidR="006C0BA8">
        <w:t xml:space="preserve"> been</w:t>
      </w:r>
      <w:r w:rsidR="00C16F0C">
        <w:t xml:space="preserve"> used as a </w:t>
      </w:r>
      <w:r w:rsidR="00E852E1">
        <w:t>local</w:t>
      </w:r>
      <w:r w:rsidR="00C16F0C">
        <w:t xml:space="preserve"> pain scale.</w:t>
      </w:r>
      <w:r w:rsidR="006C0BA8">
        <w:t xml:space="preserve"> </w:t>
      </w:r>
      <w:r w:rsidR="007F61E2">
        <w:t xml:space="preserve">The Borg CR10 has applications in ergonomic; for instance, as a predictor of grip forces during hand tools tasks tested in a laboratory setting </w:t>
      </w:r>
      <w:r w:rsidR="007F61E2">
        <w:fldChar w:fldCharType="begin" w:fldLock="1"/>
      </w:r>
      <w:r w:rsidR="004F1E78">
        <w:instrText>ADDIN CSL_CITATION {"citationItems":[{"id":"ITEM-1","itemData":{"DOI":"10.1080/15459621003711360","ISSN":"1545-9624","author":[{"dropping-particle":"","family":"McGorry","given":"Raymond W.","non-dropping-particle":"","parse-names":false,"suffix":""},{"dropping-particle":"","family":"Lin","given":"Jia-Hua","non-dropping-particle":"","parse-names":false,"suffix":""},{"dropping-particle":"","family":"Dempsey","given":"Patrick G.","non-dropping-particle":"","parse-names":false,"suffix":""},{"dropping-particle":"","family":"Casey","given":"Jeffrey S.","non-dropping-particle":"","parse-names":false,"suffix":""}],"container-title":"Journal of Occupational and Environmental Hygiene","id":"ITEM-1","issue":"5","issued":{"date-parts":[["2010","3","18"]]},"page":"298-306","title":"Accuracy of the Borg CR10 Scale for Estimating Grip Forces Associated with Hand Tool Tasks","type":"article-journal","volume":"7"},"uris":["http://www.mendeley.com/documents/?uuid=257cdb67-d09d-4612-9736-3e9704cce8a4"]}],"mendeley":{"formattedCitation":"(McGorry et al., 2010)","plainTextFormattedCitation":"(McGorry et al., 2010)","previouslyFormattedCitation":"(McGorry et al., 2010)"},"properties":{"noteIndex":0},"schema":"https://github.com/citation-style-language/schema/raw/master/csl-citation.json"}</w:instrText>
      </w:r>
      <w:r w:rsidR="007F61E2">
        <w:fldChar w:fldCharType="separate"/>
      </w:r>
      <w:r w:rsidR="007F61E2" w:rsidRPr="007F61E2">
        <w:rPr>
          <w:noProof/>
        </w:rPr>
        <w:t>(McGorry et al., 2010)</w:t>
      </w:r>
      <w:r w:rsidR="007F61E2">
        <w:fldChar w:fldCharType="end"/>
      </w:r>
      <w:r w:rsidR="004F1E78">
        <w:t xml:space="preserve"> and as an indicator of risks to injury among janitors </w:t>
      </w:r>
      <w:r w:rsidR="004F1E78">
        <w:fldChar w:fldCharType="begin" w:fldLock="1"/>
      </w:r>
      <w:r w:rsidR="004F1E78">
        <w:instrText>ADDIN CSL_CITATION {"citationItems":[{"id":"ITEM-1","itemData":{"DOI":"10.1016/j.apergo.2019.102874","ISSN":"00036870","author":[{"dropping-particle":"","family":"Schwartz","given":"Adam","non-dropping-particle":"","parse-names":false,"suffix":""},{"dropping-particle":"","family":"Gerberich","given":"Susan G.","non-dropping-particle":"","parse-names":false,"suffix":""},{"dropping-particle":"","family":"Kim","given":"Hyun","non-dropping-particle":"","parse-names":false,"suffix":""},{"dropping-particle":"","family":"Ryan","given":"Andrew D.","non-dropping-particle":"","parse-names":false,"suffix":""},{"dropping-particle":"","family":"Church","given":"Timothy R.","non-dropping-particle":"","parse-names":false,"suffix":""},{"dropping-particle":"","family":"Albin","given":"Thomas J.","non-dropping-particle":"","parse-names":false,"suffix":""},{"dropping-particle":"","family":"McGovern","given":"Patricia M.","non-dropping-particle":"","parse-names":false,"suffix":""},{"dropping-particle":"","family":"Erdman","given":"Arthur E.","non-dropping-particle":"","parse-names":false,"suffix":""},{"dropping-particle":"","family":"Green","given":"Deirdre R.","non-dropping-particle":"","parse-names":false,"suffix":""},{"dropping-particle":"","family":"Arauz","given":"Rony F.","non-dropping-particle":"","parse-names":false,"suffix":""}],"container-title":"Applied Ergonomics","id":"ITEM-1","issued":{"date-parts":[["2019","11"]]},"page":"102874","title":"Janitor ergonomics and injuries in the safe workload ergonomic exposure project (SWEEP) study","type":"article-journal","volume":"81"},"uris":["http://www.mendeley.com/documents/?uuid=43a8d391-bc60-4f50-b756-f382d5c5e8a5"]}],"mendeley":{"formattedCitation":"(Schwartz et al., 2019)","plainTextFormattedCitation":"(Schwartz et al., 2019)","previouslyFormattedCitation":"(Schwartz et al., 2019)"},"properties":{"noteIndex":0},"schema":"https://github.com/citation-style-language/schema/raw/master/csl-citation.json"}</w:instrText>
      </w:r>
      <w:r w:rsidR="004F1E78">
        <w:fldChar w:fldCharType="separate"/>
      </w:r>
      <w:r w:rsidR="004F1E78" w:rsidRPr="004F1E78">
        <w:rPr>
          <w:noProof/>
        </w:rPr>
        <w:t>(Schwartz et al., 2019)</w:t>
      </w:r>
      <w:r w:rsidR="004F1E78">
        <w:fldChar w:fldCharType="end"/>
      </w:r>
      <w:r w:rsidR="004F1E78">
        <w:t xml:space="preserve"> and nurses </w:t>
      </w:r>
      <w:r w:rsidR="004F1E78">
        <w:fldChar w:fldCharType="begin" w:fldLock="1"/>
      </w:r>
      <w:r w:rsidR="008B3362">
        <w:instrText>ADDIN CSL_CITATION {"citationItems":[{"id":"ITEM-1","itemData":{"DOI":"10.1111/j.1365-2648.2006.03877.x","ISSN":"03092402","author":[{"dropping-particle":"","family":"Vieira","given":"Edgar Ramos","non-dropping-particle":"","parse-names":false,"suffix":""},{"dropping-particle":"","family":"Kumar","given":"Shrawan","non-dropping-particle":"","parse-names":false,"suffix":""},{"dropping-particle":"","family":"Coury","given":"Helenice J.C.G.","non-dropping-particle":"","parse-names":false,"suffix":""},{"dropping-particle":"","family":"Narayan","given":"Yogesh","non-dropping-particle":"","parse-names":false,"suffix":""}],"container-title":"Journal of Advanced Nursing","id":"ITEM-1","issue":"1","issued":{"date-parts":[["2006","7"]]},"page":"79-89","title":"Low back problems and possible improvements in nursing jobs","type":"article-journal","volume":"55"},"uris":["http://www.mendeley.com/documents/?uuid=9387d5b4-9328-4016-948f-b60eabf31310"]}],"mendeley":{"formattedCitation":"(Vieira et al., 2006)","plainTextFormattedCitation":"(Vieira et al., 2006)","previouslyFormattedCitation":"(Vieira et al., 2006)"},"properties":{"noteIndex":0},"schema":"https://github.com/citation-style-language/schema/raw/master/csl-citation.json"}</w:instrText>
      </w:r>
      <w:r w:rsidR="004F1E78">
        <w:fldChar w:fldCharType="separate"/>
      </w:r>
      <w:r w:rsidR="004F1E78" w:rsidRPr="004F1E78">
        <w:rPr>
          <w:noProof/>
        </w:rPr>
        <w:t>(Vieira et al., 2006)</w:t>
      </w:r>
      <w:r w:rsidR="004F1E78">
        <w:fldChar w:fldCharType="end"/>
      </w:r>
      <w:r w:rsidR="007F61E2">
        <w:t>.</w:t>
      </w:r>
      <w:r w:rsidR="004F1E78">
        <w:t xml:space="preserve"> </w:t>
      </w:r>
      <w:r w:rsidR="00DC6A2D">
        <w:t xml:space="preserve">One disadvantage of the Borg CR10 is a potential error due to the subjective nature; thus, it is needed to calibrate for the maximal level of exertion to achieve high accuracy </w:t>
      </w:r>
      <w:r w:rsidR="00DC6A2D">
        <w:fldChar w:fldCharType="begin" w:fldLock="1"/>
      </w:r>
      <w:r w:rsidR="00DC6A2D">
        <w:instrText>ADDIN CSL_CITATION {"citationItems":[{"id":"ITEM-1","itemData":{"DOI":"10.1016/j.apergo.2005.10.001","ISSN":"00036870","author":[{"dropping-particle":"","family":"Spielholz","given":"Peregrin","non-dropping-particle":"","parse-names":false,"suffix":""}],"container-title":"Applied Ergonomics","id":"ITEM-1","issue":"5","issued":{"date-parts":[["2006","9"]]},"page":"615-618","title":"Calibrating Borg scale ratings of hand force exertion","type":"article-journal","volume":"37"},"uris":["http://www.mendeley.com/documents/?uuid=b07d718f-0e82-42ea-8fc3-3a4c5c343739"]}],"mendeley":{"formattedCitation":"(Spielholz, 2006)","plainTextFormattedCitation":"(Spielholz, 2006)"},"properties":{"noteIndex":0},"schema":"https://github.com/citation-style-language/schema/raw/master/csl-citation.json"}</w:instrText>
      </w:r>
      <w:r w:rsidR="00DC6A2D">
        <w:fldChar w:fldCharType="separate"/>
      </w:r>
      <w:r w:rsidR="00DC6A2D" w:rsidRPr="00DC6A2D">
        <w:rPr>
          <w:noProof/>
        </w:rPr>
        <w:t>(Spielholz, 2006)</w:t>
      </w:r>
      <w:r w:rsidR="00DC6A2D">
        <w:fldChar w:fldCharType="end"/>
      </w:r>
      <w:r w:rsidR="00DC6A2D">
        <w:t xml:space="preserve">. </w:t>
      </w:r>
    </w:p>
    <w:p w14:paraId="4EA818F7" w14:textId="4303F6D2" w:rsidR="00AE7C74" w:rsidRDefault="00272526" w:rsidP="005460D5">
      <w:pPr>
        <w:spacing w:line="480" w:lineRule="auto"/>
      </w:pPr>
      <w:r>
        <w:t xml:space="preserve">Borg RPE and CR10 scales </w:t>
      </w:r>
      <w:r w:rsidR="00CF4896">
        <w:t>have been</w:t>
      </w:r>
      <w:r>
        <w:t xml:space="preserve"> translated </w:t>
      </w:r>
      <w:r w:rsidR="00CF4896">
        <w:t>into</w:t>
      </w:r>
      <w:r>
        <w:t xml:space="preserve"> several languages</w:t>
      </w:r>
      <w:r w:rsidR="00071EDF">
        <w:t xml:space="preserve"> </w:t>
      </w:r>
      <w:r w:rsidR="00071EDF">
        <w:fldChar w:fldCharType="begin" w:fldLock="1"/>
      </w:r>
      <w:r w:rsidR="005460D5">
        <w:instrText>ADDIN CSL_CITATION {"citationItems":[{"id":"ITEM-1","itemData":{"DOI":"10.2466/pms.98.2.725-735","ISSN":"0031-5125","abstract":"This study assessed the validity and reliability of the Cantonese-translated version of the Borg 6–20 Rating of Perceived Exertion (RPE) scale during continuous incremental cycle ergometry by Hong Kong adults. A total of 54 participants (25 males and 29 females), ages 22.2 ± 4.7 yr., volunteered to participate. They performed two trials of identical continuous incremental cycling exercise 1 wk. apart for the reliability test. The objective measures of exercise intensity (heart rate, power output, and oxygen consumption) and the subjective measure of effort (RPE) were obtained during the incremental exercise. Significant ( p&lt;.01) Pearson correlations were found when RPE values were correlated with heart rate ( rs ≥ .73), power output ( rs ≥ .69), and oxygen consumption ( rs ≥ .68). The overall test-retest intraclass correlation ( R = .92) indicated that the scale was reliable. In conclusion, this Cantonese scale for rating of perceived exertion appears to be a valid and reliable psychophysiological tool to measure perceptions of exertion during controlled cycle ergometer exercise by Hong Kong adults.","author":[{"dropping-particle":"","family":"Leung","given":"Raymond W.","non-dropping-particle":"","parse-names":false,"suffix":""},{"dropping-particle":"","family":"Leung","given":"Mee-Lee","non-dropping-particle":"","parse-names":false,"suffix":""},{"dropping-particle":"","family":"Chung","given":"Pak-Kwong","non-dropping-particle":"","parse-names":false,"suffix":""}],"container-title":"Perceptual and Motor Skills","id":"ITEM-1","issue":"2","issued":{"date-parts":[["2004","4"]]},"page":"725-735","title":"Validity and Reliability of a Cantonese-Translated Rating of Perceived Exertion Scale among Hong Kong Adults","type":"article-journal","volume":"98"},"uris":["http://www.mendeley.com/documents/?uuid=dacf8beb-f206-46b0-b83d-c56233d508c9"]},{"id":"ITEM-2","itemData":{"DOI":"10.1016/j.scispo.2012.07.008","ISSN":"07651597","author":[{"dropping-particle":"","family":"Haddad","given":"M.","non-dropping-particle":"","parse-names":false,"suffix":""},{"dropping-particle":"","family":"Chaouachi","given":"A.","non-dropping-particle":"","parse-names":false,"suffix":""},{"dropping-particle":"","family":"Castagna","given":"C.","non-dropping-particle":"","parse-names":false,"suffix":""},{"dropping-particle":"","family":"Hue","given":"O.","non-dropping-particle":"","parse-names":false,"suffix":""},{"dropping-particle":"","family":"Wong","given":"D.P.","non-dropping-particle":"","parse-names":false,"suffix":""},{"dropping-particle":"","family":"Tabben","given":"M.","non-dropping-particle":"","parse-names":false,"suffix":""},{"dropping-particle":"","family":"Behm","given":"D.G.","non-dropping-particle":"","parse-names":false,"suffix":""},{"dropping-particle":"","family":"Chamari","given":"K.","non-dropping-particle":"","parse-names":false,"suffix":""}],"container-title":"Science &amp; Sports","id":"ITEM-2","issue":"2","issued":{"date-parts":[["2013","4"]]},"page":"e29-e35","title":"Validity and psychometric evaluation of the French version of RPE scale in young fit males when monitoring training loads","type":"article-journal","volume":"28"},"uris":["http://www.mendeley.com/documents/?uuid=5b91277e-35ec-4022-940d-21415eeead63"]},{"id":"ITEM-3","itemData":{"DOI":"10.1080/1091367X.2019.1710709","ISSN":"1091-367X","author":[{"dropping-particle":"","family":"Cabral","given":"Luana L.","non-dropping-particle":"","parse-names":false,"suffix":""},{"dropping-particle":"","family":"Nakamura","given":"Fábio Y.","non-dropping-particle":"","parse-names":false,"suffix":""},{"dropping-particle":"","family":"Stefanello","given":"Joice M. F.","non-dropping-particle":"","parse-names":false,"suffix":""},{"dropping-particle":"V.","family":"Pessoa","given":"Luiz C.","non-dropping-particle":"","parse-names":false,"suffix":""},{"dropping-particle":"","family":"Smirmaul","given":"Bruno P. C.","non-dropping-particle":"","parse-names":false,"suffix":""},{"dropping-particle":"","family":"Pereira","given":"Gleber","non-dropping-particle":"","parse-names":false,"suffix":""}],"container-title":"Measurement in Physical Education and Exercise Science","id":"ITEM-3","issue":"2","issued":{"date-parts":[["2020","4","2"]]},"page":"103-114","title":"Initial Validity and Reliability of the Portuguese Borg Rating of Perceived Exertion 6-20 Scale","type":"article-journal","volume":"24"},"uris":["http://www.mendeley.com/documents/?uuid=d8c6c780-dd0e-4d12-bf12-8161360a4c8d"]}],"mendeley":{"formattedCitation":"(Cabral et al., 2020; Haddad et al., 2013; Leung et al., 2004)","plainTextFormattedCitation":"(Cabral et al., 2020; Haddad et al., 2013; Leung et al., 2004)","previouslyFormattedCitation":"(Cabral et al., 2020; Haddad et al., 2013; Leung et al., 2004)"},"properties":{"noteIndex":0},"schema":"https://github.com/citation-style-language/schema/raw/master/csl-citation.json"}</w:instrText>
      </w:r>
      <w:r w:rsidR="00071EDF">
        <w:fldChar w:fldCharType="separate"/>
      </w:r>
      <w:r w:rsidR="00071EDF" w:rsidRPr="000547DC">
        <w:rPr>
          <w:noProof/>
        </w:rPr>
        <w:t>(Cabral et al., 2020; Haddad et al., 2013; Leung et al., 2004)</w:t>
      </w:r>
      <w:r w:rsidR="00071EDF">
        <w:fldChar w:fldCharType="end"/>
      </w:r>
      <w:r w:rsidR="00071EDF" w:rsidRPr="000547DC">
        <w:t>.</w:t>
      </w:r>
      <w:r w:rsidR="005460D5" w:rsidRPr="000547DC">
        <w:t xml:space="preserve"> </w:t>
      </w:r>
      <w:r w:rsidR="003E743B">
        <w:t>While the Borg scales</w:t>
      </w:r>
      <w:r w:rsidR="00F07780">
        <w:t xml:space="preserve"> has a verbal description for each numeric value</w:t>
      </w:r>
      <w:r w:rsidR="003E743B">
        <w:t xml:space="preserve">, </w:t>
      </w:r>
      <w:r w:rsidR="00F07780">
        <w:t xml:space="preserve">another commonly-used and validated scale called </w:t>
      </w:r>
      <w:r w:rsidR="003E743B">
        <w:t xml:space="preserve">Omni RPE </w:t>
      </w:r>
      <w:r w:rsidR="00F07780">
        <w:t>includes</w:t>
      </w:r>
      <w:r w:rsidR="003E743B">
        <w:t xml:space="preserve"> pictorial descriptors in a specific</w:t>
      </w:r>
      <w:r w:rsidR="00AE7C74">
        <w:t xml:space="preserve"> context</w:t>
      </w:r>
      <w:r w:rsidR="00F07780">
        <w:t>.</w:t>
      </w:r>
      <w:r w:rsidR="005460D5">
        <w:t xml:space="preserve"> </w:t>
      </w:r>
      <w:r w:rsidR="005460D5" w:rsidRPr="005460D5">
        <w:t>Omni RP</w:t>
      </w:r>
      <w:r w:rsidR="005460D5">
        <w:t>E is, th</w:t>
      </w:r>
      <w:r w:rsidR="00AE7C74">
        <w:t>us</w:t>
      </w:r>
      <w:r w:rsidR="005460D5">
        <w:t xml:space="preserve">, more generalizable </w:t>
      </w:r>
      <w:r w:rsidR="005460D5">
        <w:fldChar w:fldCharType="begin" w:fldLock="1"/>
      </w:r>
      <w:r w:rsidR="00AE7C74">
        <w:instrText>ADDIN CSL_CITATION {"citationItems":[{"id":"ITEM-1","itemData":{"DOI":"10.1186/s40798-021-00386-8","ISSN":"2199-1170","author":[{"dropping-particle":"","family":"Lea","given":"John W. D.","non-dropping-particle":"","parse-names":false,"suffix":""},{"dropping-particle":"","family":"O’Driscoll","given":"Jamie M.","non-dropping-particle":"","parse-names":false,"suffix":""},{"dropping-particle":"","family":"Hulbert","given":"Sabina","non-dropping-particle":"","parse-names":false,"suffix":""},{"dropping-particle":"","family":"Scales","given":"James","non-dropping-particle":"","parse-names":false,"suffix":""},{"dropping-particle":"","family":"Wiles","given":"Jonathan D.","non-dropping-particle":"","parse-names":false,"suffix":""}],"container-title":"Sports Medicine - Open","id":"ITEM-1","issue":"1","issued":{"date-parts":[["2022","12","8"]]},"page":"2","title":"Convergent Validity of Ratings of Perceived Exertion During Resistance Exercise in Healthy Participants: A Systematic Review and Meta-Analysis","type":"article-journal","volume":"8"},"uris":["http://www.mendeley.com/documents/?uuid=59c09521-8246-4257-ba19-be68cef0b9ec"]}],"mendeley":{"formattedCitation":"(Lea et al., 2022)","plainTextFormattedCitation":"(Lea et al., 2022)","previouslyFormattedCitation":"(Lea et al., 2022)"},"properties":{"noteIndex":0},"schema":"https://github.com/citation-style-language/schema/raw/master/csl-citation.json"}</w:instrText>
      </w:r>
      <w:r w:rsidR="005460D5">
        <w:fldChar w:fldCharType="separate"/>
      </w:r>
      <w:r w:rsidR="005460D5" w:rsidRPr="005460D5">
        <w:rPr>
          <w:noProof/>
        </w:rPr>
        <w:t>(Lea et al., 2022)</w:t>
      </w:r>
      <w:r w:rsidR="005460D5">
        <w:fldChar w:fldCharType="end"/>
      </w:r>
      <w:r w:rsidR="005460D5">
        <w:t>.</w:t>
      </w:r>
      <w:r w:rsidR="00AE7C74">
        <w:t xml:space="preserve"> </w:t>
      </w:r>
      <w:r w:rsidR="008B3362">
        <w:t xml:space="preserve"> </w:t>
      </w:r>
    </w:p>
    <w:p w14:paraId="04FEF16A" w14:textId="6F96BC6A" w:rsidR="009C7583" w:rsidRDefault="00DE199A" w:rsidP="00497399">
      <w:pPr>
        <w:spacing w:line="480" w:lineRule="auto"/>
      </w:pPr>
      <w:r w:rsidRPr="00272526">
        <w:lastRenderedPageBreak/>
        <w:t xml:space="preserve">Relationship between subjective and objective measures has been </w:t>
      </w:r>
      <w:r w:rsidR="00374E7E">
        <w:t>investigated in laboratory studies</w:t>
      </w:r>
      <w:r w:rsidRPr="00272526">
        <w:t>.</w:t>
      </w:r>
      <w:r w:rsidR="00903820" w:rsidRPr="00272526">
        <w:t xml:space="preserve"> A previous study found a significant linear relationship between the EMG </w:t>
      </w:r>
      <w:r w:rsidR="00A44D59" w:rsidRPr="00272526">
        <w:t>MPF</w:t>
      </w:r>
      <w:r w:rsidR="00903820" w:rsidRPr="00272526">
        <w:t xml:space="preserve"> of upper trapezius and the </w:t>
      </w:r>
      <w:r w:rsidR="00A44D59" w:rsidRPr="00272526">
        <w:t>Borg CR10</w:t>
      </w:r>
      <w:r w:rsidR="00903820" w:rsidRPr="00272526">
        <w:t xml:space="preserve"> </w:t>
      </w:r>
      <w:r w:rsidR="00987A1E">
        <w:t>at</w:t>
      </w:r>
      <w:r w:rsidR="00903820" w:rsidRPr="00272526">
        <w:t xml:space="preserve"> shoulder elevation endurance tasks </w:t>
      </w:r>
      <w:r w:rsidR="00903820">
        <w:fldChar w:fldCharType="begin" w:fldLock="1"/>
      </w:r>
      <w:r w:rsidR="00C16F0C" w:rsidRPr="00272526">
        <w:instrText>ADDIN CSL_CITATION {"citationItems":[{"id":"ITEM-1","itemData":{"DOI":"10.1007/s00421-005-0014-7","ISSN":"1439-6319","author":[{"dropping-particle":"","family":"Hummel","given":"A.","non-dropping-particle":"","parse-names":false,"suffix":""},{"dropping-particle":"","family":"Läubli","given":"T.","non-dropping-particle":"","parse-names":false,"suffix":""},{"dropping-particle":"","family":"Pozzo","given":"M.","non-dropping-particle":"","parse-names":false,"suffix":""},{"dropping-particle":"","family":"Schenk","given":"P.","non-dropping-particle":"","parse-names":false,"suffix":""},{"dropping-particle":"","family":"Spillmann","given":"S.","non-dropping-particle":"","parse-names":false,"suffix":""},{"dropping-particle":"","family":"Klipstein","given":"A.","non-dropping-particle":"","parse-names":false,"suffix":""}],"container-title":"European Journal of Applied Physiology","id":"ITEM-1","issue":"4","issued":{"date-parts":[["2005","11","12"]]},"page":"321-326","title":"Relationship between perceived exertion and mean power frequency of the EMG signal from the upper trapezius muscle during isometric shoulder elevation","type":"article-journal","volume":"95"},"uris":["http://www.mendeley.com/documents/?uuid=6</w:instrText>
      </w:r>
      <w:r w:rsidR="00C16F0C">
        <w:instrText>47fda25-08d2-4032-9d0d-d5853c2f8101"]}],"mendeley":{"formattedCitation":"(Hummel et al., 2005)","plainTextFormattedCitation":"(Hummel et al., 2005)","previouslyFormattedCitation":"(Hummel et al., 2005)"},"properties":{"noteIndex":0},"schema":"https://github.com/citation-style-language/schema/raw/master/csl-citation.json"}</w:instrText>
      </w:r>
      <w:r w:rsidR="00903820">
        <w:fldChar w:fldCharType="separate"/>
      </w:r>
      <w:r w:rsidR="00903820" w:rsidRPr="00903820">
        <w:rPr>
          <w:noProof/>
        </w:rPr>
        <w:t>(Hummel et al., 2005)</w:t>
      </w:r>
      <w:r w:rsidR="00903820">
        <w:fldChar w:fldCharType="end"/>
      </w:r>
      <w:r w:rsidR="00903820">
        <w:t>.</w:t>
      </w:r>
      <w:r w:rsidR="00A44D59">
        <w:t xml:space="preserve"> </w:t>
      </w:r>
      <w:r w:rsidR="006873AB">
        <w:t>Similarly</w:t>
      </w:r>
      <w:r w:rsidR="00A44D59">
        <w:t>, correlations were found between the EMG MPF</w:t>
      </w:r>
      <w:r w:rsidR="00C16F0C">
        <w:t xml:space="preserve"> of lumbar muscle and the Borg CR10 results during repetitive and prolong trunk extension tasks </w:t>
      </w:r>
      <w:r w:rsidR="00C16F0C">
        <w:fldChar w:fldCharType="begin" w:fldLock="1"/>
      </w:r>
      <w:r w:rsidR="002214F9">
        <w:instrText>ADDIN CSL_CITATION {"citationItems":[{"id":"ITEM-1","itemData":{"DOI":"10.1007/s004210050242","ISSN":"1439-6319","author":[{"dropping-particle":"","family":"Kankaanpaa","given":"Markku","non-dropping-particle":"","parse-names":false,"suffix":""},{"dropping-particle":"","family":"Taimela","given":"Simo","non-dropping-particle":"","parse-names":false,"suffix":""},{"dropping-particle":"","family":"Webber","given":"Charles L.","non-dropping-particle":"","parse-names":false,"suffix":""},{"dropping-particle":"","family":"Airaksinen","given":"Olavi","non-dropping-particle":"","parse-names":false,"suffix":""},{"dropping-particle":"","family":"Hanninen","given":"Osmo","non-dropping-particle":"","parse-names":false,"suffix":""}],"container-title":"European Journal of Applied Physiology","id":"ITEM-1","issue":"3","issued":{"date-parts":[["1997","8","1"]]},"page":"236-242","title":"Lumbar paraspinal muscle fatigability in repetitive isoinertial loading: EMG spectral indices, Borg scale and endurance time","type":"article-journal","volume":"76"},"uris":["http://www.mendeley.com/documents/?uuid=4e0e1a4e-db96-42d6-a0fa-fc65f4569901"]},{"id":"ITEM-2","itemData":{"DOI":"10.1016/S0268-0033(98)00053-9","ISSN":"02680033","author":[{"dropping-particle":"","family":"Dedering","given":"Åsa","non-dropping-particle":"","parse-names":false,"suffix":""},{"dropping-particle":"","family":"Németh","given":"Gunnar","non-dropping-particle":"","parse-names":false,"suffix":""},{"dropping-particle":"","family":"Harms-Ringdahl","given":"Karin","non-dropping-particle":"","parse-names":false,"suffix":""}],"container-title":"Clinical Biomechanics","id":"ITEM-2","issue":"2","issued":{"date-parts":[["1999","2"]]},"page":"103-111","title":"Correlation between electromyographic spectral changes and subjective assessment of lumbar muscle fatigue in subjects without pain from the lower back","type":"article-journal","volume":"14"},"uris":["http://www.mendeley.com/documents/?uuid=32eecdcd-25c2-4c36-8ff4-fbb737b5ed8c"]}],"mendeley":{"formattedCitation":"(Dedering et al., 1999; Kankaanpaa et al., 1997)","plainTextFormattedCitation":"(Dedering et al., 1999; Kankaanpaa et al., 1997)","previouslyFormattedCitation":"(Dedering et al., 1999; Kankaanpaa et al., 1997)"},"properties":{"noteIndex":0},"schema":"https://github.com/citation-style-language/schema/raw/master/csl-citation.json"}</w:instrText>
      </w:r>
      <w:r w:rsidR="00C16F0C">
        <w:fldChar w:fldCharType="separate"/>
      </w:r>
      <w:r w:rsidR="00C16F0C" w:rsidRPr="00C16F0C">
        <w:rPr>
          <w:noProof/>
        </w:rPr>
        <w:t>(Dedering et al., 1999; Kankaanpaa et al., 1997)</w:t>
      </w:r>
      <w:r w:rsidR="00C16F0C">
        <w:fldChar w:fldCharType="end"/>
      </w:r>
      <w:r w:rsidR="00C16F0C">
        <w:t>.</w:t>
      </w:r>
      <w:r w:rsidR="00BD04E1">
        <w:t xml:space="preserve"> Regarding the muscle activity, i.e. the amplitude of the EMG signal, a</w:t>
      </w:r>
      <w:r w:rsidR="00903820">
        <w:t>nother</w:t>
      </w:r>
      <w:r w:rsidR="009E5669">
        <w:t xml:space="preserve"> study </w:t>
      </w:r>
      <w:r w:rsidR="009E5669">
        <w:fldChar w:fldCharType="begin" w:fldLock="1"/>
      </w:r>
      <w:r w:rsidR="009E5669">
        <w:instrText>ADDIN CSL_CITATION {"citationItems":[{"id":"ITEM-1","itemData":{"DOI":"10.1016/j.apergo.2006.05.004","ISSN":"00036870","author":[{"dropping-particle":"","family":"Kuijt-Evers","given":"L.F.M.","non-dropping-particle":"","parse-names":false,"suffix":""},{"dropping-particle":"","family":"Bosch","given":"T.","non-dropping-particle":"","parse-names":false,"suffix":""},{"dropping-particle":"","family":"Huysmans","given":"M.A.","non-dropping-particle":"","parse-names":false,"suffix":""},{"dropping-particle":"","family":"Looze","given":"M.P.","non-dropping-particle":"de","parse-names":false,"suffix":""},{"dropping-particle":"","family":"Vink","given":"P.","non-dropping-particle":"","parse-names":false,"suffix":""}],"container-title":"Applied Ergonomics","id":"ITEM-1","issue":"5","issued":{"date-parts":[["2007","9"]]},"page":"643-654","title":"Association between objective and subjective measurements of comfort and discomfort in hand tools","type":"article-journal","volume":"38"},"uris":["http://www.mendeley.com/documents/?uuid=c4096bed-6322-44ac-841f-ee9335292d70"]}],"mendeley":{"formattedCitation":"(Kuijt-Evers et al., 2007)","plainTextFormattedCitation":"(Kuijt-Evers et al., 2007)","previouslyFormattedCitation":"(Kuijt-Evers et al., 2007)"},"properties":{"noteIndex":0},"schema":"https://github.com/citation-style-language/schema/raw/master/csl-citation.json"}</w:instrText>
      </w:r>
      <w:r w:rsidR="009E5669">
        <w:fldChar w:fldCharType="separate"/>
      </w:r>
      <w:r w:rsidR="009E5669" w:rsidRPr="009E5669">
        <w:rPr>
          <w:noProof/>
        </w:rPr>
        <w:t>(Kuijt-Evers et al., 2007)</w:t>
      </w:r>
      <w:r w:rsidR="009E5669">
        <w:fldChar w:fldCharType="end"/>
      </w:r>
      <w:r w:rsidR="00BD04E1">
        <w:t xml:space="preserve"> also</w:t>
      </w:r>
      <w:r w:rsidR="009E5669">
        <w:t xml:space="preserve"> f</w:t>
      </w:r>
      <w:r w:rsidR="009C7583">
        <w:t xml:space="preserve">ound the relationship between the EMG in </w:t>
      </w:r>
      <w:r w:rsidR="00987A1E">
        <w:t xml:space="preserve">the </w:t>
      </w:r>
      <w:r w:rsidR="009C7583">
        <w:t xml:space="preserve">percentage of maximum voluntary contraction and </w:t>
      </w:r>
      <w:r w:rsidR="00987A1E">
        <w:t xml:space="preserve">the </w:t>
      </w:r>
      <w:r w:rsidR="009E5669">
        <w:t xml:space="preserve">subjective ratings of </w:t>
      </w:r>
      <w:r w:rsidR="00CE3EEE">
        <w:t xml:space="preserve">discomfort </w:t>
      </w:r>
      <w:r w:rsidR="009E5669">
        <w:fldChar w:fldCharType="begin" w:fldLock="1"/>
      </w:r>
      <w:r w:rsidR="009E5669">
        <w:instrText>ADDIN CSL_CITATION {"citationItems":[{"id":"ITEM-1","itemData":{"DOI":"10.1016/j.apergo.2004.03.010","ISSN":"00036870","author":[{"dropping-particle":"","family":"Groenesteijn","given":"Liesbeth","non-dropping-particle":"","parse-names":false,"suffix":""},{"dropping-particle":"","family":"Eikhout","given":"Sandra M","non-dropping-particle":"","parse-names":false,"suffix":""},{"dropping-particle":"","family":"Vink","given":"Peter","non-dropping-particle":"","parse-names":false,"suffix":""}],"container-title":"Applied Ergonomics","id":"ITEM-1","issue":"5","issued":{"date-parts":[["2004","9"]]},"page":"485-492","title":"One set of pliers for more tasks in installation work: the effects on (dis)comfort and productivity","type":"article-journal","volume":"35"},"uris":["http://www.mendeley.com/documents/?uuid=98f15342-af96-4e34-977c-bc3becb9f1ff"]}],"mendeley":{"formattedCitation":"(Groenesteijn et al., 2004)","plainTextFormattedCitation":"(Groenesteijn et al., 2004)","previouslyFormattedCitation":"(Groenesteijn et al., 2004)"},"properties":{"noteIndex":0},"schema":"https://github.com/citation-style-language/schema/raw/master/csl-citation.json"}</w:instrText>
      </w:r>
      <w:r w:rsidR="009E5669">
        <w:fldChar w:fldCharType="separate"/>
      </w:r>
      <w:r w:rsidR="009E5669" w:rsidRPr="009E5669">
        <w:rPr>
          <w:noProof/>
        </w:rPr>
        <w:t>(Groenesteijn et al., 2004)</w:t>
      </w:r>
      <w:r w:rsidR="009E5669">
        <w:fldChar w:fldCharType="end"/>
      </w:r>
      <w:r w:rsidR="009E5669">
        <w:t xml:space="preserve"> </w:t>
      </w:r>
      <w:r w:rsidR="00CE3EEE">
        <w:t xml:space="preserve">in </w:t>
      </w:r>
      <w:r w:rsidR="009E5669">
        <w:t xml:space="preserve">hand tool </w:t>
      </w:r>
      <w:r w:rsidR="00CE3EEE">
        <w:t>uses</w:t>
      </w:r>
      <w:r w:rsidR="00BD04E1">
        <w:t>,</w:t>
      </w:r>
      <w:r w:rsidR="00CE3EEE">
        <w:t xml:space="preserve"> only in trapezius but no</w:t>
      </w:r>
      <w:r w:rsidR="00374E7E">
        <w:t>t in</w:t>
      </w:r>
      <w:r w:rsidR="00CE3EEE">
        <w:t xml:space="preserve"> other muscles</w:t>
      </w:r>
      <w:r w:rsidR="00374E7E">
        <w:t>.</w:t>
      </w:r>
    </w:p>
    <w:p w14:paraId="6C9813FD" w14:textId="3D7EE0C9" w:rsidR="00374E7E" w:rsidRDefault="007F61E2" w:rsidP="00497399">
      <w:pPr>
        <w:spacing w:line="480" w:lineRule="auto"/>
      </w:pPr>
      <w:r>
        <w:t>Despite plenty of laboratory validation of subjective scales, s</w:t>
      </w:r>
      <w:r w:rsidR="001C161E">
        <w:t>tudies on association between objective and subjective ergonomic measures are lacking in the field settings</w:t>
      </w:r>
      <w:r w:rsidR="008B3362">
        <w:t>.</w:t>
      </w:r>
      <w:r w:rsidR="000D6A80">
        <w:t xml:space="preserve"> It is unclear whether</w:t>
      </w:r>
      <w:r w:rsidR="006873AB">
        <w:t xml:space="preserve"> the</w:t>
      </w:r>
      <w:r w:rsidR="000D6A80">
        <w:t xml:space="preserve"> subjective rating</w:t>
      </w:r>
      <w:r w:rsidR="006873AB">
        <w:t xml:space="preserve"> scale</w:t>
      </w:r>
      <w:r w:rsidR="000D6A80">
        <w:t>s validated in the controlled environment could be apply to the ergonomic assessment in the field.</w:t>
      </w:r>
    </w:p>
    <w:p w14:paraId="47C432AF" w14:textId="175740B8" w:rsidR="003A4B9E" w:rsidRDefault="003A4B9E" w:rsidP="003A4B9E">
      <w:pPr>
        <w:pStyle w:val="Heading3"/>
        <w:spacing w:line="480" w:lineRule="auto"/>
      </w:pPr>
      <w:r>
        <w:t>1.3 Objectives of this study</w:t>
      </w:r>
    </w:p>
    <w:p w14:paraId="38E75E17" w14:textId="4E746CE0" w:rsidR="00C945DC" w:rsidRDefault="0084013A" w:rsidP="00497399">
      <w:pPr>
        <w:spacing w:line="480" w:lineRule="auto"/>
      </w:pPr>
      <w:r>
        <w:t xml:space="preserve">The </w:t>
      </w:r>
      <w:r w:rsidR="000D6A80">
        <w:t xml:space="preserve">primary </w:t>
      </w:r>
      <w:r>
        <w:t xml:space="preserve">objective of this study was to find </w:t>
      </w:r>
      <w:r w:rsidR="000D6A80">
        <w:t xml:space="preserve">the </w:t>
      </w:r>
      <w:r w:rsidR="003A4B9E">
        <w:t>relationships</w:t>
      </w:r>
      <w:r>
        <w:t xml:space="preserve"> between the objective and subjective evaluation of the exertion at the overall level as well as at local body parts</w:t>
      </w:r>
      <w:r w:rsidR="00E60CBA">
        <w:t xml:space="preserve"> in</w:t>
      </w:r>
      <w:r w:rsidR="007148EB">
        <w:t xml:space="preserve"> the context of</w:t>
      </w:r>
      <w:r w:rsidR="00E60CBA">
        <w:t xml:space="preserve"> the Hispanic migrant </w:t>
      </w:r>
      <w:r w:rsidR="00132E4D">
        <w:t>farmworkers in the United States.</w:t>
      </w:r>
      <w:r w:rsidR="000D6A80">
        <w:t xml:space="preserve"> Specifically, this study </w:t>
      </w:r>
      <w:r w:rsidR="003A4B9E">
        <w:t xml:space="preserve">aimed to </w:t>
      </w:r>
      <w:r w:rsidR="000D6A80">
        <w:t xml:space="preserve">determine </w:t>
      </w:r>
      <w:r w:rsidR="003A4B9E">
        <w:t xml:space="preserve">1.) </w:t>
      </w:r>
      <w:r w:rsidR="000D6A80">
        <w:t xml:space="preserve">the correlation between </w:t>
      </w:r>
      <w:r w:rsidR="003A4B9E">
        <w:t>metabolic, i.e. cardiovascular, load and the RPE scales, and 2.) the correlation between muscle fatigue measured through EMG and the local CR10 scales.</w:t>
      </w:r>
    </w:p>
    <w:p w14:paraId="330DE7A6" w14:textId="18014D15" w:rsidR="007F35ED" w:rsidRDefault="00497399" w:rsidP="00497399">
      <w:pPr>
        <w:pStyle w:val="Heading2"/>
        <w:spacing w:line="480" w:lineRule="auto"/>
      </w:pPr>
      <w:r>
        <w:t xml:space="preserve">2. </w:t>
      </w:r>
      <w:r w:rsidR="007F35ED">
        <w:t>Methods</w:t>
      </w:r>
    </w:p>
    <w:p w14:paraId="377C89F2" w14:textId="76C75AA9" w:rsidR="007F35ED" w:rsidRDefault="00497399" w:rsidP="00497399">
      <w:pPr>
        <w:pStyle w:val="Heading3"/>
        <w:spacing w:line="480" w:lineRule="auto"/>
      </w:pPr>
      <w:r>
        <w:t xml:space="preserve">2.1 </w:t>
      </w:r>
      <w:r w:rsidR="007F35ED">
        <w:t xml:space="preserve">Participants </w:t>
      </w:r>
    </w:p>
    <w:p w14:paraId="19FDA0C3" w14:textId="20582BBA" w:rsidR="00C945DC" w:rsidRDefault="00C945DC" w:rsidP="00497399">
      <w:pPr>
        <w:spacing w:line="480" w:lineRule="auto"/>
      </w:pPr>
      <w:r>
        <w:t>Twenty-four</w:t>
      </w:r>
      <w:r w:rsidR="00DE199A">
        <w:t xml:space="preserve"> Hispanic male seasonal apple pickers participated in the study. The participants’ ages</w:t>
      </w:r>
      <w:r w:rsidR="00DF3254">
        <w:t xml:space="preserve"> were on average 28.4 years (range 18-47 years). Their experience as farmworkers </w:t>
      </w:r>
      <w:r w:rsidR="00C059B1">
        <w:t xml:space="preserve">harvesting tree fruits </w:t>
      </w:r>
      <w:r w:rsidR="00DF3254">
        <w:t xml:space="preserve">in the United States were on </w:t>
      </w:r>
      <w:commentRangeStart w:id="2"/>
      <w:r w:rsidR="00DF3254">
        <w:t xml:space="preserve">average 3.4 years </w:t>
      </w:r>
      <w:commentRangeEnd w:id="2"/>
      <w:r w:rsidR="00B53E18">
        <w:rPr>
          <w:rStyle w:val="CommentReference"/>
        </w:rPr>
        <w:commentReference w:id="2"/>
      </w:r>
      <w:r w:rsidR="00DF3254">
        <w:t xml:space="preserve">(range 1-14 years). The participants were equally divided into </w:t>
      </w:r>
      <w:r w:rsidR="00DF3254">
        <w:lastRenderedPageBreak/>
        <w:t>three groups to perform different harvesting methods: 1.) picking apples at the lower level of the trees up to their reach distance overhead, denoted as “Ground”, 2.) using a ladder to pick apples from the full trees, denoted as “Ladder”, and 3.) picking apples at the upper level of the trees while standing on the semi-automated mobile orchard platform, denoted as “Platform”. All the participants worked in the same schedule from 7</w:t>
      </w:r>
      <w:r w:rsidR="003F1E3F">
        <w:t>:00</w:t>
      </w:r>
      <w:r w:rsidR="00DF3254">
        <w:t xml:space="preserve"> to 15:30</w:t>
      </w:r>
      <w:r w:rsidR="003F1E3F">
        <w:t xml:space="preserve"> with a break during 9:30-10:</w:t>
      </w:r>
      <w:commentRangeStart w:id="3"/>
      <w:commentRangeStart w:id="4"/>
      <w:r w:rsidR="003F1E3F">
        <w:t>00</w:t>
      </w:r>
      <w:commentRangeEnd w:id="3"/>
      <w:r w:rsidR="00F50BD7">
        <w:rPr>
          <w:rStyle w:val="CommentReference"/>
        </w:rPr>
        <w:commentReference w:id="3"/>
      </w:r>
      <w:commentRangeEnd w:id="4"/>
      <w:r w:rsidR="00C059B1">
        <w:rPr>
          <w:rStyle w:val="CommentReference"/>
        </w:rPr>
        <w:commentReference w:id="4"/>
      </w:r>
      <w:r w:rsidR="003F1E3F">
        <w:t>.</w:t>
      </w:r>
    </w:p>
    <w:p w14:paraId="44458AB8" w14:textId="5CCF09DD" w:rsidR="003F1E3F" w:rsidRDefault="003F1E3F" w:rsidP="00497399">
      <w:pPr>
        <w:spacing w:line="480" w:lineRule="auto"/>
      </w:pPr>
      <w:r>
        <w:t>The protocols for participant recruitment and data collection were approved by the university’s Human Subject’s Division Institutional Review Board. All the participants provided their informed consent.</w:t>
      </w:r>
    </w:p>
    <w:p w14:paraId="3FC4DD0F" w14:textId="15EB4FE5" w:rsidR="007F35ED" w:rsidRDefault="00497399" w:rsidP="00497399">
      <w:pPr>
        <w:pStyle w:val="Heading3"/>
        <w:spacing w:line="480" w:lineRule="auto"/>
      </w:pPr>
      <w:r>
        <w:t xml:space="preserve">2.2 </w:t>
      </w:r>
      <w:r w:rsidR="007F35ED">
        <w:t>Data collection</w:t>
      </w:r>
    </w:p>
    <w:p w14:paraId="087E92DC" w14:textId="42CF475E" w:rsidR="00C945DC" w:rsidRDefault="00497399" w:rsidP="00497399">
      <w:pPr>
        <w:pStyle w:val="Heading4"/>
        <w:spacing w:line="480" w:lineRule="auto"/>
      </w:pPr>
      <w:r>
        <w:t xml:space="preserve">2.2.1 </w:t>
      </w:r>
      <w:r w:rsidR="00C945DC">
        <w:t>Heart rate monitors</w:t>
      </w:r>
    </w:p>
    <w:p w14:paraId="5EAAACE3" w14:textId="3AFD8DFA" w:rsidR="00C945DC" w:rsidRDefault="003E68BB" w:rsidP="00497399">
      <w:pPr>
        <w:spacing w:line="480" w:lineRule="auto"/>
      </w:pPr>
      <w:r>
        <w:t xml:space="preserve">Participants’ heart rate in beats per minute were collected at </w:t>
      </w:r>
      <w:r>
        <w:rPr>
          <w:color w:val="000000"/>
        </w:rPr>
        <w:t>1 Hz throughout a full work day using a heart monitor </w:t>
      </w:r>
      <w:r>
        <w:rPr>
          <w:i/>
          <w:iCs/>
          <w:color w:val="000000"/>
        </w:rPr>
        <w:t>(Polar RS100CX; Polar Electro Inc., Lake Success, NY)</w:t>
      </w:r>
      <w:r>
        <w:rPr>
          <w:color w:val="000000"/>
        </w:rPr>
        <w:t>. </w:t>
      </w:r>
      <w:bookmarkStart w:id="5" w:name="_GoBack"/>
      <w:bookmarkEnd w:id="5"/>
    </w:p>
    <w:p w14:paraId="17AB3C84" w14:textId="79DA5D57" w:rsidR="00C945DC" w:rsidRDefault="00497399" w:rsidP="00497399">
      <w:pPr>
        <w:pStyle w:val="Heading4"/>
        <w:spacing w:line="480" w:lineRule="auto"/>
      </w:pPr>
      <w:r>
        <w:t xml:space="preserve">2.2.2 </w:t>
      </w:r>
      <w:r w:rsidR="00C945DC">
        <w:t>Electromyography</w:t>
      </w:r>
    </w:p>
    <w:p w14:paraId="4D18048E" w14:textId="512EBCA9" w:rsidR="00C945DC" w:rsidRPr="002D6306" w:rsidRDefault="00B14F02" w:rsidP="00497399">
      <w:pPr>
        <w:spacing w:line="480" w:lineRule="auto"/>
      </w:pPr>
      <w:r>
        <w:rPr>
          <w:rFonts w:ascii="Calibri" w:hAnsi="Calibri" w:cs="Calibri"/>
          <w:color w:val="2E2E2E"/>
          <w:szCs w:val="27"/>
        </w:rPr>
        <w:t xml:space="preserve">Local muscle activity </w:t>
      </w:r>
      <w:r w:rsidR="003F1E3F">
        <w:rPr>
          <w:rFonts w:ascii="Calibri" w:hAnsi="Calibri" w:cs="Calibri"/>
          <w:color w:val="2E2E2E"/>
          <w:szCs w:val="27"/>
        </w:rPr>
        <w:t xml:space="preserve">signal </w:t>
      </w:r>
      <w:r>
        <w:rPr>
          <w:rFonts w:ascii="Calibri" w:hAnsi="Calibri" w:cs="Calibri"/>
          <w:color w:val="2E2E2E"/>
          <w:szCs w:val="27"/>
        </w:rPr>
        <w:t>was collected</w:t>
      </w:r>
      <w:r w:rsidR="003F1E3F">
        <w:rPr>
          <w:rFonts w:ascii="Calibri" w:hAnsi="Calibri" w:cs="Calibri"/>
          <w:color w:val="2E2E2E"/>
          <w:szCs w:val="27"/>
        </w:rPr>
        <w:t xml:space="preserve"> from both left and right trapezius muscles</w:t>
      </w:r>
      <w:r>
        <w:rPr>
          <w:rFonts w:ascii="Calibri" w:hAnsi="Calibri" w:cs="Calibri"/>
          <w:color w:val="2E2E2E"/>
          <w:szCs w:val="27"/>
        </w:rPr>
        <w:t xml:space="preserve"> at 1,000 </w:t>
      </w:r>
      <w:r w:rsidR="003F1E3F">
        <w:rPr>
          <w:rFonts w:ascii="Calibri" w:hAnsi="Calibri" w:cs="Calibri"/>
          <w:color w:val="2E2E2E"/>
          <w:szCs w:val="27"/>
        </w:rPr>
        <w:t xml:space="preserve">Hz </w:t>
      </w:r>
      <w:r>
        <w:rPr>
          <w:rFonts w:ascii="Calibri" w:hAnsi="Calibri" w:cs="Calibri"/>
          <w:color w:val="2E2E2E"/>
          <w:szCs w:val="27"/>
        </w:rPr>
        <w:t>using s</w:t>
      </w:r>
      <w:r w:rsidR="00CA51BD" w:rsidRPr="00B14F02">
        <w:rPr>
          <w:rFonts w:ascii="Calibri" w:hAnsi="Calibri" w:cs="Calibri"/>
          <w:color w:val="2E2E2E"/>
          <w:szCs w:val="27"/>
        </w:rPr>
        <w:t>ingle-use disposable pre-gelled electrodes (</w:t>
      </w:r>
      <w:r w:rsidR="00CA51BD" w:rsidRPr="00B14F02">
        <w:rPr>
          <w:rStyle w:val="Emphasis"/>
          <w:rFonts w:ascii="Calibri" w:hAnsi="Calibri" w:cs="Calibri"/>
          <w:color w:val="2E2E2E"/>
          <w:szCs w:val="27"/>
        </w:rPr>
        <w:t xml:space="preserve">Blue Sensor N; </w:t>
      </w:r>
      <w:proofErr w:type="spellStart"/>
      <w:r w:rsidR="00CA51BD" w:rsidRPr="00B14F02">
        <w:rPr>
          <w:rStyle w:val="Emphasis"/>
          <w:rFonts w:ascii="Calibri" w:hAnsi="Calibri" w:cs="Calibri"/>
          <w:color w:val="2E2E2E"/>
          <w:szCs w:val="27"/>
        </w:rPr>
        <w:t>Ambu</w:t>
      </w:r>
      <w:proofErr w:type="spellEnd"/>
      <w:r w:rsidR="00CA51BD" w:rsidRPr="00B14F02">
        <w:rPr>
          <w:rStyle w:val="Emphasis"/>
          <w:rFonts w:ascii="Calibri" w:hAnsi="Calibri" w:cs="Calibri"/>
          <w:color w:val="2E2E2E"/>
          <w:szCs w:val="27"/>
        </w:rPr>
        <w:t xml:space="preserve">; </w:t>
      </w:r>
      <w:proofErr w:type="spellStart"/>
      <w:r w:rsidR="00CA51BD" w:rsidRPr="00B14F02">
        <w:rPr>
          <w:rStyle w:val="Emphasis"/>
          <w:rFonts w:ascii="Calibri" w:hAnsi="Calibri" w:cs="Calibri"/>
          <w:color w:val="2E2E2E"/>
          <w:szCs w:val="27"/>
        </w:rPr>
        <w:t>Ballerup</w:t>
      </w:r>
      <w:proofErr w:type="spellEnd"/>
      <w:r w:rsidR="00CA51BD" w:rsidRPr="00B14F02">
        <w:rPr>
          <w:rStyle w:val="Emphasis"/>
          <w:rFonts w:ascii="Calibri" w:hAnsi="Calibri" w:cs="Calibri"/>
          <w:color w:val="2E2E2E"/>
          <w:szCs w:val="27"/>
        </w:rPr>
        <w:t>, Denmark</w:t>
      </w:r>
      <w:r w:rsidR="00CA51BD" w:rsidRPr="00B14F02">
        <w:rPr>
          <w:rFonts w:ascii="Calibri" w:hAnsi="Calibri" w:cs="Calibri"/>
          <w:color w:val="2E2E2E"/>
          <w:szCs w:val="27"/>
        </w:rPr>
        <w:t>)</w:t>
      </w:r>
      <w:r>
        <w:rPr>
          <w:rFonts w:ascii="Calibri" w:hAnsi="Calibri" w:cs="Calibri"/>
          <w:color w:val="2E2E2E"/>
          <w:szCs w:val="27"/>
        </w:rPr>
        <w:t xml:space="preserve"> </w:t>
      </w:r>
      <w:r w:rsidRPr="00B14F02">
        <w:rPr>
          <w:rFonts w:ascii="Calibri" w:hAnsi="Calibri" w:cs="Calibri"/>
          <w:color w:val="2E2E2E"/>
          <w:szCs w:val="27"/>
        </w:rPr>
        <w:t xml:space="preserve">connected </w:t>
      </w:r>
      <w:r>
        <w:rPr>
          <w:rFonts w:ascii="Calibri" w:hAnsi="Calibri" w:cs="Calibri"/>
          <w:color w:val="2E2E2E"/>
          <w:szCs w:val="27"/>
        </w:rPr>
        <w:t xml:space="preserve">with </w:t>
      </w:r>
      <w:r w:rsidRPr="00B14F02">
        <w:rPr>
          <w:rFonts w:ascii="Calibri" w:hAnsi="Calibri" w:cs="Calibri"/>
          <w:color w:val="2E2E2E"/>
          <w:szCs w:val="27"/>
        </w:rPr>
        <w:t>pre-amplifiers</w:t>
      </w:r>
      <w:r>
        <w:rPr>
          <w:rFonts w:ascii="Calibri" w:hAnsi="Calibri" w:cs="Calibri"/>
          <w:color w:val="2E2E2E"/>
          <w:szCs w:val="27"/>
        </w:rPr>
        <w:t xml:space="preserve"> wires</w:t>
      </w:r>
      <w:r w:rsidRPr="00B14F02">
        <w:rPr>
          <w:rFonts w:ascii="Calibri" w:hAnsi="Calibri" w:cs="Calibri"/>
          <w:color w:val="2E2E2E"/>
          <w:szCs w:val="27"/>
        </w:rPr>
        <w:t xml:space="preserve"> to a battery-powered portable data logger (</w:t>
      </w:r>
      <w:proofErr w:type="spellStart"/>
      <w:r w:rsidRPr="00B14F02">
        <w:rPr>
          <w:rStyle w:val="Emphasis"/>
          <w:rFonts w:ascii="Calibri" w:hAnsi="Calibri" w:cs="Calibri"/>
          <w:color w:val="2E2E2E"/>
          <w:szCs w:val="27"/>
        </w:rPr>
        <w:t>Biomonitor</w:t>
      </w:r>
      <w:proofErr w:type="spellEnd"/>
      <w:r w:rsidRPr="00B14F02">
        <w:rPr>
          <w:rStyle w:val="Emphasis"/>
          <w:rFonts w:ascii="Calibri" w:hAnsi="Calibri" w:cs="Calibri"/>
          <w:color w:val="2E2E2E"/>
          <w:szCs w:val="27"/>
        </w:rPr>
        <w:t xml:space="preserve"> ME6000; Mega Electronics Ltd.; Kuopio, Finland</w:t>
      </w:r>
      <w:r w:rsidRPr="00B14F02">
        <w:rPr>
          <w:rFonts w:ascii="Calibri" w:hAnsi="Calibri" w:cs="Calibri"/>
          <w:color w:val="2E2E2E"/>
          <w:szCs w:val="27"/>
        </w:rPr>
        <w:t>)</w:t>
      </w:r>
      <w:r w:rsidR="00636887">
        <w:t>.</w:t>
      </w:r>
      <w:r w:rsidR="003E68BB">
        <w:t xml:space="preserve"> </w:t>
      </w:r>
    </w:p>
    <w:p w14:paraId="48550EC0" w14:textId="1EE11403" w:rsidR="00C945DC" w:rsidRPr="00C945DC" w:rsidRDefault="00497399" w:rsidP="00497399">
      <w:pPr>
        <w:pStyle w:val="Heading4"/>
        <w:spacing w:line="480" w:lineRule="auto"/>
      </w:pPr>
      <w:r>
        <w:t xml:space="preserve">2.2.3 </w:t>
      </w:r>
      <w:r w:rsidR="00C945DC" w:rsidRPr="00C945DC">
        <w:t>Subjective ratings: Borg RPE, Omni RPE and Borg CR10</w:t>
      </w:r>
    </w:p>
    <w:p w14:paraId="3504D247" w14:textId="565DDBB1" w:rsidR="007C2133" w:rsidRPr="007C2133" w:rsidRDefault="0021786B" w:rsidP="00497399">
      <w:pPr>
        <w:spacing w:line="480" w:lineRule="auto"/>
      </w:pPr>
      <w:r>
        <w:t>Borg RPE and Omni RPE were used as subjective measures of overall effort while Borg CR10 was used as a subjective measure of local discomfort. The</w:t>
      </w:r>
      <w:r w:rsidRPr="00B14F02">
        <w:t xml:space="preserve"> Bo</w:t>
      </w:r>
      <w:r>
        <w:t xml:space="preserve">rg RPE and Borg CR10 translated into Spanish were previously validated in the field </w:t>
      </w:r>
      <w:r w:rsidR="002214F9">
        <w:fldChar w:fldCharType="begin" w:fldLock="1"/>
      </w:r>
      <w:r w:rsidR="006873AB">
        <w:instrText>ADDIN CSL_CITATION {"citationItems":[{"id":"ITEM-1","itemData":{"DOI":"10.1080/1059924X.2019.1593273","ISSN":"15450813","abstract":"© 2019, © 2019 Informa UK Limited, trading as Taylor  &amp;  Francis Group. Although mobile orchardplatforms have been developed to improve apple harvesting productivity in the US, the physical exposures of workers usingthe mobile platforms have not been well characterized, partlydue to the lack of assessment tools specific to the tree fruitorchard environment. The purpose of this study was to evaluate the feasibility and utility of different subjective and objective methods for characterizing apple harvesting workers’ posture, armrepetition, heart rate, and perceived exertion during platform- and conventional ladder-based harvesting. During a regular full shiftwork (8 hours), the objective physical exposure measures (armelevation, torso inclination, and heart rate) of 6 platform, 6 ground, and 8 ladder workers were measured with tri-axial accelerometersand heart rate monitor; and subjective perceived exertion wascollected using standardized Borg RPE and CR-10 scales, translated into Spanish. The results showed that the arm elevation, torso forward bending, repetitiveness, heart rates, and perceived exertions were lower for the platform-based workers than forthe ladder-based workers. The subjective measures (Borg RPE and Borg CR-10) appeared to be similar and mirror the general trends of the objective heart rate and posture measures.These results indicate the potential benefit of these low-cost subjective measures when direct measurements are too costly,complicated, or not permitted. This study determined that field measurements of objective and subjective physical exposures were feasible for evaluating apple harvesting work. In summary, all themethods used appear to be feasible for field use in orchard-based environments.","author":[{"dropping-particle":"","family":"Thamsuwan","given":"O.","non-dropping-particle":"","parse-names":false,"suffix":""},{"dropping-particle":"","family":"Galvin","given":"K.","non-dropping-particle":"","parse-names":false,"suffix":""},{"dropping-particle":"","family":"Tchong-French","given":"M.","non-dropping-particle":"","parse-names":false,"suffix":""},{"dropping-particle":"","family":"Kim","given":"J.H.","non-dropping-particle":"","parse-names":false,"suffix":""},{"dropping-particle":"","family":"Johnson","given":"P.W.","non-dropping-particle":"","parse-names":false,"suffix":""}],"container-title":"Journal of Agromedicine","id":"ITEM-1","issue":"3","issued":{"date-parts":[["2019"]]},"title":"A feasibility study comparing objective and subjective field-based physical exposure measurements during apple harvesting with ladders and mobile platforms","type":"article-journal","volume":"24"},"uris":["http://www.mendeley.com/documents/?uuid=546b7ad4-947e-3da9-bf24-0d717b4b1544"]}],"mendeley":{"formattedCitation":"(O. Thamsuwan et al., 2019)","manualFormatting":"(Thamsuwan et al., 2019)","plainTextFormattedCitation":"(O. Thamsuwan et al., 2019)","previouslyFormattedCitation":"(O. Thamsuwan et al., 2019)"},"properties":{"noteIndex":0},"schema":"https://github.com/citation-style-language/schema/raw/master/csl-citation.json"}</w:instrText>
      </w:r>
      <w:r w:rsidR="002214F9">
        <w:fldChar w:fldCharType="separate"/>
      </w:r>
      <w:r w:rsidR="002214F9" w:rsidRPr="002214F9">
        <w:rPr>
          <w:noProof/>
        </w:rPr>
        <w:t>(Thamsuwan et al., 2019)</w:t>
      </w:r>
      <w:r w:rsidR="002214F9">
        <w:fldChar w:fldCharType="end"/>
      </w:r>
      <w:r>
        <w:t xml:space="preserve">. </w:t>
      </w:r>
      <w:r w:rsidR="00AC1E2B">
        <w:t>In addition, t</w:t>
      </w:r>
      <w:r>
        <w:t xml:space="preserve">he Omni RPE </w:t>
      </w:r>
      <w:r w:rsidR="00AC1E2B">
        <w:t>with</w:t>
      </w:r>
      <w:r>
        <w:t xml:space="preserve"> pictures of human wearing an apple bag were </w:t>
      </w:r>
      <w:r w:rsidR="00AC1E2B">
        <w:t>included</w:t>
      </w:r>
      <w:r w:rsidR="00F00B20">
        <w:t xml:space="preserve"> (Figure 1)</w:t>
      </w:r>
      <w:r w:rsidR="00AC1E2B">
        <w:t>.</w:t>
      </w:r>
      <w:r>
        <w:t xml:space="preserve"> </w:t>
      </w:r>
    </w:p>
    <w:p w14:paraId="0255FFF4" w14:textId="7CC56B0A" w:rsidR="003E68BB" w:rsidRDefault="0021786B" w:rsidP="00497399">
      <w:pPr>
        <w:spacing w:line="480" w:lineRule="auto"/>
      </w:pPr>
      <w:r>
        <w:t>The m</w:t>
      </w:r>
      <w:r w:rsidR="002B53E5" w:rsidRPr="002B53E5">
        <w:t>easurement time</w:t>
      </w:r>
      <w:r>
        <w:t xml:space="preserve"> points of the effort surveys were:</w:t>
      </w:r>
    </w:p>
    <w:p w14:paraId="02C0A8A3" w14:textId="713F0FFA" w:rsidR="003E68BB" w:rsidRDefault="003E68BB" w:rsidP="00497399">
      <w:pPr>
        <w:pStyle w:val="ListParagraph"/>
        <w:numPr>
          <w:ilvl w:val="0"/>
          <w:numId w:val="1"/>
        </w:numPr>
        <w:spacing w:line="480" w:lineRule="auto"/>
      </w:pPr>
      <w:r>
        <w:lastRenderedPageBreak/>
        <w:t>T0: right before start the work shift</w:t>
      </w:r>
    </w:p>
    <w:p w14:paraId="3848E552" w14:textId="287D44C3" w:rsidR="003E68BB" w:rsidRDefault="003E68BB" w:rsidP="00497399">
      <w:pPr>
        <w:pStyle w:val="ListParagraph"/>
        <w:numPr>
          <w:ilvl w:val="0"/>
          <w:numId w:val="1"/>
        </w:numPr>
        <w:spacing w:line="480" w:lineRule="auto"/>
      </w:pPr>
      <w:r>
        <w:t xml:space="preserve">T1: after working for </w:t>
      </w:r>
      <w:r w:rsidR="00DF3254">
        <w:t>150</w:t>
      </w:r>
      <w:r>
        <w:t xml:space="preserve"> minutes since the beginning of the work shift</w:t>
      </w:r>
    </w:p>
    <w:p w14:paraId="5F923EAD" w14:textId="721E8728" w:rsidR="003E68BB" w:rsidRDefault="003E68BB" w:rsidP="00497399">
      <w:pPr>
        <w:pStyle w:val="ListParagraph"/>
        <w:numPr>
          <w:ilvl w:val="0"/>
          <w:numId w:val="1"/>
        </w:numPr>
        <w:spacing w:line="480" w:lineRule="auto"/>
      </w:pPr>
      <w:r>
        <w:t xml:space="preserve">T2: after taking a break for 30 minutes, immediately after the </w:t>
      </w:r>
      <w:r w:rsidR="00DF3254">
        <w:t>15</w:t>
      </w:r>
      <w:r>
        <w:t>0-minute work</w:t>
      </w:r>
      <w:r w:rsidR="00DF3254">
        <w:t xml:space="preserve"> period</w:t>
      </w:r>
    </w:p>
    <w:p w14:paraId="3E70A425" w14:textId="168F7CB3" w:rsidR="003E68BB" w:rsidRPr="002B53E5" w:rsidRDefault="003E68BB" w:rsidP="00497399">
      <w:pPr>
        <w:pStyle w:val="ListParagraph"/>
        <w:numPr>
          <w:ilvl w:val="0"/>
          <w:numId w:val="1"/>
        </w:numPr>
        <w:spacing w:line="480" w:lineRule="auto"/>
      </w:pPr>
      <w:r>
        <w:t>T3: at the end of 8-hour work s</w:t>
      </w:r>
      <w:r w:rsidR="00A8074F">
        <w:t>h</w:t>
      </w:r>
      <w:r>
        <w:t>ift</w:t>
      </w:r>
    </w:p>
    <w:p w14:paraId="7E61619C" w14:textId="64934DF6" w:rsidR="007F35ED" w:rsidRDefault="00497399" w:rsidP="00497399">
      <w:pPr>
        <w:pStyle w:val="Heading3"/>
        <w:spacing w:line="480" w:lineRule="auto"/>
      </w:pPr>
      <w:r>
        <w:t xml:space="preserve">2.3 </w:t>
      </w:r>
      <w:r w:rsidR="007F35ED">
        <w:t>Data processing</w:t>
      </w:r>
    </w:p>
    <w:p w14:paraId="1B860179" w14:textId="6C0D4E19" w:rsidR="00C945DC" w:rsidRDefault="00497399" w:rsidP="00497399">
      <w:pPr>
        <w:pStyle w:val="Heading4"/>
        <w:spacing w:line="480" w:lineRule="auto"/>
      </w:pPr>
      <w:r>
        <w:t xml:space="preserve">2.3.1 </w:t>
      </w:r>
      <w:r w:rsidR="00C945DC">
        <w:t>Metabolic load: percent of heart rate reserve</w:t>
      </w:r>
    </w:p>
    <w:p w14:paraId="2951ABE1" w14:textId="0D69B799" w:rsidR="003E68BB" w:rsidRDefault="003E68BB" w:rsidP="00497399">
      <w:pPr>
        <w:spacing w:line="480" w:lineRule="auto"/>
      </w:pPr>
      <w:r>
        <w:rPr>
          <w:color w:val="000000"/>
        </w:rPr>
        <w:t>Raw heart rate data were filtered using a 5-point moving median to eliminate measurement artifacts</w:t>
      </w:r>
      <w:r>
        <w:t xml:space="preserve">. The mean heart rate for each period of interest, i.e. corresponding to the effort survey, were extracted. </w:t>
      </w:r>
    </w:p>
    <w:p w14:paraId="29F1D10C" w14:textId="2C3C889D" w:rsidR="00DF1C5E" w:rsidRDefault="00DF1C5E" w:rsidP="00497399">
      <w:pPr>
        <w:spacing w:line="480" w:lineRule="auto"/>
      </w:pPr>
      <w:r>
        <w:t>The metabolic load was calculated in terms of the percent of heart rate reserve during the work period based on the equations (</w:t>
      </w:r>
      <w:proofErr w:type="spellStart"/>
      <w:r>
        <w:t>i</w:t>
      </w:r>
      <w:proofErr w:type="spellEnd"/>
      <w:r>
        <w:t xml:space="preserve">), (ii) and (iii) where </w:t>
      </w:r>
      <m:oMath>
        <m:sSub>
          <m:sSubPr>
            <m:ctrlPr>
              <w:rPr>
                <w:rFonts w:ascii="Cambria Math" w:hAnsi="Cambria Math"/>
                <w:i/>
              </w:rPr>
            </m:ctrlPr>
          </m:sSubPr>
          <m:e>
            <m:r>
              <w:rPr>
                <w:rFonts w:ascii="Cambria Math" w:hAnsi="Cambria Math"/>
              </w:rPr>
              <m:t>HR</m:t>
            </m:r>
          </m:e>
          <m:sub>
            <m:r>
              <w:rPr>
                <w:rFonts w:ascii="Cambria Math" w:hAnsi="Cambria Math"/>
              </w:rPr>
              <m:t>max</m:t>
            </m:r>
          </m:sub>
        </m:sSub>
      </m:oMath>
      <w:r>
        <w:rPr>
          <w:rFonts w:eastAsiaTheme="minorEastAsia"/>
        </w:rPr>
        <w:t xml:space="preserve"> is the maximal heart rate of an individual, </w:t>
      </w:r>
      <m:oMath>
        <m:sSub>
          <m:sSubPr>
            <m:ctrlPr>
              <w:rPr>
                <w:rFonts w:ascii="Cambria Math" w:hAnsi="Cambria Math"/>
                <w:i/>
              </w:rPr>
            </m:ctrlPr>
          </m:sSubPr>
          <m:e>
            <m:r>
              <w:rPr>
                <w:rFonts w:ascii="Cambria Math" w:hAnsi="Cambria Math"/>
              </w:rPr>
              <m:t>HR</m:t>
            </m:r>
          </m:e>
          <m:sub>
            <m:r>
              <w:rPr>
                <w:rFonts w:ascii="Cambria Math" w:hAnsi="Cambria Math"/>
              </w:rPr>
              <m:t>sit</m:t>
            </m:r>
          </m:sub>
        </m:sSub>
      </m:oMath>
      <w:r>
        <w:rPr>
          <w:rFonts w:eastAsiaTheme="minorEastAsia"/>
        </w:rPr>
        <w:t xml:space="preserve"> is the heart rate measured while the participant was sitting before start working, </w:t>
      </w:r>
      <m:oMath>
        <m:sSub>
          <m:sSubPr>
            <m:ctrlPr>
              <w:rPr>
                <w:rFonts w:ascii="Cambria Math" w:hAnsi="Cambria Math"/>
                <w:i/>
              </w:rPr>
            </m:ctrlPr>
          </m:sSubPr>
          <m:e>
            <m:r>
              <w:rPr>
                <w:rFonts w:ascii="Cambria Math" w:hAnsi="Cambria Math"/>
              </w:rPr>
              <m:t>HR</m:t>
            </m:r>
          </m:e>
          <m:sub>
            <m:r>
              <w:rPr>
                <w:rFonts w:ascii="Cambria Math" w:hAnsi="Cambria Math"/>
              </w:rPr>
              <m:t>work</m:t>
            </m:r>
          </m:sub>
        </m:sSub>
      </m:oMath>
      <w:r>
        <w:rPr>
          <w:rFonts w:eastAsiaTheme="minorEastAsia"/>
        </w:rPr>
        <w:t xml:space="preserve"> is the heart rate measured while the participant was working, and </w:t>
      </w:r>
      <m:oMath>
        <m:sSub>
          <m:sSubPr>
            <m:ctrlPr>
              <w:rPr>
                <w:rFonts w:ascii="Cambria Math" w:hAnsi="Cambria Math"/>
                <w:i/>
              </w:rPr>
            </m:ctrlPr>
          </m:sSubPr>
          <m:e>
            <m:r>
              <w:rPr>
                <w:rFonts w:ascii="Cambria Math" w:hAnsi="Cambria Math"/>
              </w:rPr>
              <m:t>HR</m:t>
            </m:r>
          </m:e>
          <m:sub>
            <m:r>
              <w:rPr>
                <w:rFonts w:ascii="Cambria Math" w:hAnsi="Cambria Math"/>
              </w:rPr>
              <m:t>rest</m:t>
            </m:r>
          </m:sub>
        </m:sSub>
      </m:oMath>
      <w:r>
        <w:rPr>
          <w:rFonts w:eastAsiaTheme="minorEastAsia"/>
        </w:rPr>
        <w:t xml:space="preserve"> is the resting heart rate of an individual.</w:t>
      </w:r>
    </w:p>
    <w:p w14:paraId="10E46338" w14:textId="2B1EC4C2" w:rsidR="00C945DC" w:rsidRDefault="00DF1C5E" w:rsidP="00497399">
      <w:pPr>
        <w:spacing w:line="480" w:lineRule="auto"/>
      </w:pPr>
      <w:r>
        <w:rPr>
          <w:rFonts w:eastAsiaTheme="minorEastAsia"/>
        </w:rPr>
        <w:t>Equation (</w:t>
      </w:r>
      <w:proofErr w:type="spellStart"/>
      <w:r>
        <w:rPr>
          <w:rFonts w:eastAsiaTheme="minorEastAsia"/>
        </w:rPr>
        <w:t>i</w:t>
      </w:r>
      <w:proofErr w:type="spellEnd"/>
      <w:r>
        <w:rPr>
          <w:rFonts w:eastAsiaTheme="minorEastAsia"/>
        </w:rPr>
        <w:t>)</w:t>
      </w:r>
      <w:r>
        <w:rPr>
          <w:rFonts w:eastAsiaTheme="minorEastAsia"/>
        </w:rPr>
        <w:tab/>
      </w:r>
      <m:oMath>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=220-age</m:t>
        </m:r>
      </m:oMath>
    </w:p>
    <w:p w14:paraId="56529487" w14:textId="052591DE" w:rsidR="00C945DC" w:rsidRDefault="00DF1C5E" w:rsidP="00497399">
      <w:pPr>
        <w:spacing w:line="480" w:lineRule="auto"/>
      </w:pPr>
      <w:r>
        <w:t>Equation (ii)</w:t>
      </w:r>
      <w:r>
        <w:tab/>
      </w:r>
      <m:oMath>
        <m:sSub>
          <m:sSubPr>
            <m:ctrlPr>
              <w:rPr>
                <w:rFonts w:ascii="Cambria Math" w:hAnsi="Cambria Math"/>
                <w:i/>
              </w:rPr>
            </m:ctrlPr>
          </m:sSubPr>
          <m:e>
            <m:r>
              <w:rPr>
                <w:rFonts w:ascii="Cambria Math" w:hAnsi="Cambria Math"/>
              </w:rPr>
              <m:t>HR</m:t>
            </m:r>
          </m:e>
          <m:sub>
            <m:r>
              <w:rPr>
                <w:rFonts w:ascii="Cambria Math" w:hAnsi="Cambria Math"/>
              </w:rPr>
              <m:t>rest</m:t>
            </m:r>
          </m:sub>
        </m:sSub>
        <m:r>
          <w:rPr>
            <w:rFonts w:ascii="Cambria Math" w:hAnsi="Cambria Math"/>
          </w:rPr>
          <m:t xml:space="preserve">= </m:t>
        </m:r>
        <m:sSub>
          <m:sSubPr>
            <m:ctrlPr>
              <w:rPr>
                <w:rFonts w:ascii="Cambria Math" w:hAnsi="Cambria Math"/>
                <w:i/>
              </w:rPr>
            </m:ctrlPr>
          </m:sSubPr>
          <m:e>
            <m:r>
              <w:rPr>
                <w:rFonts w:ascii="Cambria Math" w:hAnsi="Cambria Math"/>
              </w:rPr>
              <m:t>HR</m:t>
            </m:r>
          </m:e>
          <m:sub>
            <m:r>
              <w:rPr>
                <w:rFonts w:ascii="Cambria Math" w:hAnsi="Cambria Math"/>
              </w:rPr>
              <m:t>sit</m:t>
            </m:r>
          </m:sub>
        </m:sSub>
        <m:r>
          <w:rPr>
            <w:rFonts w:ascii="Cambria Math" w:hAnsi="Cambria Math"/>
          </w:rPr>
          <m:t>-10</m:t>
        </m:r>
      </m:oMath>
    </w:p>
    <w:p w14:paraId="3B197391" w14:textId="3A81F098" w:rsidR="00C945DC" w:rsidRDefault="00F1751D" w:rsidP="00497399">
      <w:pPr>
        <w:spacing w:line="480" w:lineRule="auto"/>
      </w:pPr>
      <w:r>
        <w:t>Equation (iii)</w:t>
      </w:r>
      <w:r>
        <w:tab/>
      </w:r>
      <m:oMath>
        <m:r>
          <w:rPr>
            <w:rFonts w:ascii="Cambria Math" w:hAnsi="Cambria Math"/>
          </w:rPr>
          <m:t>%HRR=</m:t>
        </m:r>
        <m:f>
          <m:fPr>
            <m:ctrlPr>
              <w:rPr>
                <w:rFonts w:ascii="Cambria Math" w:hAnsi="Cambria Math"/>
                <w:i/>
              </w:rPr>
            </m:ctrlPr>
          </m:fPr>
          <m:num>
            <m:sSub>
              <m:sSubPr>
                <m:ctrlPr>
                  <w:rPr>
                    <w:rFonts w:ascii="Cambria Math" w:hAnsi="Cambria Math"/>
                    <w:i/>
                  </w:rPr>
                </m:ctrlPr>
              </m:sSubPr>
              <m:e>
                <m:r>
                  <w:rPr>
                    <w:rFonts w:ascii="Cambria Math" w:hAnsi="Cambria Math"/>
                  </w:rPr>
                  <m:t>HR</m:t>
                </m:r>
              </m:e>
              <m:sub>
                <m:r>
                  <w:rPr>
                    <w:rFonts w:ascii="Cambria Math" w:hAnsi="Cambria Math"/>
                  </w:rPr>
                  <m:t>work</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num>
          <m:den>
            <m:sSub>
              <m:sSubPr>
                <m:ctrlPr>
                  <w:rPr>
                    <w:rFonts w:ascii="Cambria Math" w:hAnsi="Cambria Math"/>
                    <w:i/>
                  </w:rPr>
                </m:ctrlPr>
              </m:sSubPr>
              <m:e>
                <m:r>
                  <w:rPr>
                    <w:rFonts w:ascii="Cambria Math" w:hAnsi="Cambria Math"/>
                  </w:rPr>
                  <m:t>HR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HR</m:t>
                </m:r>
              </m:e>
              <m:sub>
                <m:r>
                  <w:rPr>
                    <w:rFonts w:ascii="Cambria Math" w:hAnsi="Cambria Math"/>
                  </w:rPr>
                  <m:t>rest</m:t>
                </m:r>
              </m:sub>
            </m:sSub>
          </m:den>
        </m:f>
      </m:oMath>
    </w:p>
    <w:p w14:paraId="0E5C67B0" w14:textId="0D6DF311" w:rsidR="002D6306" w:rsidRDefault="002D6306" w:rsidP="00497399">
      <w:pPr>
        <w:spacing w:line="480" w:lineRule="auto"/>
      </w:pPr>
      <w:r>
        <w:t>%HRR was square-root transformed to meet the assumption of normality</w:t>
      </w:r>
      <w:r w:rsidR="00DF1C5E">
        <w:t xml:space="preserve"> and</w:t>
      </w:r>
      <w:r>
        <w:t xml:space="preserve"> verified by Shapiro</w:t>
      </w:r>
      <w:r w:rsidR="003A3CCB">
        <w:t>-Wilk</w:t>
      </w:r>
      <w:r>
        <w:t xml:space="preserve"> test</w:t>
      </w:r>
      <w:r w:rsidR="00DF1C5E">
        <w:t>. Figure X shows the histograms and Q-Q plots of the data before and after the transformation.</w:t>
      </w:r>
    </w:p>
    <w:p w14:paraId="3273D413" w14:textId="53DF518A" w:rsidR="00C945DC" w:rsidRPr="00C945DC" w:rsidRDefault="00497399" w:rsidP="00497399">
      <w:pPr>
        <w:pStyle w:val="Heading4"/>
        <w:spacing w:line="480" w:lineRule="auto"/>
      </w:pPr>
      <w:r>
        <w:t xml:space="preserve">2.3.2 </w:t>
      </w:r>
      <w:r w:rsidR="00C945DC" w:rsidRPr="00C945DC">
        <w:t>Muscle fatigue: EMG median power freq</w:t>
      </w:r>
      <w:r w:rsidR="00C945DC">
        <w:t>uency</w:t>
      </w:r>
    </w:p>
    <w:p w14:paraId="5CA039BF" w14:textId="23469F5B" w:rsidR="00C945DC" w:rsidRDefault="002D6306" w:rsidP="00497399">
      <w:pPr>
        <w:spacing w:line="480" w:lineRule="auto"/>
      </w:pPr>
      <w:r>
        <w:t xml:space="preserve">Raw EMG signal were filtered with </w:t>
      </w:r>
      <w:r w:rsidR="004B7E31">
        <w:t>a</w:t>
      </w:r>
      <w:r>
        <w:t xml:space="preserve"> 20-450 Hz bandpass filter. </w:t>
      </w:r>
      <w:r w:rsidR="004B7E31">
        <w:t>By c</w:t>
      </w:r>
      <w:r>
        <w:t>onverting a time domain signal into frequency domain, median power frequency of the EMG was calculated for every 10 minutes.</w:t>
      </w:r>
      <w:r w:rsidR="004B7E31">
        <w:t xml:space="preserve"> </w:t>
      </w:r>
      <w:r w:rsidR="005D3B50">
        <w:t>Then</w:t>
      </w:r>
      <w:r w:rsidR="004B7E31">
        <w:t xml:space="preserve"> we </w:t>
      </w:r>
      <w:r w:rsidR="005D3B50">
        <w:t>conducted a</w:t>
      </w:r>
      <w:r w:rsidR="004B7E31">
        <w:t xml:space="preserve"> linear r</w:t>
      </w:r>
      <w:r w:rsidR="00720BED">
        <w:t xml:space="preserve">egression </w:t>
      </w:r>
      <w:r w:rsidR="005D3B50">
        <w:t xml:space="preserve">of MPF on time </w:t>
      </w:r>
      <w:r w:rsidR="00720BED">
        <w:t xml:space="preserve">for </w:t>
      </w:r>
      <w:r w:rsidR="00D67B70">
        <w:t>each trapezius</w:t>
      </w:r>
      <w:r w:rsidR="00720BED">
        <w:t xml:space="preserve"> side and </w:t>
      </w:r>
      <w:r w:rsidR="00D67B70">
        <w:t xml:space="preserve">each </w:t>
      </w:r>
      <w:r w:rsidR="00720BED">
        <w:t>individual</w:t>
      </w:r>
      <w:r w:rsidR="005D3B50">
        <w:t xml:space="preserve"> subject based on</w:t>
      </w:r>
      <w:r w:rsidR="004B7E31">
        <w:t xml:space="preserve"> to the question (</w:t>
      </w:r>
      <w:r w:rsidR="00DF1C5E">
        <w:t>iv</w:t>
      </w:r>
      <w:r w:rsidR="004B7E31">
        <w:t>).</w:t>
      </w:r>
    </w:p>
    <w:p w14:paraId="396007B9" w14:textId="3392B8D1" w:rsidR="00720BED" w:rsidRPr="004B7E31" w:rsidRDefault="00DF1C5E" w:rsidP="00497399">
      <w:pPr>
        <w:spacing w:line="480" w:lineRule="auto"/>
        <w:rPr>
          <w:rFonts w:eastAsiaTheme="minorEastAsia"/>
        </w:rPr>
      </w:pPr>
      <w:r>
        <w:rPr>
          <w:rFonts w:eastAsiaTheme="minorEastAsia"/>
        </w:rPr>
        <w:lastRenderedPageBreak/>
        <w:t>Equation (iv)</w:t>
      </w:r>
      <w:r>
        <w:rPr>
          <w:rFonts w:eastAsiaTheme="minorEastAsia"/>
        </w:rPr>
        <w:tab/>
      </w:r>
      <m:oMath>
        <m:r>
          <w:rPr>
            <w:rFonts w:ascii="Cambria Math" w:hAnsi="Cambria Math"/>
          </w:rPr>
          <m:t>MPF=</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Time</m:t>
        </m:r>
      </m:oMath>
    </w:p>
    <w:p w14:paraId="1157CE2C" w14:textId="4EDFA3D4" w:rsidR="004B7E31" w:rsidRDefault="004B7E31" w:rsidP="00497399">
      <w:pPr>
        <w:spacing w:line="480" w:lineRule="auto"/>
        <w:rPr>
          <w:rFonts w:eastAsiaTheme="minorEastAsia"/>
        </w:rPr>
      </w:pPr>
      <w:r>
        <w:t>The slope of the time factor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t>) from the equation (i</w:t>
      </w:r>
      <w:r w:rsidR="00DF1C5E">
        <w:t>v</w:t>
      </w:r>
      <w:r>
        <w:t>)</w:t>
      </w:r>
      <w:r w:rsidR="00DF1C5E">
        <w:t>,</w:t>
      </w:r>
      <w:r w:rsidR="005D3B50">
        <w:t xml:space="preserve"> which</w:t>
      </w:r>
      <w:r w:rsidR="00DF1C5E">
        <w:t xml:space="preserve"> </w:t>
      </w:r>
      <w:r>
        <w:t>represent</w:t>
      </w:r>
      <w:r w:rsidR="005D3B50">
        <w:t>ed</w:t>
      </w:r>
      <w:r>
        <w:t xml:space="preserve"> </w:t>
      </w:r>
      <w:r w:rsidR="00DF1C5E">
        <w:t>an</w:t>
      </w:r>
      <w:r>
        <w:t xml:space="preserve"> increase or decrease </w:t>
      </w:r>
      <w:r w:rsidR="00DF1C5E">
        <w:t>in MPF over the work period, was used in the analysis to identify the association between muscle fatigue and the changes over time in the subject-reported local discomfort.</w:t>
      </w:r>
    </w:p>
    <w:p w14:paraId="3C9C4812" w14:textId="59FDD8F7" w:rsidR="002B53E5" w:rsidRDefault="00497399" w:rsidP="00497399">
      <w:pPr>
        <w:pStyle w:val="Heading4"/>
        <w:spacing w:line="480" w:lineRule="auto"/>
      </w:pPr>
      <w:r>
        <w:t xml:space="preserve">2.3.3 </w:t>
      </w:r>
      <w:r w:rsidR="002B53E5">
        <w:t>Effort survey</w:t>
      </w:r>
    </w:p>
    <w:p w14:paraId="1B8B0EF7" w14:textId="72F57F5F" w:rsidR="00720BED" w:rsidRPr="00C945DC" w:rsidRDefault="00C55E4C" w:rsidP="00497399">
      <w:pPr>
        <w:spacing w:line="480" w:lineRule="auto"/>
      </w:pPr>
      <w:r>
        <w:t>The</w:t>
      </w:r>
      <w:r w:rsidR="000B0FB2">
        <w:t xml:space="preserve"> effort surveys including Borg RPE, Omni RPE and Borg CR10 at the specific time point were analyzed in terms of the </w:t>
      </w:r>
      <w:r w:rsidR="002B53E5">
        <w:t>increase or decrease</w:t>
      </w:r>
      <w:r w:rsidR="003E68BB">
        <w:t xml:space="preserve"> as</w:t>
      </w:r>
      <w:r w:rsidR="002B53E5">
        <w:t xml:space="preserve"> compared to</w:t>
      </w:r>
      <w:r w:rsidR="000B0FB2">
        <w:t xml:space="preserve"> the values at</w:t>
      </w:r>
      <w:r w:rsidR="002B53E5">
        <w:t xml:space="preserve"> the beginning of </w:t>
      </w:r>
      <w:r w:rsidR="000B0FB2">
        <w:t xml:space="preserve">the </w:t>
      </w:r>
      <w:r w:rsidR="002B53E5">
        <w:t>work shift</w:t>
      </w:r>
      <w:r w:rsidR="000B0FB2">
        <w:t xml:space="preserve">. </w:t>
      </w:r>
    </w:p>
    <w:p w14:paraId="023B68D7" w14:textId="70F96EE5" w:rsidR="00C945DC" w:rsidRDefault="00497399" w:rsidP="00497399">
      <w:pPr>
        <w:pStyle w:val="Heading3"/>
        <w:spacing w:line="480" w:lineRule="auto"/>
      </w:pPr>
      <w:r>
        <w:t xml:space="preserve">2.4 </w:t>
      </w:r>
      <w:r w:rsidR="00C945DC">
        <w:t>Statistical analysis</w:t>
      </w:r>
    </w:p>
    <w:p w14:paraId="75F27546" w14:textId="41960EAB" w:rsidR="002D6306" w:rsidRDefault="00F970D6" w:rsidP="00497399">
      <w:pPr>
        <w:spacing w:line="480" w:lineRule="auto"/>
      </w:pPr>
      <w:r>
        <w:t>For the o</w:t>
      </w:r>
      <w:r w:rsidR="002D6306">
        <w:t>verall effort</w:t>
      </w:r>
      <w:r>
        <w:t xml:space="preserve"> or full body exertion, we calculated </w:t>
      </w:r>
      <w:r w:rsidR="005D3B50">
        <w:t>a</w:t>
      </w:r>
      <w:r w:rsidR="002D6306">
        <w:t xml:space="preserve"> correlation between %HRR and Borg RPE, </w:t>
      </w:r>
      <w:r>
        <w:t xml:space="preserve">and </w:t>
      </w:r>
      <w:r w:rsidR="005D3B50">
        <w:t>a</w:t>
      </w:r>
      <w:r>
        <w:t xml:space="preserve"> </w:t>
      </w:r>
      <w:r w:rsidR="002D6306">
        <w:t>correlation between %HRR and Omni RPE</w:t>
      </w:r>
      <w:r w:rsidR="00D67B70">
        <w:t xml:space="preserve">. </w:t>
      </w:r>
      <w:r>
        <w:t>For the l</w:t>
      </w:r>
      <w:r w:rsidR="002D6306">
        <w:t>ocal discomfort</w:t>
      </w:r>
      <w:r w:rsidR="005D3B50">
        <w:t xml:space="preserve"> or muscle fatigue</w:t>
      </w:r>
      <w:r>
        <w:t xml:space="preserve">, we calculated </w:t>
      </w:r>
      <w:r w:rsidR="005D3B50">
        <w:t xml:space="preserve">a </w:t>
      </w:r>
      <w:r w:rsidR="002D6306">
        <w:t xml:space="preserve">correlation between </w:t>
      </w:r>
      <w:r w:rsidR="00D67B70">
        <w:t>muscle fatigue (</w:t>
      </w:r>
      <w:r w:rsidR="002D6306">
        <w:t>EMG MPF</w:t>
      </w:r>
      <w:r w:rsidR="00D67B70">
        <w:t>)</w:t>
      </w:r>
      <w:r w:rsidR="002D6306">
        <w:t xml:space="preserve"> and Borg CR10</w:t>
      </w:r>
      <w:r w:rsidR="005D3B50">
        <w:t>.</w:t>
      </w:r>
    </w:p>
    <w:p w14:paraId="2D595C03" w14:textId="09430280" w:rsidR="00F970D6" w:rsidRDefault="00F970D6" w:rsidP="00497399">
      <w:pPr>
        <w:spacing w:line="480" w:lineRule="auto"/>
      </w:pPr>
      <w:r>
        <w:t xml:space="preserve">Initially, Pearson’s correlations </w:t>
      </w:r>
      <w:r w:rsidR="00D67B70">
        <w:t>between the subjective and objective measures were calculated. Then we conducted linear regressions to adjust for known confounders; that is, the harvesting method and the time of measurement for the overall exertion, and the harvesting method and the side of trapezius (dominant and non-dominant) for the local discomfort.</w:t>
      </w:r>
    </w:p>
    <w:p w14:paraId="3BA74A67" w14:textId="7CDE3BCB" w:rsidR="00C945DC" w:rsidRDefault="0084013A" w:rsidP="00497399">
      <w:pPr>
        <w:spacing w:line="480" w:lineRule="auto"/>
      </w:pPr>
      <w:r>
        <w:t>As</w:t>
      </w:r>
      <w:r w:rsidR="003F1E3F">
        <w:t xml:space="preserve"> the dataset </w:t>
      </w:r>
      <w:r>
        <w:t>w</w:t>
      </w:r>
      <w:r w:rsidR="005D3B50">
        <w:t>as</w:t>
      </w:r>
      <w:r>
        <w:t xml:space="preserve"> fairly small, that is, </w:t>
      </w:r>
      <w:r w:rsidR="003F1E3F">
        <w:t>24 participants for overall effort and 20 participants for local discomfort due to EMG data lost</w:t>
      </w:r>
      <w:r w:rsidR="005937E8">
        <w:t xml:space="preserve">, we set the </w:t>
      </w:r>
      <w:r>
        <w:t xml:space="preserve">level of statistical </w:t>
      </w:r>
      <w:r w:rsidR="005937E8">
        <w:t>significan</w:t>
      </w:r>
      <w:r>
        <w:t>ce</w:t>
      </w:r>
      <w:r w:rsidR="005937E8">
        <w:t xml:space="preserve"> at 0.90.</w:t>
      </w:r>
      <w:r w:rsidR="003F1E3F">
        <w:t xml:space="preserve"> All the statistical analysis was conducted using R programming language.</w:t>
      </w:r>
    </w:p>
    <w:p w14:paraId="5C97A208" w14:textId="76FED513" w:rsidR="007F35ED" w:rsidRDefault="00497399" w:rsidP="00497399">
      <w:pPr>
        <w:pStyle w:val="Heading2"/>
        <w:spacing w:line="480" w:lineRule="auto"/>
      </w:pPr>
      <w:r>
        <w:t xml:space="preserve">3. </w:t>
      </w:r>
      <w:r w:rsidR="007F35ED">
        <w:t>Results</w:t>
      </w:r>
    </w:p>
    <w:p w14:paraId="5BD3E7FF" w14:textId="249EB269" w:rsidR="00F5247C" w:rsidRDefault="00497399" w:rsidP="00497399">
      <w:pPr>
        <w:pStyle w:val="Heading3"/>
        <w:spacing w:line="480" w:lineRule="auto"/>
      </w:pPr>
      <w:r>
        <w:t xml:space="preserve">3.1 </w:t>
      </w:r>
      <w:r w:rsidR="00F5247C">
        <w:t>Overall effort: %HRR a</w:t>
      </w:r>
      <w:r w:rsidR="00153E36">
        <w:t>s</w:t>
      </w:r>
      <w:r w:rsidR="00F5247C">
        <w:t xml:space="preserve"> metabolic load, Borg RPE and Omni RPE</w:t>
      </w:r>
    </w:p>
    <w:p w14:paraId="3A148121" w14:textId="30CA3B74" w:rsidR="007C2133" w:rsidRDefault="007C2133" w:rsidP="00497399">
      <w:pPr>
        <w:spacing w:line="480" w:lineRule="auto"/>
      </w:pPr>
      <w:r>
        <w:t xml:space="preserve">Based on the Shapiro-Wilk test, initial %HRR was not normally distributed (p = 0.013). After the %HRR was square-root transformed, the data became normally distributed (p = 0.48). Figure </w:t>
      </w:r>
      <w:r w:rsidR="00F00B20">
        <w:t>2</w:t>
      </w:r>
      <w:r>
        <w:t xml:space="preserve"> shows the histograms and the QQ-plots of data before and after the transformation.</w:t>
      </w:r>
    </w:p>
    <w:p w14:paraId="1E3AB818" w14:textId="1444257A" w:rsidR="00944852" w:rsidRDefault="00F36BE3" w:rsidP="00497399">
      <w:pPr>
        <w:spacing w:line="480" w:lineRule="auto"/>
      </w:pPr>
      <w:r>
        <w:t xml:space="preserve">The metabolic load, i.e. </w:t>
      </w:r>
      <w:r w:rsidR="00944852">
        <w:t>%HRR</w:t>
      </w:r>
      <w:r>
        <w:t xml:space="preserve">, among each group of workers at each time of measurement is shown in Figure </w:t>
      </w:r>
      <w:r w:rsidR="00F00B20">
        <w:t>3</w:t>
      </w:r>
      <w:r>
        <w:t xml:space="preserve">. In general, %HRR was between 0.15 and 0.75 after the participants had worked for 90 minutes (T1). Then the %HRR </w:t>
      </w:r>
      <w:r w:rsidR="00AE20B1">
        <w:t xml:space="preserve">significantly </w:t>
      </w:r>
      <w:r>
        <w:t>dropped</w:t>
      </w:r>
      <w:r w:rsidR="00AE20B1">
        <w:t xml:space="preserve"> after a 30-minute break (T2) and increased again at the end of the work shift (T3)</w:t>
      </w:r>
      <w:r>
        <w:t xml:space="preserve"> </w:t>
      </w:r>
      <w:r w:rsidR="00AE20B1">
        <w:t xml:space="preserve">(p-value &lt; 0.0001). According to Figure </w:t>
      </w:r>
      <w:r w:rsidR="007C2133">
        <w:t>5</w:t>
      </w:r>
      <w:r w:rsidR="00AE20B1">
        <w:t>, the %HRR in the Ladder workers were higher than the %HRR in the Ground and Platform groups at T1 and T3.</w:t>
      </w:r>
    </w:p>
    <w:p w14:paraId="166489A3" w14:textId="65943C58" w:rsidR="00432FA8" w:rsidRPr="00555106" w:rsidRDefault="00555106" w:rsidP="00497399">
      <w:pPr>
        <w:spacing w:line="480" w:lineRule="auto"/>
      </w:pPr>
      <w:r>
        <w:t xml:space="preserve">The increases in </w:t>
      </w:r>
      <w:r w:rsidR="00432FA8" w:rsidRPr="00555106">
        <w:t>Borg</w:t>
      </w:r>
      <w:r w:rsidR="00153E36" w:rsidRPr="00555106">
        <w:t xml:space="preserve"> RPE</w:t>
      </w:r>
      <w:r>
        <w:t xml:space="preserve"> from the beginning of the work shift were greater at the end of the work shift (T3) as compared to the other time (p-value &lt; 0.0001) as shown in Figure </w:t>
      </w:r>
      <w:r w:rsidR="00F00B20">
        <w:t>4</w:t>
      </w:r>
      <w:r>
        <w:t xml:space="preserve">. However, the </w:t>
      </w:r>
      <w:r w:rsidR="001F230A">
        <w:t xml:space="preserve">increases in </w:t>
      </w:r>
      <w:r>
        <w:t>Borg RPE over time were not significantly different across the harvesting methods.</w:t>
      </w:r>
    </w:p>
    <w:p w14:paraId="7722A7D5" w14:textId="49D69324" w:rsidR="00153E36" w:rsidRPr="00555106" w:rsidRDefault="00555106" w:rsidP="00497399">
      <w:pPr>
        <w:spacing w:line="480" w:lineRule="auto"/>
      </w:pPr>
      <w:r>
        <w:t xml:space="preserve">The increases in </w:t>
      </w:r>
      <w:r w:rsidR="00153E36" w:rsidRPr="00555106">
        <w:t>Omni RPE</w:t>
      </w:r>
      <w:r>
        <w:t xml:space="preserve"> from the beginning of the work shift were also greater at the end of the work shift (T3) as compared to the other time (p-value &lt; 0.0001) as shown in Figure </w:t>
      </w:r>
      <w:r w:rsidR="00F00B20">
        <w:t>5</w:t>
      </w:r>
      <w:r>
        <w:t xml:space="preserve">. Moreover, at </w:t>
      </w:r>
      <w:r w:rsidR="001F230A">
        <w:t>T3</w:t>
      </w:r>
      <w:r>
        <w:t xml:space="preserve">, the </w:t>
      </w:r>
      <w:r w:rsidR="001F230A">
        <w:t xml:space="preserve">increases in </w:t>
      </w:r>
      <w:r>
        <w:t xml:space="preserve">Omni RPE </w:t>
      </w:r>
      <w:r w:rsidR="001F230A">
        <w:t>from the beginning of the shift were significantly smaller in the Ground workers than in the Ladder and Platform groups (p-value = 0.05).</w:t>
      </w:r>
    </w:p>
    <w:p w14:paraId="0632C20B" w14:textId="5AA0A8A5" w:rsidR="00F5247C" w:rsidRDefault="00497399" w:rsidP="00497399">
      <w:pPr>
        <w:pStyle w:val="Heading3"/>
        <w:spacing w:line="480" w:lineRule="auto"/>
      </w:pPr>
      <w:r>
        <w:t xml:space="preserve">3.2 </w:t>
      </w:r>
      <w:r w:rsidR="00F5247C">
        <w:t>Association between objective metabolic load and subjective overall effort</w:t>
      </w:r>
    </w:p>
    <w:p w14:paraId="6D8B537A" w14:textId="29F1A154" w:rsidR="00BC3534" w:rsidRDefault="00BC3534" w:rsidP="00497399">
      <w:pPr>
        <w:spacing w:line="480" w:lineRule="auto"/>
      </w:pPr>
      <w:r>
        <w:t>Without adjusting for neither work period (T1, T2 and T3) nor harvesting method (Ground, Ladder and Platform), t</w:t>
      </w:r>
      <w:r w:rsidR="000B0FB2">
        <w:t xml:space="preserve">he correlation coefficient between the %HRR and the Borg RPE </w:t>
      </w:r>
      <w:r>
        <w:t xml:space="preserve">difference </w:t>
      </w:r>
      <w:r w:rsidR="000B0FB2">
        <w:t xml:space="preserve">was 0.152 with the </w:t>
      </w:r>
      <w:r w:rsidR="005406C7">
        <w:t>statistically insignificant</w:t>
      </w:r>
      <w:r>
        <w:t xml:space="preserve"> </w:t>
      </w:r>
      <w:r w:rsidR="000B0FB2">
        <w:t>p-value of 0.</w:t>
      </w:r>
      <w:r>
        <w:t xml:space="preserve">20. Similarly, the correlation coefficient between the %HRR and the Omni RPE difference was 0.169 </w:t>
      </w:r>
      <w:r w:rsidR="005406C7">
        <w:t xml:space="preserve">also with the statistically insignificant </w:t>
      </w:r>
      <w:r>
        <w:t>p-value of 0.16.</w:t>
      </w:r>
    </w:p>
    <w:p w14:paraId="76A48D58" w14:textId="6EE18213" w:rsidR="005406C7" w:rsidRDefault="00BC3534" w:rsidP="00497399">
      <w:pPr>
        <w:spacing w:line="480" w:lineRule="auto"/>
      </w:pPr>
      <w:r>
        <w:t>However, when adjusted for the work period and the harvesting method</w:t>
      </w:r>
      <w:r w:rsidR="005406C7">
        <w:t>, which had significant effect on the %HRR</w:t>
      </w:r>
      <w:r>
        <w:t xml:space="preserve">, the correlation coefficient between the %HRR and the Borg RPE difference </w:t>
      </w:r>
      <w:r w:rsidR="005406C7">
        <w:t>became</w:t>
      </w:r>
      <w:r>
        <w:t xml:space="preserve"> -0.0063 with the p-value of </w:t>
      </w:r>
      <w:r w:rsidR="005406C7">
        <w:t>0.048. In the same way, the correlation coefficient between the %HRR and the Omni RPE difference became -0.0127 with the p-value of 0.027.</w:t>
      </w:r>
    </w:p>
    <w:p w14:paraId="45E541F3" w14:textId="3AADD9CA" w:rsidR="005406C7" w:rsidRDefault="007D6F9E" w:rsidP="00497399">
      <w:pPr>
        <w:spacing w:line="480" w:lineRule="auto"/>
      </w:pPr>
      <w:r>
        <w:t>With the confounding effect, the analyses were further stratified by the harvesting method and by the work period. On one hand, w</w:t>
      </w:r>
      <w:r w:rsidR="005406C7">
        <w:t xml:space="preserve">hen the analysis was stratified by the harvesting method </w:t>
      </w:r>
      <w:r>
        <w:t>and the effect of the work period was adjusted</w:t>
      </w:r>
      <w:r w:rsidR="005406C7">
        <w:t>,</w:t>
      </w:r>
      <w:r>
        <w:t xml:space="preserve"> </w:t>
      </w:r>
      <w:r w:rsidR="005406C7">
        <w:t>significant correlation</w:t>
      </w:r>
      <w:r>
        <w:t>s</w:t>
      </w:r>
      <w:r w:rsidR="005406C7">
        <w:t xml:space="preserve"> between the %HRR and </w:t>
      </w:r>
      <w:r>
        <w:t xml:space="preserve">the </w:t>
      </w:r>
      <w:r w:rsidR="005406C7">
        <w:t xml:space="preserve">Borg RPE difference </w:t>
      </w:r>
      <w:r>
        <w:t>were found only</w:t>
      </w:r>
      <w:r w:rsidR="005406C7">
        <w:t xml:space="preserve"> in the Ground and Ladder groups</w:t>
      </w:r>
      <w:r>
        <w:t xml:space="preserve"> (p-values = 0.072 and 0.044, respectively), and a significant correlation between the %HRR and the Omni RPE difference was found only in the Ladder group (p-value = 0.078).</w:t>
      </w:r>
    </w:p>
    <w:p w14:paraId="240E0450" w14:textId="2456EFA3" w:rsidR="007D6F9E" w:rsidRDefault="007D6F9E" w:rsidP="00497399">
      <w:pPr>
        <w:spacing w:line="480" w:lineRule="auto"/>
      </w:pPr>
      <w:r>
        <w:t xml:space="preserve">On the other hand, when stratified by the work period, i.e. the time point of measurement, </w:t>
      </w:r>
      <w:r w:rsidR="005937E8">
        <w:t xml:space="preserve">Figures </w:t>
      </w:r>
      <w:r w:rsidR="00F00B20">
        <w:t>6</w:t>
      </w:r>
      <w:r w:rsidR="005937E8">
        <w:t xml:space="preserve"> and </w:t>
      </w:r>
      <w:r w:rsidR="00F00B20">
        <w:t>7</w:t>
      </w:r>
      <w:r w:rsidR="005937E8">
        <w:t xml:space="preserve"> showed the negative correlations between the objective and subjective measures in all time points of measurement. Nevertheless, the </w:t>
      </w:r>
      <w:r>
        <w:t xml:space="preserve">correlations between the %HRR and the Borg RPE difference were found </w:t>
      </w:r>
      <w:r w:rsidR="005937E8">
        <w:t xml:space="preserve">statistically significant only </w:t>
      </w:r>
      <w:r>
        <w:t xml:space="preserve">at T1 and T3 (both p-values were 0.087). Meanwhile, none of the </w:t>
      </w:r>
      <w:r w:rsidR="00566F4E">
        <w:t>correlation coefficients between the %HRR and the Omni RPE were statistically significant.</w:t>
      </w:r>
      <w:r w:rsidR="005937E8">
        <w:t xml:space="preserve"> </w:t>
      </w:r>
    </w:p>
    <w:p w14:paraId="6EEE51DA" w14:textId="0D237E70" w:rsidR="00F5247C" w:rsidRDefault="00497399" w:rsidP="00497399">
      <w:pPr>
        <w:pStyle w:val="Heading3"/>
        <w:spacing w:line="480" w:lineRule="auto"/>
      </w:pPr>
      <w:r>
        <w:t xml:space="preserve">3.3 </w:t>
      </w:r>
      <w:r w:rsidR="00F5247C">
        <w:t>Local discomfort: EMG MPF as muscle fatigue and Borg CR10</w:t>
      </w:r>
    </w:p>
    <w:p w14:paraId="51CC51B0" w14:textId="1E46E930" w:rsidR="007C2133" w:rsidRDefault="007C2133" w:rsidP="00497399">
      <w:pPr>
        <w:spacing w:line="480" w:lineRule="auto"/>
      </w:pPr>
      <w:r>
        <w:t xml:space="preserve">The EMG MDF in 10-minute windows of all participants had a bi-modal distribution (Figure </w:t>
      </w:r>
      <w:r w:rsidR="00F00B20">
        <w:t>8</w:t>
      </w:r>
      <w:r>
        <w:t>) due to the difference between dominant and non-dominant muscle sides and the difference across harvesting methods as well as across the time of the day. These differences were adjusted using linear regression. After removing, i.e. adjusting for, the effects of muscle side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Side</m:t>
            </m:r>
          </m:sub>
        </m:sSub>
      </m:oMath>
      <w:r>
        <w:t>) and the effects of the participants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Subject</m:t>
            </m:r>
          </m:sub>
        </m:sSub>
      </m:oMath>
      <w:r>
        <w:t>) who were different across the harv</w:t>
      </w:r>
      <w:proofErr w:type="spellStart"/>
      <w:r>
        <w:t>esting</w:t>
      </w:r>
      <w:proofErr w:type="spellEnd"/>
      <w:r>
        <w:t xml:space="preserve"> methods, the slope of the time variable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t xml:space="preserve">) was used for analysis to find correlation between EMG MDF and Borg CR10. Figure </w:t>
      </w:r>
      <w:r w:rsidR="00F00B20">
        <w:t>9</w:t>
      </w:r>
      <w:r>
        <w:t xml:space="preserve"> shows the distribution of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Time</m:t>
            </m:r>
          </m:sub>
        </m:sSub>
      </m:oMath>
      <w:r>
        <w:rPr>
          <w:rFonts w:eastAsiaTheme="minorEastAsia"/>
        </w:rPr>
        <w:t xml:space="preserve"> while the Shapiro-Wilk test indicated that the data could be normally dis</w:t>
      </w:r>
      <w:proofErr w:type="spellStart"/>
      <w:r>
        <w:rPr>
          <w:rFonts w:eastAsiaTheme="minorEastAsia"/>
        </w:rPr>
        <w:t>tributed</w:t>
      </w:r>
      <w:proofErr w:type="spellEnd"/>
      <w:r>
        <w:rPr>
          <w:rFonts w:eastAsiaTheme="minorEastAsia"/>
        </w:rPr>
        <w:t xml:space="preserve"> (p-value = 0.059).</w:t>
      </w:r>
    </w:p>
    <w:p w14:paraId="66FECE11" w14:textId="030E8A44" w:rsidR="00153E36" w:rsidRDefault="00153E36" w:rsidP="00497399">
      <w:pPr>
        <w:spacing w:line="480" w:lineRule="auto"/>
      </w:pPr>
      <w:r>
        <w:t>Muscle fatigue</w:t>
      </w:r>
      <w:r w:rsidR="00B340EE">
        <w:t xml:space="preserve">, i.e. the EMG MPF, </w:t>
      </w:r>
      <w:r>
        <w:t>reduced over time</w:t>
      </w:r>
      <w:r w:rsidR="009B5AD8">
        <w:t xml:space="preserve"> as shown by the negative slope</w:t>
      </w:r>
      <w:r w:rsidR="00747475">
        <w:t xml:space="preserve"> </w:t>
      </w:r>
      <w:r w:rsidR="0055017F">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5017F">
        <w:rPr>
          <w:rFonts w:eastAsiaTheme="minorEastAsia"/>
        </w:rPr>
        <w:t xml:space="preserve"> = -0.0056)</w:t>
      </w:r>
      <w:r w:rsidR="009B5AD8">
        <w:t xml:space="preserve"> in the regression</w:t>
      </w:r>
      <w:r w:rsidR="00747475">
        <w:t xml:space="preserve"> equation</w:t>
      </w:r>
      <w:r w:rsidR="0055017F">
        <w:t xml:space="preserve"> (iv)</w:t>
      </w:r>
      <w:r w:rsidR="00747475">
        <w:t xml:space="preserve"> (p-value &lt; 0.0001)</w:t>
      </w:r>
      <w:r w:rsidR="009B5AD8">
        <w:t>. This is</w:t>
      </w:r>
      <w:r>
        <w:t xml:space="preserve"> in accordance to </w:t>
      </w:r>
      <w:r w:rsidR="009B5AD8">
        <w:t xml:space="preserve">the results of muscle activity from </w:t>
      </w:r>
      <w:r>
        <w:t>the previous study</w:t>
      </w:r>
      <w:r w:rsidR="002214F9">
        <w:t xml:space="preserve"> </w:t>
      </w:r>
      <w:r w:rsidR="002214F9">
        <w:fldChar w:fldCharType="begin" w:fldLock="1"/>
      </w:r>
      <w:r w:rsidR="00272526">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2214F9">
        <w:fldChar w:fldCharType="separate"/>
      </w:r>
      <w:r w:rsidR="002214F9" w:rsidRPr="002214F9">
        <w:rPr>
          <w:noProof/>
        </w:rPr>
        <w:t>(Thamsuwan &amp; Johnson, 2022)</w:t>
      </w:r>
      <w:r w:rsidR="002214F9">
        <w:fldChar w:fldCharType="end"/>
      </w:r>
      <w:r>
        <w:t>.</w:t>
      </w:r>
    </w:p>
    <w:p w14:paraId="70264C1F" w14:textId="5DE7D12D" w:rsidR="009B5AD8" w:rsidRDefault="000D097A" w:rsidP="00497399">
      <w:pPr>
        <w:spacing w:line="480" w:lineRule="auto"/>
      </w:pPr>
      <w:r>
        <w:t xml:space="preserve">The </w:t>
      </w:r>
      <w:r w:rsidR="009B5AD8">
        <w:t>Borg CR10</w:t>
      </w:r>
      <w:r w:rsidR="0055017F">
        <w:t xml:space="preserve"> difference between the beginning and the end of work shift</w:t>
      </w:r>
      <w:r>
        <w:t xml:space="preserve"> by each harvesting method is shown in Figure </w:t>
      </w:r>
      <w:r w:rsidR="00276A77">
        <w:t>1</w:t>
      </w:r>
      <w:r w:rsidR="00F00B20">
        <w:t>0</w:t>
      </w:r>
      <w:r>
        <w:t xml:space="preserve">. The </w:t>
      </w:r>
      <w:r w:rsidR="00DF6E0B">
        <w:t>increases in Borg CR10</w:t>
      </w:r>
      <w:r w:rsidR="00987AFB">
        <w:t xml:space="preserve"> from the beginning to the end of the work shift was higher in the Platform group than in the Ground and Ladder group</w:t>
      </w:r>
      <w:r w:rsidR="00F36BE3">
        <w:t>s</w:t>
      </w:r>
      <w:r w:rsidR="00987AFB">
        <w:t xml:space="preserve">. </w:t>
      </w:r>
      <w:r>
        <w:t>According to the Kruskal-Wallis tests for nonparametric data, the harvesting method had a</w:t>
      </w:r>
      <w:r w:rsidR="00987AFB">
        <w:t xml:space="preserve"> statistically significant</w:t>
      </w:r>
      <w:r>
        <w:t xml:space="preserve"> effect on the Borg CR10 </w:t>
      </w:r>
      <w:r w:rsidR="00987AFB">
        <w:t>increase over time</w:t>
      </w:r>
      <w:r>
        <w:t xml:space="preserve"> (p-value = 0.013) but the side of trapezius did not (p-value = 0.51).</w:t>
      </w:r>
    </w:p>
    <w:p w14:paraId="3AFA8165" w14:textId="26A361BD" w:rsidR="00F5247C" w:rsidRDefault="00497399" w:rsidP="00497399">
      <w:pPr>
        <w:pStyle w:val="Heading3"/>
        <w:spacing w:line="480" w:lineRule="auto"/>
      </w:pPr>
      <w:r>
        <w:t xml:space="preserve">3.4 </w:t>
      </w:r>
      <w:r w:rsidR="00F5247C">
        <w:t>Association between objective muscle fatigue and subjective local discomfort</w:t>
      </w:r>
    </w:p>
    <w:p w14:paraId="1AF295B3" w14:textId="2AC74074" w:rsidR="00C945DC" w:rsidRDefault="00566F4E" w:rsidP="00497399">
      <w:pPr>
        <w:spacing w:line="480" w:lineRule="auto"/>
      </w:pPr>
      <w:r>
        <w:t xml:space="preserve">Regardless of whether we accounted for the muscle side, work period or harvesting method, there was no correlation between the slope </w:t>
      </w:r>
      <m:oMath>
        <m:sSub>
          <m:sSubPr>
            <m:ctrlPr>
              <w:rPr>
                <w:rFonts w:ascii="Cambria Math" w:hAnsi="Cambria Math"/>
                <w:i/>
              </w:rPr>
            </m:ctrlPr>
          </m:sSubPr>
          <m:e>
            <m:r>
              <w:rPr>
                <w:rFonts w:ascii="Cambria Math" w:hAnsi="Cambria Math"/>
              </w:rPr>
              <m:t>b</m:t>
            </m:r>
          </m:e>
          <m:sub>
            <m:r>
              <w:rPr>
                <w:rFonts w:ascii="Cambria Math" w:hAnsi="Cambria Math"/>
              </w:rPr>
              <m:t>Time</m:t>
            </m:r>
          </m:sub>
        </m:sSub>
        <m:r>
          <w:rPr>
            <w:rFonts w:ascii="Cambria Math" w:hAnsi="Cambria Math"/>
          </w:rPr>
          <m:t xml:space="preserve"> </m:t>
        </m:r>
      </m:oMath>
      <w:r>
        <w:t xml:space="preserve">in the equation (iv) and the Borg CR10 difference. That is, there was no relationship between the EMG mean power frequency representing muscle fatigue </w:t>
      </w:r>
      <w:r w:rsidR="005937E8">
        <w:t xml:space="preserve">and </w:t>
      </w:r>
      <w:r>
        <w:t>the Borg CR10 increases or decreases</w:t>
      </w:r>
      <w:r w:rsidR="005937E8">
        <w:t xml:space="preserve"> over the work period. </w:t>
      </w:r>
      <w:r>
        <w:t xml:space="preserve">Figure </w:t>
      </w:r>
      <w:r w:rsidR="00276A77">
        <w:t>1</w:t>
      </w:r>
      <w:r w:rsidR="00F00B20">
        <w:t>1</w:t>
      </w:r>
      <w:r>
        <w:t xml:space="preserve"> shows the scatter plot between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sidR="005937E8">
        <w:rPr>
          <w:rFonts w:eastAsiaTheme="minorEastAsia"/>
        </w:rPr>
        <w:t xml:space="preserve"> on the y-axis and the Borg CR10 difference between the start and the end of work shift.</w:t>
      </w:r>
    </w:p>
    <w:p w14:paraId="4030052B" w14:textId="3DEF0E98" w:rsidR="007F35ED" w:rsidRDefault="00497399" w:rsidP="00497399">
      <w:pPr>
        <w:pStyle w:val="Heading2"/>
        <w:spacing w:line="480" w:lineRule="auto"/>
      </w:pPr>
      <w:r w:rsidRPr="00BC2E53">
        <w:t xml:space="preserve">4. </w:t>
      </w:r>
      <w:r w:rsidR="007F35ED" w:rsidRPr="00BC2E53">
        <w:t>Discussions</w:t>
      </w:r>
    </w:p>
    <w:p w14:paraId="77517D65" w14:textId="21A9A6F0" w:rsidR="003A4B9E" w:rsidRDefault="003A4B9E" w:rsidP="00F8329F">
      <w:pPr>
        <w:pStyle w:val="Heading3"/>
        <w:spacing w:line="480" w:lineRule="auto"/>
      </w:pPr>
      <w:r>
        <w:t>4.1 I</w:t>
      </w:r>
      <w:r w:rsidR="00E5395A">
        <w:t>nterpretations and i</w:t>
      </w:r>
      <w:r>
        <w:t>mplications from negative or no correlation</w:t>
      </w:r>
    </w:p>
    <w:p w14:paraId="2F07DDF8" w14:textId="77777777" w:rsidR="00CD687A" w:rsidRDefault="003F1E3F" w:rsidP="00497399">
      <w:pPr>
        <w:spacing w:line="480" w:lineRule="auto"/>
      </w:pPr>
      <w:r>
        <w:t xml:space="preserve">There were negative </w:t>
      </w:r>
      <w:r w:rsidR="00806938">
        <w:t xml:space="preserve">significant </w:t>
      </w:r>
      <w:r>
        <w:t>correlations between the objective and subjective measures of overall effort</w:t>
      </w:r>
      <w:r w:rsidR="00A85A38">
        <w:t xml:space="preserve"> when the analysis adjusted for the harvesting method and the time of measurement.</w:t>
      </w:r>
      <w:r w:rsidR="00806938">
        <w:t xml:space="preserve"> That is, both Borg RPE and Omni RPE may </w:t>
      </w:r>
      <w:r w:rsidR="00CD687A">
        <w:t xml:space="preserve">be used to </w:t>
      </w:r>
      <w:r w:rsidR="00806938">
        <w:t xml:space="preserve">predict the outcomes of %HRR. </w:t>
      </w:r>
    </w:p>
    <w:p w14:paraId="4AC148AC" w14:textId="62AF67CE" w:rsidR="00636887" w:rsidRDefault="00806938" w:rsidP="00497399">
      <w:pPr>
        <w:spacing w:line="480" w:lineRule="auto"/>
      </w:pPr>
      <w:r>
        <w:t>When stratifying by harvesting method, the significance level was still strong only in the Ladder group, but less strong in the Ground and Platform groups, respectively. This might have been due to the fact that the Ladder group had a very physically demanding load</w:t>
      </w:r>
      <w:r w:rsidR="00BC2E53">
        <w:t xml:space="preserve">, followed by the Ground and the Platform group. </w:t>
      </w:r>
      <w:r w:rsidR="00CD687A">
        <w:t>Accordingly, on one hand, t</w:t>
      </w:r>
      <w:r w:rsidR="00BC2E53">
        <w:t xml:space="preserve">he relationship between Borg RPE and %HRR and </w:t>
      </w:r>
      <w:r w:rsidR="00CD687A">
        <w:t xml:space="preserve">the </w:t>
      </w:r>
      <w:r w:rsidR="00BC2E53">
        <w:t xml:space="preserve">one between Omni RPE and %HRR </w:t>
      </w:r>
      <w:r w:rsidR="00CD687A">
        <w:t xml:space="preserve">were established when the physical workload was sufficiently demanding. On the other hand, during relatively lighter work, the subjective ratings like Borg RPE and Omni RPE may not be useful for ergonomic assessment. </w:t>
      </w:r>
    </w:p>
    <w:p w14:paraId="14B173A4" w14:textId="5606B92C" w:rsidR="00CD687A" w:rsidRDefault="0055539C" w:rsidP="00497399">
      <w:pPr>
        <w:spacing w:line="480" w:lineRule="auto"/>
      </w:pPr>
      <w:r>
        <w:t>W</w:t>
      </w:r>
      <w:r w:rsidR="00CD687A">
        <w:t xml:space="preserve">hen stratifying by the time in the work shift, </w:t>
      </w:r>
      <w:r>
        <w:t xml:space="preserve">the </w:t>
      </w:r>
      <w:r w:rsidR="00CD687A">
        <w:t>statistically significant relationship between Borg RPE and %HRR were found at T1 and T3, i.e. after morning and afternoon work sessions, but not at T2, after the lunch break. This finding is in accordance with the case of stratifying by harvesting method. That is, it require</w:t>
      </w:r>
      <w:r>
        <w:t>d</w:t>
      </w:r>
      <w:r w:rsidR="00CD687A">
        <w:t xml:space="preserve"> the farmworkers to </w:t>
      </w:r>
      <w:r>
        <w:t xml:space="preserve">a </w:t>
      </w:r>
      <w:r w:rsidR="00CD687A">
        <w:t>perform heavy</w:t>
      </w:r>
      <w:r>
        <w:t xml:space="preserve"> task so that the subjective Borg RPE responses could be meaningful. Otherwise, during or after a rest period, Borg RPE was not interpretable in this population and should not be used to </w:t>
      </w:r>
      <w:r w:rsidR="00E5395A">
        <w:t>assess</w:t>
      </w:r>
      <w:r>
        <w:t xml:space="preserve"> a recovery from the rest in place of the objective direct measurement.</w:t>
      </w:r>
    </w:p>
    <w:p w14:paraId="454BAAAD" w14:textId="58818B0E" w:rsidR="0055539C" w:rsidRDefault="0055539C" w:rsidP="00497399">
      <w:pPr>
        <w:spacing w:line="480" w:lineRule="auto"/>
      </w:pPr>
      <w:r>
        <w:t xml:space="preserve">Additionally, when stratifying by the time in the work shift, the relationship between Omni RPE and %HRR became statistically insignificant. This finding suggested that the Omni RPE with the pictures of apple harvesting may </w:t>
      </w:r>
      <w:r w:rsidR="00E5395A">
        <w:t xml:space="preserve">still not be robust. </w:t>
      </w:r>
      <w:commentRangeStart w:id="6"/>
      <w:r w:rsidR="00E5395A">
        <w:t xml:space="preserve">Notwithstanding, it is worth </w:t>
      </w:r>
      <w:r w:rsidR="00C059B1">
        <w:t>remarking</w:t>
      </w:r>
      <w:r w:rsidR="00E5395A">
        <w:t xml:space="preserve"> that the reason might be due to the fact that the stratification reduced the sample size and, consequently, there was not enough power to detect a significant correlation in each group.</w:t>
      </w:r>
      <w:commentRangeEnd w:id="6"/>
      <w:r w:rsidR="00DD2D9F">
        <w:rPr>
          <w:rStyle w:val="CommentReference"/>
        </w:rPr>
        <w:commentReference w:id="6"/>
      </w:r>
    </w:p>
    <w:p w14:paraId="2F504244" w14:textId="05F9D95D" w:rsidR="003F1E3F" w:rsidRDefault="003F1E3F" w:rsidP="00497399">
      <w:pPr>
        <w:spacing w:line="480" w:lineRule="auto"/>
      </w:pPr>
      <w:r>
        <w:t xml:space="preserve">There was no </w:t>
      </w:r>
      <w:r w:rsidR="00E5395A">
        <w:t xml:space="preserve">significant </w:t>
      </w:r>
      <w:r>
        <w:t>correlation between the objective and subjective measures of local discomfort.</w:t>
      </w:r>
      <w:r w:rsidR="00E5395A">
        <w:t xml:space="preserve"> In other words, Borg CR10 scales at local body parts, particularly the shoulders, were not representative for the muscle fatigue as directly measured and characterized by EMG.</w:t>
      </w:r>
    </w:p>
    <w:p w14:paraId="7862BBD8" w14:textId="5EA8AD43" w:rsidR="00C945DC" w:rsidRDefault="00636887" w:rsidP="00497399">
      <w:pPr>
        <w:spacing w:line="480" w:lineRule="auto"/>
      </w:pPr>
      <w:commentRangeStart w:id="7"/>
      <w:r>
        <w:t>Despite</w:t>
      </w:r>
      <w:r w:rsidR="003F1E3F">
        <w:t xml:space="preserve"> being</w:t>
      </w:r>
      <w:r>
        <w:t xml:space="preserve"> translated and adapted to the culture, the subjective effort surveys, namely Omni RPE, Borg RPE and Borg CR10, may not be suitable for </w:t>
      </w:r>
      <w:r w:rsidR="00E5395A">
        <w:t>ergonomic assessment among Hispanic migrant fruit harvesters, especially when the physical workload were not extreme</w:t>
      </w:r>
      <w:r>
        <w:t xml:space="preserve">. Therefore, they should not </w:t>
      </w:r>
      <w:r w:rsidR="00E5395A">
        <w:t xml:space="preserve">fully </w:t>
      </w:r>
      <w:r>
        <w:t>replace the objective direct</w:t>
      </w:r>
      <w:r w:rsidR="00E5395A">
        <w:t>ly</w:t>
      </w:r>
      <w:r>
        <w:t xml:space="preserve">-measured </w:t>
      </w:r>
      <w:r w:rsidR="00E5395A">
        <w:t>outcomes like metabolic load or muscle fatigue</w:t>
      </w:r>
      <w:r>
        <w:t>.</w:t>
      </w:r>
      <w:commentRangeEnd w:id="7"/>
      <w:r w:rsidR="00DD2D9F">
        <w:rPr>
          <w:rStyle w:val="CommentReference"/>
        </w:rPr>
        <w:commentReference w:id="7"/>
      </w:r>
    </w:p>
    <w:p w14:paraId="5B39B5E9" w14:textId="34A5F5EB" w:rsidR="009E5669" w:rsidRDefault="003A4B9E" w:rsidP="00F8329F">
      <w:pPr>
        <w:pStyle w:val="Heading3"/>
        <w:spacing w:line="480" w:lineRule="auto"/>
      </w:pPr>
      <w:r>
        <w:t>4.2 Comparisons to previous studies</w:t>
      </w:r>
    </w:p>
    <w:p w14:paraId="6A065C90" w14:textId="648AEE63" w:rsidR="00D859F9" w:rsidRDefault="00C36CDC" w:rsidP="00D859F9">
      <w:pPr>
        <w:spacing w:line="480" w:lineRule="auto"/>
      </w:pPr>
      <w:r>
        <w:t>This study indicated the unsuitability of subjective scales for ergonomic assessment in fruit harvesting tasks undertaken by the Hispanic migrant workers, as compared to the uses of cardiac measures and the muscle fatigue of trapezius. Particularly, the finding from this study that the subjective scales were more sensitive to heavy workload is relevant to a previous work. That is, w</w:t>
      </w:r>
      <w:r w:rsidR="00903820">
        <w:t xml:space="preserve">hile </w:t>
      </w:r>
      <w:r w:rsidR="009E5669">
        <w:t xml:space="preserve">Borg scale </w:t>
      </w:r>
      <w:r w:rsidR="00903820">
        <w:t xml:space="preserve">could detect a major change in task difficulty, </w:t>
      </w:r>
      <w:r w:rsidR="009E5669">
        <w:t xml:space="preserve">it was found unsuitable to identify minor changes of tasks difficulty </w:t>
      </w:r>
      <w:r w:rsidR="00374E7E">
        <w:t>and</w:t>
      </w:r>
      <w:r w:rsidR="009E5669">
        <w:t xml:space="preserve"> discomfort</w:t>
      </w:r>
      <w:r w:rsidR="00374E7E">
        <w:t>,</w:t>
      </w:r>
      <w:r w:rsidR="00903820">
        <w:t xml:space="preserve"> in contrast</w:t>
      </w:r>
      <w:r w:rsidR="009E5669">
        <w:t xml:space="preserve"> to the</w:t>
      </w:r>
      <w:r w:rsidR="00903820">
        <w:t xml:space="preserve"> capability of</w:t>
      </w:r>
      <w:r w:rsidR="009E5669">
        <w:t xml:space="preserve"> EMG</w:t>
      </w:r>
      <w:r w:rsidR="00903820">
        <w:t xml:space="preserve"> at biceps brachii and triceps brachii </w:t>
      </w:r>
      <w:r w:rsidR="00903820">
        <w:fldChar w:fldCharType="begin" w:fldLock="1"/>
      </w:r>
      <w:r w:rsidR="00903820">
        <w:instrText>ADDIN CSL_CITATION {"citationItems":[{"id":"ITEM-1","itemData":{"DOI":"10.1109/EMBC.2016.7591091","ISBN":"978-1-4577-0220-4","author":[{"dropping-particle":"","family":"Shafti","given":"Ali","non-dropping-particle":"","parse-names":false,"suffix":""},{"dropping-particle":"","family":"Lazpita","given":"Beatriz Urbistondo","non-dropping-particle":"","parse-names":false,"suffix":""},{"dropping-particle":"","family":"Elhage","given":"Oussama","non-dropping-particle":"","parse-names":false,"suffix":""},{"dropping-particle":"","family":"Wurdemann","given":"Helge A.","non-dropping-particle":"","parse-names":false,"suffix":""},{"dropping-particle":"","family":"Althoefer","given":"Kaspar","non-dropping-particle":"","parse-names":false,"suffix":""}],"container-title":"2016 38th Annual International Conference of the IEEE Engineering in Medicine and Biology Society (EMBC)","id":"ITEM-1","issued":{"date-parts":[["2016","8"]]},"page":"1894-1897","publisher":"IEEE","title":"Analysis of comfort and ergonomics for clinical work environments","type":"paper-conference"},"uris":["http://www.mendeley.com/documents/?uuid=5339f809-788c-46f3-b5cc-bc3a4b3cbb0e"]}],"mendeley":{"formattedCitation":"(Shafti et al., 2016)","plainTextFormattedCitation":"(Shafti et al., 2016)","previouslyFormattedCitation":"(Shafti et al., 2016)"},"properties":{"noteIndex":0},"schema":"https://github.com/citation-style-language/schema/raw/master/csl-citation.json"}</w:instrText>
      </w:r>
      <w:r w:rsidR="00903820">
        <w:fldChar w:fldCharType="separate"/>
      </w:r>
      <w:r w:rsidR="00903820" w:rsidRPr="00903820">
        <w:rPr>
          <w:noProof/>
        </w:rPr>
        <w:t>(Shafti et al., 2016)</w:t>
      </w:r>
      <w:r w:rsidR="00903820">
        <w:fldChar w:fldCharType="end"/>
      </w:r>
      <w:r w:rsidR="00903820">
        <w:t>.</w:t>
      </w:r>
      <w:r w:rsidR="00071EDF">
        <w:t xml:space="preserve"> </w:t>
      </w:r>
      <w:r w:rsidR="00D859F9">
        <w:t xml:space="preserve">On a contrary, Borg CR10 was found to be more sensitive to a light load than EMG MPF did; that is, in a laboratory study using the EMG MPF of trapezius and Borg CR10 during arm abduction, there was a strong negative correlation between the MPF and the CR10 scores at heavy load while the MPF did not change at low load </w:t>
      </w:r>
      <w:r w:rsidR="00D859F9">
        <w:fldChar w:fldCharType="begin" w:fldLock="1"/>
      </w:r>
      <w:r w:rsidR="00D859F9">
        <w:instrText>ADDIN CSL_CITATION {"citationItems":[{"id":"ITEM-1","itemData":{"DOI":"10.1080/00140139408964911","ISSN":"0014-0139","author":[{"dropping-particle":"","family":"Öberg","given":"TOMMY","non-dropping-particle":"","parse-names":false,"suffix":""},{"dropping-particle":"","family":"SANDSJö","given":"LEIF","non-dropping-particle":"","parse-names":false,"suffix":""},{"dropping-particle":"","family":"KADEFORS","given":"ROLAND","non-dropping-particle":"","parse-names":false,"suffix":""}],"container-title":"Ergonomics","id":"ITEM-1","issue":"8","issued":{"date-parts":[["1994","8"]]},"page":"1323-1333","title":"Subjective and objective evaluation of shoulder muscle fatigue","type":"article-journal","volume":"37"},"uris":["http://www.mendeley.com/documents/?uuid=1fb69f56-d2a3-4882-baa9-06cfee1e60fe"]}],"mendeley":{"formattedCitation":"(Öberg et al., 1994)","plainTextFormattedCitation":"(Öberg et al., 1994)","previouslyFormattedCitation":"(Öberg et al., 1994)"},"properties":{"noteIndex":0},"schema":"https://github.com/citation-style-language/schema/raw/master/csl-citation.json"}</w:instrText>
      </w:r>
      <w:r w:rsidR="00D859F9">
        <w:fldChar w:fldCharType="separate"/>
      </w:r>
      <w:r w:rsidR="00D859F9" w:rsidRPr="00071EDF">
        <w:rPr>
          <w:noProof/>
        </w:rPr>
        <w:t>(Öberg et al., 1994)</w:t>
      </w:r>
      <w:r w:rsidR="00D859F9">
        <w:fldChar w:fldCharType="end"/>
      </w:r>
      <w:r w:rsidR="00D859F9">
        <w:t>. Above all, this study found increases over time in both EMG MPF and Borg CR10; however, we did not address whether the objective measure of muscle fatigue like EMG or the subjective discomfort responses like Borg scales could provide a better ergonomic assessment.</w:t>
      </w:r>
    </w:p>
    <w:p w14:paraId="5D6C72A6" w14:textId="137E858F" w:rsidR="00D859F9" w:rsidRDefault="00D859F9" w:rsidP="00D859F9">
      <w:pPr>
        <w:spacing w:line="480" w:lineRule="auto"/>
      </w:pPr>
      <w:r>
        <w:t xml:space="preserve">Newly developed subjective rating scales like Omni RPE may be used for certain contexts, in this case, when farmworkers actually perform heavy work but not the light work. This subjective measurement should, thus, be used as a complement of their corresponding objective measurement rather than as standalone tools. Even though a previous study found that the Omni RPE in a pictorial face format was correlated with heart rate and respiratory rate in both men and women </w:t>
      </w:r>
      <w:r>
        <w:fldChar w:fldCharType="begin" w:fldLock="1"/>
      </w:r>
      <w:r>
        <w:instrText>ADDIN CSL_CITATION {"citationItems":[{"id":"ITEM-1","itemData":{"DOI":"10.1080/21681015.2013.788079","ISSN":"2168-1015","author":[{"dropping-particle":"","family":"Huang","given":"Ding-Hau","non-dropping-particle":"","parse-names":false,"suffix":""},{"dropping-particle":"","family":"Chiou","given":"Wen-Ko","non-dropping-particle":"","parse-names":false,"suffix":""}],"container-title":"Journal of Industrial and Production Engineering","id":"ITEM-1","issue":"2","issued":{"date-parts":[["2013","3"]]},"page":"125-131","title":"Validation of a facial pictorial rating of perceived exertion scale for evaluating physical tasks","type":"article-journal","volume":"30"},"uris":["http://www.mendeley.com/documents/?uuid=f8d2915f-080e-4588-a127-d331ff0718f6"]}],"mendeley":{"formattedCitation":"(Huang &amp; Chiou, 2013)","plainTextFormattedCitation":"(Huang &amp; Chiou, 2013)","previouslyFormattedCitation":"(Huang &amp; Chiou, 2013)"},"properties":{"noteIndex":0},"schema":"https://github.com/citation-style-language/schema/raw/master/csl-citation.json"}</w:instrText>
      </w:r>
      <w:r>
        <w:fldChar w:fldCharType="separate"/>
      </w:r>
      <w:r w:rsidRPr="008B3362">
        <w:rPr>
          <w:noProof/>
        </w:rPr>
        <w:t>(Huang &amp; Chiou, 2013)</w:t>
      </w:r>
      <w:r>
        <w:fldChar w:fldCharType="end"/>
      </w:r>
      <w:r>
        <w:t xml:space="preserve">, Omni RPE alone was not distinguishable across different in walking and running loads in children whereas the oxygen consumption did </w:t>
      </w:r>
      <w:r>
        <w:fldChar w:fldCharType="begin" w:fldLock="1"/>
      </w:r>
      <w:r>
        <w:instrText>ADDIN CSL_CITATION {"citationItems":[{"id":"ITEM-1","itemData":{"DOI":"10.1123/pes.2019-0233","ISSN":"0899-8493","abstract":"Purpose : To investigate whether youth and adults can perceive differences in exertion between walking and running at speeds near the preferred transition speed (PTS) and if there are age-related differences in these perceptions. Methods : A total of 49 youth (10–12 y, n = 21; 13–14 y, n = 10; 15–17 y, n = 18) and 13 adults (19–29 y) completed a walk-to-run transition protocol to determine PTS and peak oxygen uptake. The participants walked and ran on a treadmill at 5 speeds (PTS–0.28 m·s −1 , PTS–0.14 m·s −1 , PTS, PTS+0.14 m·s −1 , PTS+0.28 m·s −1 ) and rated perceived exertion using the OMNI Perceived Exertion (OMNI-RPE) scale. Oxygen consumption was measured during the walk-to-run transition protocol to obtain the relative intensity (percentage of peak oxygen uptake) at PTS. OMNI-RPE scores at all speeds and percentage of peak oxygen uptake at PTS were compared between age groups. Results : The 10- to 12-year-olds transitioned at a higher percentage of peak oxygen uptake than adults (64.54 [10.18] vs 52.22 [11.40], respectively; P = .035). The 10- to 14-year-olds generally reported higher OMNI-RPE scores than the 15- to 17-year-olds and adults ( P &lt; .050). In addition, the 10- to 14-year-olds failed to distinguish differences in OMNI-RPE between walking and running at PTS and PTS+0.14 m·s −1 . Conclusions : Children aged 10–14 years are less able to distinguish whether walking or running requires less effort at speeds near the PTS compared with adults. The inability to judge which gait mode is less demanding could hinder the ability to minimize locomotive demands.","author":[{"dropping-particle":"","family":"Kung","given":"Stacey M.","non-dropping-particle":"","parse-names":false,"suffix":""},{"dropping-particle":"","family":"Fink","given":"Philip W.","non-dropping-particle":"","parse-names":false,"suffix":""},{"dropping-particle":"","family":"Legg","given":"Stephen J.","non-dropping-particle":"","parse-names":false,"suffix":""},{"dropping-particle":"","family":"Ali","given":"Ajmol","non-dropping-particle":"","parse-names":false,"suffix":""},{"dropping-particle":"","family":"Shultz","given":"Sarah P.","non-dropping-particle":"","parse-names":false,"suffix":""}],"container-title":"Pediatric Exercise Science","id":"ITEM-1","issue":"4","issued":{"date-parts":[["2020","11","1"]]},"page":"227-232","title":"Age-Related Differences in Perceived Exertion While Walking and Running Near the Preferred Transition Speed","type":"article-journal","volume":"32"},"uris":["http://www.mendeley.com/documents/?uuid=91bfd2eb-9754-4097-885b-7ebdd43a2166"]}],"mendeley":{"formattedCitation":"(Kung et al., 2020)","plainTextFormattedCitation":"(Kung et al., 2020)","previouslyFormattedCitation":"(Kung et al., 2020)"},"properties":{"noteIndex":0},"schema":"https://github.com/citation-style-language/schema/raw/master/csl-citation.json"}</w:instrText>
      </w:r>
      <w:r>
        <w:fldChar w:fldCharType="separate"/>
      </w:r>
      <w:r w:rsidRPr="008B3362">
        <w:rPr>
          <w:noProof/>
        </w:rPr>
        <w:t>(Kung et al., 2020)</w:t>
      </w:r>
      <w:r>
        <w:fldChar w:fldCharType="end"/>
      </w:r>
      <w:r>
        <w:t>.</w:t>
      </w:r>
    </w:p>
    <w:p w14:paraId="384C2E1A" w14:textId="49DDCB66" w:rsidR="00374E7E" w:rsidRDefault="003A4B9E" w:rsidP="00F8329F">
      <w:pPr>
        <w:pStyle w:val="Heading3"/>
        <w:spacing w:line="480" w:lineRule="auto"/>
      </w:pPr>
      <w:r>
        <w:t xml:space="preserve">4.3 </w:t>
      </w:r>
      <w:r w:rsidR="00F8329F">
        <w:t>Study limitations</w:t>
      </w:r>
    </w:p>
    <w:p w14:paraId="00B81526" w14:textId="37A62C41" w:rsidR="003A4B9E" w:rsidRDefault="00083EF8" w:rsidP="00497399">
      <w:pPr>
        <w:spacing w:line="480" w:lineRule="auto"/>
      </w:pPr>
      <w:r>
        <w:t xml:space="preserve">A number of systematic biases in this study should be mentioned. Firstly, the presence of researchers in the field might have altered the way the participants work; as a result, the objective directly-measured outcomes on muscle fatigue or metabolic load may be affected. Secondly, </w:t>
      </w:r>
      <w:r w:rsidR="00A16228">
        <w:t>administ</w:t>
      </w:r>
      <w:r w:rsidR="004C3899">
        <w:t>ering</w:t>
      </w:r>
      <w:r w:rsidR="00A16228">
        <w:t xml:space="preserve"> the </w:t>
      </w:r>
      <w:r w:rsidR="004C3899">
        <w:t>Borg and Omni questionnaires</w:t>
      </w:r>
      <w:r w:rsidR="00A16228">
        <w:t xml:space="preserve"> could have interrupted the workers’ lunch break</w:t>
      </w:r>
      <w:r w:rsidR="004C3899">
        <w:t>. It is possible that some workers ended up answering the questions as fast as they could rather than did it attentively.</w:t>
      </w:r>
    </w:p>
    <w:p w14:paraId="2DC05812" w14:textId="0CDF1209" w:rsidR="009412F3" w:rsidRDefault="004C3899" w:rsidP="009412F3">
      <w:pPr>
        <w:spacing w:line="480" w:lineRule="auto"/>
      </w:pPr>
      <w:r>
        <w:t xml:space="preserve">Moreover, there </w:t>
      </w:r>
      <w:r w:rsidR="00457DE9">
        <w:t>was a limitation</w:t>
      </w:r>
      <w:r>
        <w:t xml:space="preserve"> associated with the heart rate measurement. In the ideal situation, a resting heart rate should be measured in a recumbent position. However, in this study, the resting heart rate was measured during a quiet sitting position prior to the work shift, and then the measured values were subtracted by 10 as per the equation (ii) similarly to the previous work </w:t>
      </w:r>
      <w:r>
        <w:fldChar w:fldCharType="begin" w:fldLock="1"/>
      </w:r>
      <w:r w:rsidR="00457DE9">
        <w:instrText>ADDIN CSL_CITATION {"citationItems":[{"id":"ITEM-1","itemData":{"DOI":"10.1080/1059924X.2019.1593273","ISSN":"15450813","author":[{"dropping-particle":"","family":"Thamsuwan","given":"Ornwipa","non-dropping-particle":"","parse-names":false,"suffix":""},{"dropping-particle":"","family":"Galvin","given":"Kit","non-dropping-particle":"","parse-names":false,"suffix":""},{"dropping-particle":"","family":"Tchong-French","given":"Maria","non-dropping-particle":"","parse-names":false,"suffix":""},{"dropping-particle":"","family":"Kim","given":"Jeong Ho","non-dropping-particle":"","parse-names":false,"suffix":""},{"dropping-particle":"","family":"Johnson","given":"Peter W.","non-dropping-particle":"","parse-names":false,"suffix":""}],"container-title":"Journal of Agromedicine","id":"ITEM-1","issued":{"date-parts":[["2019"]]},"title":"A feasibility study comparing objective and subjective field-based physical exposure measurements during apple harvesting with ladders and mobile platforms","type":"article-journal"},"uris":["http://www.mendeley.com/documents/?uuid=57e9fc5b-dfaa-4066-bede-6c25182ff9d0"]}],"mendeley":{"formattedCitation":"(Ornwipa Thamsuwan et al., 2019)","manualFormatting":"(Thamsuwan et al., 2019)","plainTextFormattedCitation":"(Ornwipa Thamsuwan et al., 2019)","previouslyFormattedCitation":"(Ornwipa Thamsuwan et al., 2019)"},"properties":{"noteIndex":0},"schema":"https://github.com/citation-style-language/schema/raw/master/csl-citation.json"}</w:instrText>
      </w:r>
      <w:r>
        <w:fldChar w:fldCharType="separate"/>
      </w:r>
      <w:r w:rsidRPr="004C3899">
        <w:rPr>
          <w:noProof/>
        </w:rPr>
        <w:t>(Thamsuwan et al., 2019)</w:t>
      </w:r>
      <w:r>
        <w:fldChar w:fldCharType="end"/>
      </w:r>
      <w:r>
        <w:t>; in other words, the resting heart rate was obtained by approximation rather than exact measurement.</w:t>
      </w:r>
    </w:p>
    <w:p w14:paraId="03D1C4FF" w14:textId="41AC4FEB" w:rsidR="004C3899" w:rsidRDefault="004C3899" w:rsidP="009412F3">
      <w:pPr>
        <w:spacing w:line="480" w:lineRule="auto"/>
      </w:pPr>
      <w:r>
        <w:t xml:space="preserve">Furthermore, </w:t>
      </w:r>
      <w:r w:rsidR="00457DE9">
        <w:t xml:space="preserve">there were challenges in EMG measurement in the field due to perspiration of workers and the physical contact between electrodes and the apple bag strap or the ladder. Anomalies in EMG data were detected and removed with a new algorithm to retain the muscle activity signal </w:t>
      </w:r>
      <w:r w:rsidR="00457DE9">
        <w:fldChar w:fldCharType="begin" w:fldLock="1"/>
      </w:r>
      <w:r w:rsidR="00DC6A2D">
        <w:instrText>ADDIN CSL_CITATION {"citationItems":[{"id":"ITEM-1","itemData":{"DOI":"10.1016/j.apergo.2021.103607","ISSN":"00036870","author":[{"dropping-particle":"","family":"Thamsuwan","given":"Ornwipa","non-dropping-particle":"","parse-names":false,"suffix":""},{"dropping-particle":"","family":"Johnson","given":"Peter W.","non-dropping-particle":"","parse-names":false,"suffix":""}],"container-title":"Applied Ergonomics","id":"ITEM-1","issued":{"date-parts":[["2022","1"]]},"page":"103607","title":"Machine learning methods for electromyography error detection in field research: An application in full-shift field assessment of shoulder muscle activity in apple harvesting workers","type":"article-journal","volume":"98"},"uris":["http://www.mendeley.com/documents/?uuid=144f16be-d095-4da8-bef8-e2d2069c3ecb"]}],"mendeley":{"formattedCitation":"(Ornwipa Thamsuwan &amp; Johnson, 2022)","manualFormatting":"(Thamsuwan &amp; Johnson, 2022)","plainTextFormattedCitation":"(Ornwipa Thamsuwan &amp; Johnson, 2022)","previouslyFormattedCitation":"(Ornwipa Thamsuwan &amp; Johnson, 2022)"},"properties":{"noteIndex":0},"schema":"https://github.com/citation-style-language/schema/raw/master/csl-citation.json"}</w:instrText>
      </w:r>
      <w:r w:rsidR="00457DE9">
        <w:fldChar w:fldCharType="separate"/>
      </w:r>
      <w:r w:rsidR="00457DE9" w:rsidRPr="00457DE9">
        <w:rPr>
          <w:noProof/>
        </w:rPr>
        <w:t>(Thamsuwan &amp; Johnson, 2022)</w:t>
      </w:r>
      <w:r w:rsidR="00457DE9">
        <w:fldChar w:fldCharType="end"/>
      </w:r>
      <w:r w:rsidR="00457DE9">
        <w:t xml:space="preserve"> but there were still some data lost. Future studies should instead find a way to detect the anomalies in real time during the data collection, which could prevent data lost more effectively as compared to logging the data to examine later at the end of the work shift like in this study.</w:t>
      </w:r>
    </w:p>
    <w:p w14:paraId="2C98ADDF" w14:textId="5B8E4F66" w:rsidR="00374E7E" w:rsidRDefault="00374E7E" w:rsidP="00374E7E">
      <w:pPr>
        <w:pStyle w:val="Heading2"/>
        <w:spacing w:line="480" w:lineRule="auto"/>
      </w:pPr>
      <w:r w:rsidRPr="0047623D">
        <w:t>5. Conclusion</w:t>
      </w:r>
      <w:r>
        <w:t xml:space="preserve"> </w:t>
      </w:r>
    </w:p>
    <w:p w14:paraId="5A667111" w14:textId="7FFBB73E" w:rsidR="0064052E" w:rsidRDefault="009C2A8C" w:rsidP="00497399">
      <w:pPr>
        <w:spacing w:line="480" w:lineRule="auto"/>
      </w:pPr>
      <w:r>
        <w:t>This study examined whether there was a relationship between subjective and objective measures of overall cardiovascular load and local muscle fatigue among Hispanic migrant farmworkers harvesting apples in North America.</w:t>
      </w:r>
      <w:r w:rsidR="005F70A4">
        <w:t xml:space="preserve"> Borg RPE and Borg CR10 were translated</w:t>
      </w:r>
      <w:r w:rsidR="00701205">
        <w:t xml:space="preserve"> into Spanish</w:t>
      </w:r>
      <w:r w:rsidR="005F70A4">
        <w:t>, and Omni RPE</w:t>
      </w:r>
      <w:r w:rsidR="00BF7160">
        <w:t xml:space="preserve"> with pictures</w:t>
      </w:r>
      <w:r w:rsidR="005F70A4">
        <w:t xml:space="preserve"> were created for this specific population. The Borg RPE and Omni RPE</w:t>
      </w:r>
      <w:r w:rsidR="00BF7160">
        <w:t xml:space="preserve"> results</w:t>
      </w:r>
      <w:r w:rsidR="005F70A4">
        <w:t xml:space="preserve"> were compared to metabolic load derived from heart rate data</w:t>
      </w:r>
      <w:r w:rsidR="008327AA">
        <w:t xml:space="preserve">, which represented overall </w:t>
      </w:r>
      <w:r w:rsidR="00BF7160">
        <w:t>physical exertion</w:t>
      </w:r>
      <w:r w:rsidR="005F70A4">
        <w:t>.</w:t>
      </w:r>
      <w:r w:rsidR="008327AA">
        <w:t xml:space="preserve"> </w:t>
      </w:r>
      <w:r w:rsidR="00BF7160">
        <w:t>This study found s</w:t>
      </w:r>
      <w:r w:rsidR="008327AA">
        <w:t>trong negative correlations between the objective and subjective measures after the workers performed hard work but neither after the light work nor after the break.</w:t>
      </w:r>
      <w:r w:rsidR="005F70A4">
        <w:t xml:space="preserve"> The Borg CR10</w:t>
      </w:r>
      <w:r w:rsidR="008327AA">
        <w:t>, which was expected to indicate local discomfort, was</w:t>
      </w:r>
      <w:r w:rsidR="005F70A4">
        <w:t xml:space="preserve"> compared to the muscle fatigue as </w:t>
      </w:r>
      <w:r w:rsidR="008327AA">
        <w:t xml:space="preserve">characterized </w:t>
      </w:r>
      <w:r w:rsidR="005F70A4">
        <w:t>by EMG at trapezius</w:t>
      </w:r>
      <w:r w:rsidR="008327AA">
        <w:t>. Unlike the results of the correlations between the RPE’s and the cardiovascular load, there was no</w:t>
      </w:r>
      <w:r w:rsidR="00BF7160">
        <w:t xml:space="preserve"> significant</w:t>
      </w:r>
      <w:r w:rsidR="008327AA">
        <w:t xml:space="preserve"> correlation between the Borg CR10 and the EMG. All things considered, objective direct measures could not be replaced by subjective measures according to this study.</w:t>
      </w:r>
    </w:p>
    <w:p w14:paraId="42BAB8CB" w14:textId="38002430" w:rsidR="009C7583" w:rsidRDefault="009C7583" w:rsidP="00A44D59">
      <w:pPr>
        <w:pStyle w:val="Heading2"/>
        <w:spacing w:line="480" w:lineRule="auto"/>
      </w:pPr>
      <w:r>
        <w:t>Reference</w:t>
      </w:r>
    </w:p>
    <w:p w14:paraId="1CA68DE3" w14:textId="0DFC4FD1" w:rsidR="00DC6A2D" w:rsidRPr="00DC6A2D" w:rsidRDefault="009E5669" w:rsidP="00DC6A2D">
      <w:pPr>
        <w:widowControl w:val="0"/>
        <w:autoSpaceDE w:val="0"/>
        <w:autoSpaceDN w:val="0"/>
        <w:adjustRightInd w:val="0"/>
        <w:spacing w:line="48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DC6A2D" w:rsidRPr="00DC6A2D">
        <w:rPr>
          <w:rFonts w:ascii="Calibri" w:hAnsi="Calibri" w:cs="Calibri"/>
          <w:noProof/>
          <w:szCs w:val="24"/>
        </w:rPr>
        <w:t xml:space="preserve">Alka, S., U., S. G., Rajesh, S., &amp; Dinesh, P. (2014). Ergonomic study of farm women during wheat harvesting by improved sickle. </w:t>
      </w:r>
      <w:r w:rsidR="00DC6A2D" w:rsidRPr="00DC6A2D">
        <w:rPr>
          <w:rFonts w:ascii="Calibri" w:hAnsi="Calibri" w:cs="Calibri"/>
          <w:i/>
          <w:iCs/>
          <w:noProof/>
          <w:szCs w:val="24"/>
        </w:rPr>
        <w:t>African Journal of Agricultural Research</w:t>
      </w:r>
      <w:r w:rsidR="00DC6A2D" w:rsidRPr="00DC6A2D">
        <w:rPr>
          <w:rFonts w:ascii="Calibri" w:hAnsi="Calibri" w:cs="Calibri"/>
          <w:noProof/>
          <w:szCs w:val="24"/>
        </w:rPr>
        <w:t xml:space="preserve">, </w:t>
      </w:r>
      <w:r w:rsidR="00DC6A2D" w:rsidRPr="00DC6A2D">
        <w:rPr>
          <w:rFonts w:ascii="Calibri" w:hAnsi="Calibri" w:cs="Calibri"/>
          <w:i/>
          <w:iCs/>
          <w:noProof/>
          <w:szCs w:val="24"/>
        </w:rPr>
        <w:t>9</w:t>
      </w:r>
      <w:r w:rsidR="00DC6A2D" w:rsidRPr="00DC6A2D">
        <w:rPr>
          <w:rFonts w:ascii="Calibri" w:hAnsi="Calibri" w:cs="Calibri"/>
          <w:noProof/>
          <w:szCs w:val="24"/>
        </w:rPr>
        <w:t>(18), 1386–1390. https://doi.org/10.5897/AJAR2013.7956</w:t>
      </w:r>
    </w:p>
    <w:p w14:paraId="3C9DF70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Bangaru, S. S., Wang, C., Busam, S. A., &amp; Aghazadeh, F. (2021). ANN-based automated scaffold builder activity recognition through wearable EMG and IMU sensors. </w:t>
      </w:r>
      <w:r w:rsidRPr="00DC6A2D">
        <w:rPr>
          <w:rFonts w:ascii="Calibri" w:hAnsi="Calibri" w:cs="Calibri"/>
          <w:i/>
          <w:iCs/>
          <w:noProof/>
          <w:szCs w:val="24"/>
        </w:rPr>
        <w:t>Automation in Construction</w:t>
      </w:r>
      <w:r w:rsidRPr="00DC6A2D">
        <w:rPr>
          <w:rFonts w:ascii="Calibri" w:hAnsi="Calibri" w:cs="Calibri"/>
          <w:noProof/>
          <w:szCs w:val="24"/>
        </w:rPr>
        <w:t xml:space="preserve">, </w:t>
      </w:r>
      <w:r w:rsidRPr="00DC6A2D">
        <w:rPr>
          <w:rFonts w:ascii="Calibri" w:hAnsi="Calibri" w:cs="Calibri"/>
          <w:i/>
          <w:iCs/>
          <w:noProof/>
          <w:szCs w:val="24"/>
        </w:rPr>
        <w:t>126</w:t>
      </w:r>
      <w:r w:rsidRPr="00DC6A2D">
        <w:rPr>
          <w:rFonts w:ascii="Calibri" w:hAnsi="Calibri" w:cs="Calibri"/>
          <w:noProof/>
          <w:szCs w:val="24"/>
        </w:rPr>
        <w:t>, 103653. https://doi.org/10.1016/j.autcon.2021.103653</w:t>
      </w:r>
    </w:p>
    <w:p w14:paraId="1319F4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Bedny, G. Z., Karwowski, W., &amp; Seglin, M. H. (2001). A Heart Rate Evaluation Approach to Determine Cost-Effectiveness an Ergonomics Intervention. </w:t>
      </w:r>
      <w:r w:rsidRPr="00DC6A2D">
        <w:rPr>
          <w:rFonts w:ascii="Calibri" w:hAnsi="Calibri" w:cs="Calibri"/>
          <w:i/>
          <w:iCs/>
          <w:noProof/>
          <w:szCs w:val="24"/>
        </w:rPr>
        <w:t>International Journal of Occupational Safety and Ergonomics</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(2), 121–133. https://doi.org/10.1080/10803548.2001.11076481</w:t>
      </w:r>
    </w:p>
    <w:p w14:paraId="65CF28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(1970). Perceived exertion as an indicator of somatic stress. </w:t>
      </w:r>
      <w:r w:rsidRPr="00DC6A2D">
        <w:rPr>
          <w:rFonts w:ascii="Calibri" w:hAnsi="Calibri" w:cs="Calibri"/>
          <w:i/>
          <w:iCs/>
          <w:noProof/>
          <w:szCs w:val="24"/>
        </w:rPr>
        <w:t>Scandinavian Journal of Rehabilitation Medicine</w:t>
      </w:r>
      <w:r w:rsidRPr="00DC6A2D">
        <w:rPr>
          <w:rFonts w:ascii="Calibri" w:hAnsi="Calibri" w:cs="Calibri"/>
          <w:noProof/>
          <w:szCs w:val="24"/>
        </w:rPr>
        <w:t xml:space="preserve">, </w:t>
      </w:r>
      <w:r w:rsidRPr="00DC6A2D">
        <w:rPr>
          <w:rFonts w:ascii="Calibri" w:hAnsi="Calibri" w:cs="Calibri"/>
          <w:i/>
          <w:iCs/>
          <w:noProof/>
          <w:szCs w:val="24"/>
        </w:rPr>
        <w:t>2</w:t>
      </w:r>
      <w:r w:rsidRPr="00DC6A2D">
        <w:rPr>
          <w:rFonts w:ascii="Calibri" w:hAnsi="Calibri" w:cs="Calibri"/>
          <w:noProof/>
          <w:szCs w:val="24"/>
        </w:rPr>
        <w:t>, 92–98. https://doi.org/S/N</w:t>
      </w:r>
    </w:p>
    <w:p w14:paraId="574798B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Borg, G. A. (1982). Psychophysical bases of perceived exertion. </w:t>
      </w:r>
      <w:r w:rsidRPr="00DC6A2D">
        <w:rPr>
          <w:rFonts w:ascii="Calibri" w:hAnsi="Calibri" w:cs="Calibri"/>
          <w:i/>
          <w:iCs/>
          <w:noProof/>
          <w:szCs w:val="24"/>
        </w:rPr>
        <w:t>Medicine and Science in Sports and Exercise</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 377–381. https://doi.org/10.1249/00005768-198205000-00012</w:t>
      </w:r>
    </w:p>
    <w:p w14:paraId="70BB1F56"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Caballero, Y., Ando, T. J., Nakae, S., Usui, C., Aoyama, T., Nakanishi, M., Nagayoshi, S., Fujiwara, Y., &amp; Tanaka, S. (2019). Simple Prediction of Metabolic Equivalents of Daily Activities Using Heart Rate Monitor without Calibration of Individuals.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216. https://doi.org/10.3390/ijerph17010216</w:t>
      </w:r>
    </w:p>
    <w:p w14:paraId="55AE2B8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Cabral, L. L., Nakamura, F. Y., Stefanello, J. M. F., Pessoa, L. C. V., Smirmaul, B. P. C., &amp; Pereira, G. (2020). Initial Validity and Reliability of the Portuguese Borg Rating of Perceived Exertion 6-20 Scale. </w:t>
      </w:r>
      <w:r w:rsidRPr="00DC6A2D">
        <w:rPr>
          <w:rFonts w:ascii="Calibri" w:hAnsi="Calibri" w:cs="Calibri"/>
          <w:i/>
          <w:iCs/>
          <w:noProof/>
          <w:szCs w:val="24"/>
        </w:rPr>
        <w:t>Measurement in Physical Education and Exercise Science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(2), 103–114. https://doi.org/10.1080/1091367X.2019.1710709</w:t>
      </w:r>
    </w:p>
    <w:p w14:paraId="15C92C5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Castillo, F., Mora, A. M., Kayser, G. L., Vanos, J., Hyland, C., Yang, A. R., &amp; Eskenazi, B. (2021). Environmental Health Threats to Latino Migrant Farmworkers. </w:t>
      </w:r>
      <w:r w:rsidRPr="00DC6A2D">
        <w:rPr>
          <w:rFonts w:ascii="Calibri" w:hAnsi="Calibri" w:cs="Calibri"/>
          <w:i/>
          <w:iCs/>
          <w:noProof/>
          <w:szCs w:val="24"/>
        </w:rPr>
        <w:t>Annual Review of Public Health</w:t>
      </w:r>
      <w:r w:rsidRPr="00DC6A2D">
        <w:rPr>
          <w:rFonts w:ascii="Calibri" w:hAnsi="Calibri" w:cs="Calibri"/>
          <w:noProof/>
          <w:szCs w:val="24"/>
        </w:rPr>
        <w:t xml:space="preserve">, </w:t>
      </w:r>
      <w:r w:rsidRPr="00DC6A2D">
        <w:rPr>
          <w:rFonts w:ascii="Calibri" w:hAnsi="Calibri" w:cs="Calibri"/>
          <w:i/>
          <w:iCs/>
          <w:noProof/>
          <w:szCs w:val="24"/>
        </w:rPr>
        <w:t>42</w:t>
      </w:r>
      <w:r w:rsidRPr="00DC6A2D">
        <w:rPr>
          <w:rFonts w:ascii="Calibri" w:hAnsi="Calibri" w:cs="Calibri"/>
          <w:noProof/>
          <w:szCs w:val="24"/>
        </w:rPr>
        <w:t>(1), 257–276. https://doi.org/10.1146/annurev-publhealth-012420-105014</w:t>
      </w:r>
    </w:p>
    <w:p w14:paraId="61B7E6D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Clouser, J. M., Bush, A., Gan, W., &amp; Swanberg, J. (2018). Associations of Work Stress, Supervisor Unfairness, and Supervisor Inability to Speak Spanish with Occupational Injury among Latino Farmworkers. </w:t>
      </w:r>
      <w:r w:rsidRPr="00DC6A2D">
        <w:rPr>
          <w:rFonts w:ascii="Calibri" w:hAnsi="Calibri" w:cs="Calibri"/>
          <w:i/>
          <w:iCs/>
          <w:noProof/>
          <w:szCs w:val="24"/>
        </w:rPr>
        <w:t>Journal of Immigrant and Minority Health</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(4), 894–901. https://doi.org/10.1007/s10903-017-0617-1</w:t>
      </w:r>
    </w:p>
    <w:p w14:paraId="671EC38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Cooper, S., Burau, K., Frankowski, R., Shipp, E., Ddeljunco, D., Whitworth, R., Sweeney, A., Macnaughton, N., Wellor, N., &amp; Hanis, C. (2006). A Cohort Study of Injuries in Migrant Farm Worker Families in South Texas. </w:t>
      </w:r>
      <w:r w:rsidRPr="00DC6A2D">
        <w:rPr>
          <w:rFonts w:ascii="Calibri" w:hAnsi="Calibri" w:cs="Calibri"/>
          <w:i/>
          <w:iCs/>
          <w:noProof/>
          <w:szCs w:val="24"/>
        </w:rPr>
        <w:t>Annals of Epidemiology</w:t>
      </w:r>
      <w:r w:rsidRPr="00DC6A2D">
        <w:rPr>
          <w:rFonts w:ascii="Calibri" w:hAnsi="Calibri" w:cs="Calibri"/>
          <w:noProof/>
          <w:szCs w:val="24"/>
        </w:rPr>
        <w:t xml:space="preserve">, </w:t>
      </w:r>
      <w:r w:rsidRPr="00DC6A2D">
        <w:rPr>
          <w:rFonts w:ascii="Calibri" w:hAnsi="Calibri" w:cs="Calibri"/>
          <w:i/>
          <w:iCs/>
          <w:noProof/>
          <w:szCs w:val="24"/>
        </w:rPr>
        <w:t>16</w:t>
      </w:r>
      <w:r w:rsidRPr="00DC6A2D">
        <w:rPr>
          <w:rFonts w:ascii="Calibri" w:hAnsi="Calibri" w:cs="Calibri"/>
          <w:noProof/>
          <w:szCs w:val="24"/>
        </w:rPr>
        <w:t>(4), 313–320. https://doi.org/10.1016/j.annepidem.2005.04.004</w:t>
      </w:r>
    </w:p>
    <w:p w14:paraId="223F1511"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Cristi-Montero, C. (2016). Considerations regarding the use of metabolic equivalents when prescribing exercise for health: preventive medicine in practice. </w:t>
      </w:r>
      <w:r w:rsidRPr="00DC6A2D">
        <w:rPr>
          <w:rFonts w:ascii="Calibri" w:hAnsi="Calibri" w:cs="Calibri"/>
          <w:i/>
          <w:iCs/>
          <w:noProof/>
          <w:szCs w:val="24"/>
        </w:rPr>
        <w:t>The Physician and Sportsmedicine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(2), 109–111. https://doi.org/10.1080/00913847.2016.1158624</w:t>
      </w:r>
    </w:p>
    <w:p w14:paraId="6917E18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Cunha, F. A. da, Farinatti, P. de T. V., &amp; Midgley, A. W. (2011). Methodological and practical application issues in exercise prescription using the heart rate reserve and oxygen uptake reserve methods. </w:t>
      </w:r>
      <w:r w:rsidRPr="00DC6A2D">
        <w:rPr>
          <w:rFonts w:ascii="Calibri" w:hAnsi="Calibri" w:cs="Calibri"/>
          <w:i/>
          <w:iCs/>
          <w:noProof/>
          <w:szCs w:val="24"/>
        </w:rPr>
        <w:t>Journal of Science and Medicine in Sport</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(1), 46–57. https://doi.org/10.1016/j.jsams.2010.07.008</w:t>
      </w:r>
    </w:p>
    <w:p w14:paraId="5434B6C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 J. Shah, E. M. Shipp, S. P. Cooper, J. C. Huber, D. J. del Junco, A. A. Rene, &amp; J. S. Moore. (2009). Hand Problems in Migrant Farmworkers. </w:t>
      </w:r>
      <w:r w:rsidRPr="00DC6A2D">
        <w:rPr>
          <w:rFonts w:ascii="Calibri" w:hAnsi="Calibri" w:cs="Calibri"/>
          <w:i/>
          <w:iCs/>
          <w:noProof/>
          <w:szCs w:val="24"/>
        </w:rPr>
        <w:t>Journal of Agricultural Safety and Health</w:t>
      </w:r>
      <w:r w:rsidRPr="00DC6A2D">
        <w:rPr>
          <w:rFonts w:ascii="Calibri" w:hAnsi="Calibri" w:cs="Calibri"/>
          <w:noProof/>
          <w:szCs w:val="24"/>
        </w:rPr>
        <w:t xml:space="preserve">, </w:t>
      </w:r>
      <w:r w:rsidRPr="00DC6A2D">
        <w:rPr>
          <w:rFonts w:ascii="Calibri" w:hAnsi="Calibri" w:cs="Calibri"/>
          <w:i/>
          <w:iCs/>
          <w:noProof/>
          <w:szCs w:val="24"/>
        </w:rPr>
        <w:t>15</w:t>
      </w:r>
      <w:r w:rsidRPr="00DC6A2D">
        <w:rPr>
          <w:rFonts w:ascii="Calibri" w:hAnsi="Calibri" w:cs="Calibri"/>
          <w:noProof/>
          <w:szCs w:val="24"/>
        </w:rPr>
        <w:t>(2), 157–169. https://doi.org/10.13031/2013.26802</w:t>
      </w:r>
    </w:p>
    <w:p w14:paraId="055531B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Das, B., Ghosh, T., &amp; Gangopadhyay, S. (2013). Child Work in Agriculture in West Bengal, India: Assessment of Musculoskeletal Disorders and Occupational Health Problems. </w:t>
      </w:r>
      <w:r w:rsidRPr="00DC6A2D">
        <w:rPr>
          <w:rFonts w:ascii="Calibri" w:hAnsi="Calibri" w:cs="Calibri"/>
          <w:i/>
          <w:iCs/>
          <w:noProof/>
          <w:szCs w:val="24"/>
        </w:rPr>
        <w:t>Journal of Occupational Health</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(4), 244–258. https://doi.org/10.1539/joh.12-0185-OA</w:t>
      </w:r>
    </w:p>
    <w:p w14:paraId="305FD94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Dedering, Å., Németh, G., &amp; Harms-Ringdahl, K. (1999). Correlation between electromyographic spectral changes and subjective assessment of lumbar muscle fatigue in subjects without pain from the lower back. </w:t>
      </w:r>
      <w:r w:rsidRPr="00DC6A2D">
        <w:rPr>
          <w:rFonts w:ascii="Calibri" w:hAnsi="Calibri" w:cs="Calibri"/>
          <w:i/>
          <w:iCs/>
          <w:noProof/>
          <w:szCs w:val="24"/>
        </w:rPr>
        <w:t>Clinical Biomechanics</w:t>
      </w:r>
      <w:r w:rsidRPr="00DC6A2D">
        <w:rPr>
          <w:rFonts w:ascii="Calibri" w:hAnsi="Calibri" w:cs="Calibri"/>
          <w:noProof/>
          <w:szCs w:val="24"/>
        </w:rPr>
        <w:t xml:space="preserve">, </w:t>
      </w:r>
      <w:r w:rsidRPr="00DC6A2D">
        <w:rPr>
          <w:rFonts w:ascii="Calibri" w:hAnsi="Calibri" w:cs="Calibri"/>
          <w:i/>
          <w:iCs/>
          <w:noProof/>
          <w:szCs w:val="24"/>
        </w:rPr>
        <w:t>14</w:t>
      </w:r>
      <w:r w:rsidRPr="00DC6A2D">
        <w:rPr>
          <w:rFonts w:ascii="Calibri" w:hAnsi="Calibri" w:cs="Calibri"/>
          <w:noProof/>
          <w:szCs w:val="24"/>
        </w:rPr>
        <w:t>(2), 103–111. https://doi.org/10.1016/S0268-0033(98)00053-9</w:t>
      </w:r>
    </w:p>
    <w:p w14:paraId="6820007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Dewi, N. S., &amp; Komatsuzaki, M. (2018). On-body personal assist suit for commercial farming: Effect on heart rate, EMG, trunk movements, and user acceptance during digging.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68</w:t>
      </w:r>
      <w:r w:rsidRPr="00DC6A2D">
        <w:rPr>
          <w:rFonts w:ascii="Calibri" w:hAnsi="Calibri" w:cs="Calibri"/>
          <w:noProof/>
          <w:szCs w:val="24"/>
        </w:rPr>
        <w:t>, 290–296. https://doi.org/10.1016/j.ergon.2018.08.013</w:t>
      </w:r>
    </w:p>
    <w:p w14:paraId="2EBEB67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Douphrate, D. I., Fethke, N. B., Nonnenmann, M. W., Rodriguez, A., Hagevoort, R., &amp; Gimeno Ruiz de Porras, D. (2017). Full-shift and task-specific upper extremity muscle activity among US large-herd dairy parlour workers. </w:t>
      </w:r>
      <w:r w:rsidRPr="00DC6A2D">
        <w:rPr>
          <w:rFonts w:ascii="Calibri" w:hAnsi="Calibri" w:cs="Calibri"/>
          <w:i/>
          <w:iCs/>
          <w:noProof/>
          <w:szCs w:val="24"/>
        </w:rPr>
        <w:t>Ergonomics</w:t>
      </w:r>
      <w:r w:rsidRPr="00DC6A2D">
        <w:rPr>
          <w:rFonts w:ascii="Calibri" w:hAnsi="Calibri" w:cs="Calibri"/>
          <w:noProof/>
          <w:szCs w:val="24"/>
        </w:rPr>
        <w:t>. https://doi.org/10.1080/00140139.2016.1262464</w:t>
      </w:r>
    </w:p>
    <w:p w14:paraId="656BAA6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Evans, S. A., James, D. A., Rowlands, D., &amp; Lee, J. B. (2022). Impact of Centre-of-Mass Acceleration on Perceived Exertion, the Metabolic Equivalent and Heart Rate Reserve in Triathlete Spin Cycling: A Pilot Study. </w:t>
      </w:r>
      <w:r w:rsidRPr="00DC6A2D">
        <w:rPr>
          <w:rFonts w:ascii="Calibri" w:hAnsi="Calibri" w:cs="Calibri"/>
          <w:i/>
          <w:iCs/>
          <w:noProof/>
          <w:szCs w:val="24"/>
        </w:rPr>
        <w:t>Journal of Human Kinetics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(1), 41–52. https://doi.org/10.2478/hukin-2022-0004</w:t>
      </w:r>
    </w:p>
    <w:p w14:paraId="6E753F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Fethke, N. B., Schall, M. C., Chen, H., Branch, C. A., &amp; Merlino, L. A. (2020). Biomechanical factors during common agricultural activities: Results of on-farm exposure assessments using direct measurement methods.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(2–3), 85–96. https://doi.org/10.1080/15459624.2020.1717502</w:t>
      </w:r>
    </w:p>
    <w:p w14:paraId="2305BB0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Groenesteijn, L., Eikhout, S. M., &amp; Vink, P. (2004). One set of pliers for more tasks in installation work: the effects on (dis)comfort and productivity.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35</w:t>
      </w:r>
      <w:r w:rsidRPr="00DC6A2D">
        <w:rPr>
          <w:rFonts w:ascii="Calibri" w:hAnsi="Calibri" w:cs="Calibri"/>
          <w:noProof/>
          <w:szCs w:val="24"/>
        </w:rPr>
        <w:t>(5), 485–492. https://doi.org/10.1016/j.apergo.2004.03.010</w:t>
      </w:r>
    </w:p>
    <w:p w14:paraId="2DE4C40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Haddad, M., Chaouachi, A., Castagna, C., Hue, O., Wong, D. P., Tabben, M., Behm, D. G., &amp; Chamari, K. (2013). Validity and psychometric evaluation of the French version of RPE scale in young fit males when monitoring training loads. </w:t>
      </w:r>
      <w:r w:rsidRPr="00DC6A2D">
        <w:rPr>
          <w:rFonts w:ascii="Calibri" w:hAnsi="Calibri" w:cs="Calibri"/>
          <w:i/>
          <w:iCs/>
          <w:noProof/>
          <w:szCs w:val="24"/>
        </w:rPr>
        <w:t>Science &amp; Sports</w:t>
      </w:r>
      <w:r w:rsidRPr="00DC6A2D">
        <w:rPr>
          <w:rFonts w:ascii="Calibri" w:hAnsi="Calibri" w:cs="Calibri"/>
          <w:noProof/>
          <w:szCs w:val="24"/>
        </w:rPr>
        <w:t xml:space="preserve">, </w:t>
      </w:r>
      <w:r w:rsidRPr="00DC6A2D">
        <w:rPr>
          <w:rFonts w:ascii="Calibri" w:hAnsi="Calibri" w:cs="Calibri"/>
          <w:i/>
          <w:iCs/>
          <w:noProof/>
          <w:szCs w:val="24"/>
        </w:rPr>
        <w:t>28</w:t>
      </w:r>
      <w:r w:rsidRPr="00DC6A2D">
        <w:rPr>
          <w:rFonts w:ascii="Calibri" w:hAnsi="Calibri" w:cs="Calibri"/>
          <w:noProof/>
          <w:szCs w:val="24"/>
        </w:rPr>
        <w:t>(2), e29–e35. https://doi.org/10.1016/j.scispo.2012.07.008</w:t>
      </w:r>
    </w:p>
    <w:p w14:paraId="3C40004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Hägg, G. M., Luttmann, A., &amp; Jäger, M. (2000). Methodologies for evaluating electromyographic field data in ergonomics. </w:t>
      </w:r>
      <w:r w:rsidRPr="00DC6A2D">
        <w:rPr>
          <w:rFonts w:ascii="Calibri" w:hAnsi="Calibri" w:cs="Calibri"/>
          <w:i/>
          <w:iCs/>
          <w:noProof/>
          <w:szCs w:val="24"/>
        </w:rPr>
        <w:t>Journal of Electromyography and Kinesiology</w:t>
      </w:r>
      <w:r w:rsidRPr="00DC6A2D">
        <w:rPr>
          <w:rFonts w:ascii="Calibri" w:hAnsi="Calibri" w:cs="Calibri"/>
          <w:noProof/>
          <w:szCs w:val="24"/>
        </w:rPr>
        <w:t xml:space="preserve">, </w:t>
      </w:r>
      <w:r w:rsidRPr="00DC6A2D">
        <w:rPr>
          <w:rFonts w:ascii="Calibri" w:hAnsi="Calibri" w:cs="Calibri"/>
          <w:i/>
          <w:iCs/>
          <w:noProof/>
          <w:szCs w:val="24"/>
        </w:rPr>
        <w:t>10</w:t>
      </w:r>
      <w:r w:rsidRPr="00DC6A2D">
        <w:rPr>
          <w:rFonts w:ascii="Calibri" w:hAnsi="Calibri" w:cs="Calibri"/>
          <w:noProof/>
          <w:szCs w:val="24"/>
        </w:rPr>
        <w:t>(5), 301–312. https://doi.org/10.1016/S1050-6411(00)00022-5</w:t>
      </w:r>
    </w:p>
    <w:p w14:paraId="7E577A2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Haskel, W. L., Lee, I.-M., Pate, R. R., Powell, K. E., Blair, S. N., Franklin, B. A., Macera, C. A., Heath, G. W., Thompson, P. D., &amp; Bauman, A. (2007). Physical Activity and Public Health. </w:t>
      </w:r>
      <w:r w:rsidRPr="00DC6A2D">
        <w:rPr>
          <w:rFonts w:ascii="Calibri" w:hAnsi="Calibri" w:cs="Calibri"/>
          <w:i/>
          <w:iCs/>
          <w:noProof/>
          <w:szCs w:val="24"/>
        </w:rPr>
        <w:t>Medicine &amp; Science in Sports &amp; Exercise</w:t>
      </w:r>
      <w:r w:rsidRPr="00DC6A2D">
        <w:rPr>
          <w:rFonts w:ascii="Calibri" w:hAnsi="Calibri" w:cs="Calibri"/>
          <w:noProof/>
          <w:szCs w:val="24"/>
        </w:rPr>
        <w:t xml:space="preserve">, </w:t>
      </w:r>
      <w:r w:rsidRPr="00DC6A2D">
        <w:rPr>
          <w:rFonts w:ascii="Calibri" w:hAnsi="Calibri" w:cs="Calibri"/>
          <w:i/>
          <w:iCs/>
          <w:noProof/>
          <w:szCs w:val="24"/>
        </w:rPr>
        <w:t>39</w:t>
      </w:r>
      <w:r w:rsidRPr="00DC6A2D">
        <w:rPr>
          <w:rFonts w:ascii="Calibri" w:hAnsi="Calibri" w:cs="Calibri"/>
          <w:noProof/>
          <w:szCs w:val="24"/>
        </w:rPr>
        <w:t>(8), 1423–1434. https://doi.org/10.1249/mss.0b013e3180616b27</w:t>
      </w:r>
    </w:p>
    <w:p w14:paraId="7CF7477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Hiilloskorpi, Fogelholm, Laukkanen, Pasanen, Oja, Mänttäri, &amp; Natri. (1999). Factors Affecting the Relation Between Heart Rate and Energy Expenditure During Exercise. </w:t>
      </w:r>
      <w:r w:rsidRPr="00DC6A2D">
        <w:rPr>
          <w:rFonts w:ascii="Calibri" w:hAnsi="Calibri" w:cs="Calibri"/>
          <w:i/>
          <w:iCs/>
          <w:noProof/>
          <w:szCs w:val="24"/>
        </w:rPr>
        <w:t>International Journal of Sports Medicine</w:t>
      </w:r>
      <w:r w:rsidRPr="00DC6A2D">
        <w:rPr>
          <w:rFonts w:ascii="Calibri" w:hAnsi="Calibri" w:cs="Calibri"/>
          <w:noProof/>
          <w:szCs w:val="24"/>
        </w:rPr>
        <w:t xml:space="preserve">, </w:t>
      </w:r>
      <w:r w:rsidRPr="00DC6A2D">
        <w:rPr>
          <w:rFonts w:ascii="Calibri" w:hAnsi="Calibri" w:cs="Calibri"/>
          <w:i/>
          <w:iCs/>
          <w:noProof/>
          <w:szCs w:val="24"/>
        </w:rPr>
        <w:t>20</w:t>
      </w:r>
      <w:r w:rsidRPr="00DC6A2D">
        <w:rPr>
          <w:rFonts w:ascii="Calibri" w:hAnsi="Calibri" w:cs="Calibri"/>
          <w:noProof/>
          <w:szCs w:val="24"/>
        </w:rPr>
        <w:t>(7), 438–443. https://doi.org/10.1055/s-1999-8829</w:t>
      </w:r>
    </w:p>
    <w:p w14:paraId="357DC41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Huang, D.-H., &amp; Chiou, W.-K. (2013). Validation of a facial pictorial rating of perceived exertion scale for evaluating physical tasks. </w:t>
      </w:r>
      <w:r w:rsidRPr="00DC6A2D">
        <w:rPr>
          <w:rFonts w:ascii="Calibri" w:hAnsi="Calibri" w:cs="Calibri"/>
          <w:i/>
          <w:iCs/>
          <w:noProof/>
          <w:szCs w:val="24"/>
        </w:rPr>
        <w:t>Journal of Industrial and Production Engineering</w:t>
      </w:r>
      <w:r w:rsidRPr="00DC6A2D">
        <w:rPr>
          <w:rFonts w:ascii="Calibri" w:hAnsi="Calibri" w:cs="Calibri"/>
          <w:noProof/>
          <w:szCs w:val="24"/>
        </w:rPr>
        <w:t xml:space="preserve">, </w:t>
      </w:r>
      <w:r w:rsidRPr="00DC6A2D">
        <w:rPr>
          <w:rFonts w:ascii="Calibri" w:hAnsi="Calibri" w:cs="Calibri"/>
          <w:i/>
          <w:iCs/>
          <w:noProof/>
          <w:szCs w:val="24"/>
        </w:rPr>
        <w:t>30</w:t>
      </w:r>
      <w:r w:rsidRPr="00DC6A2D">
        <w:rPr>
          <w:rFonts w:ascii="Calibri" w:hAnsi="Calibri" w:cs="Calibri"/>
          <w:noProof/>
          <w:szCs w:val="24"/>
        </w:rPr>
        <w:t>(2), 125–131. https://doi.org/10.1080/21681015.2013.788079</w:t>
      </w:r>
    </w:p>
    <w:p w14:paraId="34D8D683"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Hummel, A., Läubli, T., Pozzo, M., Schenk, P., Spillmann, S., &amp; Klipstein, A. (2005). Relationship between perceived exertion and mean power frequency of the EMG signal from the upper trapezius muscle during isometric shoulder elevation.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95</w:t>
      </w:r>
      <w:r w:rsidRPr="00DC6A2D">
        <w:rPr>
          <w:rFonts w:ascii="Calibri" w:hAnsi="Calibri" w:cs="Calibri"/>
          <w:noProof/>
          <w:szCs w:val="24"/>
        </w:rPr>
        <w:t>(4), 321–326. https://doi.org/10.1007/s00421-005-0014-7</w:t>
      </w:r>
    </w:p>
    <w:p w14:paraId="7DAA3AD9"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Kankaanpaa, M., Taimela, S., Webber, C. L., Airaksinen, O., &amp; Hanninen, O. (1997). Lumbar paraspinal muscle fatigability in repetitive isoinertial loading: EMG spectral indices, Borg scale and endurance time. </w:t>
      </w:r>
      <w:r w:rsidRPr="00DC6A2D">
        <w:rPr>
          <w:rFonts w:ascii="Calibri" w:hAnsi="Calibri" w:cs="Calibri"/>
          <w:i/>
          <w:iCs/>
          <w:noProof/>
          <w:szCs w:val="24"/>
        </w:rPr>
        <w:t>European Journal of Applied Physiology</w:t>
      </w:r>
      <w:r w:rsidRPr="00DC6A2D">
        <w:rPr>
          <w:rFonts w:ascii="Calibri" w:hAnsi="Calibri" w:cs="Calibri"/>
          <w:noProof/>
          <w:szCs w:val="24"/>
        </w:rPr>
        <w:t xml:space="preserve">, </w:t>
      </w:r>
      <w:r w:rsidRPr="00DC6A2D">
        <w:rPr>
          <w:rFonts w:ascii="Calibri" w:hAnsi="Calibri" w:cs="Calibri"/>
          <w:i/>
          <w:iCs/>
          <w:noProof/>
          <w:szCs w:val="24"/>
        </w:rPr>
        <w:t>76</w:t>
      </w:r>
      <w:r w:rsidRPr="00DC6A2D">
        <w:rPr>
          <w:rFonts w:ascii="Calibri" w:hAnsi="Calibri" w:cs="Calibri"/>
          <w:noProof/>
          <w:szCs w:val="24"/>
        </w:rPr>
        <w:t>(3), 236–242. https://doi.org/10.1007/s004210050242</w:t>
      </w:r>
    </w:p>
    <w:p w14:paraId="06A0A02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Keytel, L. R., Goedecke, J. H., Noakes, T. D., Hiiloskorpi, H., Laukkanen, R., van der Merwe, L., &amp; Lambert, E. V. (2005). Prediction of energy expenditure from heart rate monitoring during submaximal exercise. </w:t>
      </w:r>
      <w:r w:rsidRPr="00DC6A2D">
        <w:rPr>
          <w:rFonts w:ascii="Calibri" w:hAnsi="Calibri" w:cs="Calibri"/>
          <w:i/>
          <w:iCs/>
          <w:noProof/>
          <w:szCs w:val="24"/>
        </w:rPr>
        <w:t>Journal of Sports Sciences</w:t>
      </w:r>
      <w:r w:rsidRPr="00DC6A2D">
        <w:rPr>
          <w:rFonts w:ascii="Calibri" w:hAnsi="Calibri" w:cs="Calibri"/>
          <w:noProof/>
          <w:szCs w:val="24"/>
        </w:rPr>
        <w:t>. https://doi.org/10.1080/02640410470001730089</w:t>
      </w:r>
    </w:p>
    <w:p w14:paraId="5B2DB63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(2014). The effect of key size of touch screen virtual keyboards on productivity, usability, and typing biomechanics. </w:t>
      </w:r>
      <w:r w:rsidRPr="00DC6A2D">
        <w:rPr>
          <w:rFonts w:ascii="Calibri" w:hAnsi="Calibri" w:cs="Calibri"/>
          <w:i/>
          <w:iCs/>
          <w:noProof/>
          <w:szCs w:val="24"/>
        </w:rPr>
        <w:t>Human Factors</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(7), 1235–1248. https://doi.org/10.1177/0018720814531784</w:t>
      </w:r>
    </w:p>
    <w:p w14:paraId="03B51E7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Kim, J. H., Aulck, L., Thamsuwan, O., Bartha, M. C., &amp; Johnson, P. W. (2013). The effects of virtual keyboard key sizes on typing productivity and physical exposures. </w:t>
      </w:r>
      <w:r w:rsidRPr="00DC6A2D">
        <w:rPr>
          <w:rFonts w:ascii="Calibri" w:hAnsi="Calibri" w:cs="Calibri"/>
          <w:i/>
          <w:iCs/>
          <w:noProof/>
          <w:szCs w:val="24"/>
        </w:rPr>
        <w:t>Proceedings of the Human Factors and Ergonomics Society</w:t>
      </w:r>
      <w:r w:rsidRPr="00DC6A2D">
        <w:rPr>
          <w:rFonts w:ascii="Calibri" w:hAnsi="Calibri" w:cs="Calibri"/>
          <w:noProof/>
          <w:szCs w:val="24"/>
        </w:rPr>
        <w:t>, 887–891. https://doi.org/10.1177/1541931213571193</w:t>
      </w:r>
    </w:p>
    <w:p w14:paraId="565ED96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Kuijt-Evers, L. F. M., Bosch, T., Huysmans, M. A., de Looze, M. P., &amp; Vink, P. (2007). Association between objective and subjective measurements of comfort and discomfort in hand tools.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(5), 643–654. https://doi.org/10.1016/j.apergo.2006.05.004</w:t>
      </w:r>
    </w:p>
    <w:p w14:paraId="0FC72F4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Kung, S. M., Fink, P. W., Legg, S. J., Ali, A., &amp; Shultz, S. P. (2020). Age-Related Differences in Perceived Exertion While Walking and Running Near the Preferred Transition Speed. </w:t>
      </w:r>
      <w:r w:rsidRPr="00DC6A2D">
        <w:rPr>
          <w:rFonts w:ascii="Calibri" w:hAnsi="Calibri" w:cs="Calibri"/>
          <w:i/>
          <w:iCs/>
          <w:noProof/>
          <w:szCs w:val="24"/>
        </w:rPr>
        <w:t>Pediatric Exercise Science</w:t>
      </w:r>
      <w:r w:rsidRPr="00DC6A2D">
        <w:rPr>
          <w:rFonts w:ascii="Calibri" w:hAnsi="Calibri" w:cs="Calibri"/>
          <w:noProof/>
          <w:szCs w:val="24"/>
        </w:rPr>
        <w:t xml:space="preserve">, </w:t>
      </w:r>
      <w:r w:rsidRPr="00DC6A2D">
        <w:rPr>
          <w:rFonts w:ascii="Calibri" w:hAnsi="Calibri" w:cs="Calibri"/>
          <w:i/>
          <w:iCs/>
          <w:noProof/>
          <w:szCs w:val="24"/>
        </w:rPr>
        <w:t>32</w:t>
      </w:r>
      <w:r w:rsidRPr="00DC6A2D">
        <w:rPr>
          <w:rFonts w:ascii="Calibri" w:hAnsi="Calibri" w:cs="Calibri"/>
          <w:noProof/>
          <w:szCs w:val="24"/>
        </w:rPr>
        <w:t>(4), 227–232. https://doi.org/10.1123/pes.2019-0233</w:t>
      </w:r>
    </w:p>
    <w:p w14:paraId="676D1E4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Lea, J. W. D., O’Driscoll, J. M., Hulbert, S., Scales, J., &amp; Wiles, J. D. (2022). Convergent Validity of Ratings of Perceived Exertion During Resistance Exercise in Healthy Participants: A Systematic Review and Meta-Analysis. </w:t>
      </w:r>
      <w:r w:rsidRPr="00DC6A2D">
        <w:rPr>
          <w:rFonts w:ascii="Calibri" w:hAnsi="Calibri" w:cs="Calibri"/>
          <w:i/>
          <w:iCs/>
          <w:noProof/>
          <w:szCs w:val="24"/>
        </w:rPr>
        <w:t>Sports Medicine - Open</w:t>
      </w:r>
      <w:r w:rsidRPr="00DC6A2D">
        <w:rPr>
          <w:rFonts w:ascii="Calibri" w:hAnsi="Calibri" w:cs="Calibri"/>
          <w:noProof/>
          <w:szCs w:val="24"/>
        </w:rPr>
        <w:t xml:space="preserve">, </w:t>
      </w:r>
      <w:r w:rsidRPr="00DC6A2D">
        <w:rPr>
          <w:rFonts w:ascii="Calibri" w:hAnsi="Calibri" w:cs="Calibri"/>
          <w:i/>
          <w:iCs/>
          <w:noProof/>
          <w:szCs w:val="24"/>
        </w:rPr>
        <w:t>8</w:t>
      </w:r>
      <w:r w:rsidRPr="00DC6A2D">
        <w:rPr>
          <w:rFonts w:ascii="Calibri" w:hAnsi="Calibri" w:cs="Calibri"/>
          <w:noProof/>
          <w:szCs w:val="24"/>
        </w:rPr>
        <w:t>(1), 2. https://doi.org/10.1186/s40798-021-00386-8</w:t>
      </w:r>
    </w:p>
    <w:p w14:paraId="602FEDD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Leung, R. W., Leung, M.-L., &amp; Chung, P.-K. (2004). Validity and Reliability of a Cantonese-Translated Rating of Perceived Exertion Scale among Hong Kong Adults. </w:t>
      </w:r>
      <w:r w:rsidRPr="00DC6A2D">
        <w:rPr>
          <w:rFonts w:ascii="Calibri" w:hAnsi="Calibri" w:cs="Calibri"/>
          <w:i/>
          <w:iCs/>
          <w:noProof/>
          <w:szCs w:val="24"/>
        </w:rPr>
        <w:t>Perceptual and Motor Skills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(2), 725–735. https://doi.org/10.2466/pms.98.2.725-735</w:t>
      </w:r>
    </w:p>
    <w:p w14:paraId="29C580EB"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Luttmann, A., Jäger, M., &amp; Laurig, W. (2000). Electromyographical indication of muscular fatigue in occupational field studies. </w:t>
      </w:r>
      <w:r w:rsidRPr="00DC6A2D">
        <w:rPr>
          <w:rFonts w:ascii="Calibri" w:hAnsi="Calibri" w:cs="Calibri"/>
          <w:i/>
          <w:iCs/>
          <w:noProof/>
          <w:szCs w:val="24"/>
        </w:rPr>
        <w:t>International Journal of Industrial Ergonomics</w:t>
      </w:r>
      <w:r w:rsidRPr="00DC6A2D">
        <w:rPr>
          <w:rFonts w:ascii="Calibri" w:hAnsi="Calibri" w:cs="Calibri"/>
          <w:noProof/>
          <w:szCs w:val="24"/>
        </w:rPr>
        <w:t xml:space="preserve">, </w:t>
      </w:r>
      <w:r w:rsidRPr="00DC6A2D">
        <w:rPr>
          <w:rFonts w:ascii="Calibri" w:hAnsi="Calibri" w:cs="Calibri"/>
          <w:i/>
          <w:iCs/>
          <w:noProof/>
          <w:szCs w:val="24"/>
        </w:rPr>
        <w:t>25</w:t>
      </w:r>
      <w:r w:rsidRPr="00DC6A2D">
        <w:rPr>
          <w:rFonts w:ascii="Calibri" w:hAnsi="Calibri" w:cs="Calibri"/>
          <w:noProof/>
          <w:szCs w:val="24"/>
        </w:rPr>
        <w:t>(6), 645–660. https://doi.org/10.1016/S0169-8141(99)00053-0</w:t>
      </w:r>
    </w:p>
    <w:p w14:paraId="18EF89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McCurdy, S. A., Samuels, S. J., Carroll, D. J., Beaumont, J. J., &amp; Morrin, L. A. (2003). Agricultural injury in California migrant Hispanic farm workers.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44</w:t>
      </w:r>
      <w:r w:rsidRPr="00DC6A2D">
        <w:rPr>
          <w:rFonts w:ascii="Calibri" w:hAnsi="Calibri" w:cs="Calibri"/>
          <w:noProof/>
          <w:szCs w:val="24"/>
        </w:rPr>
        <w:t>, 225–235. https://doi.org/10.1002/ajim.10272</w:t>
      </w:r>
    </w:p>
    <w:p w14:paraId="3874C3DE"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McGorry, R. W., Lin, J.-H., Dempsey, P. G., &amp; Casey, J. S. (2010). Accuracy of the Borg CR10 Scale for Estimating Grip Forces Associated with Hand Tool Tasks. </w:t>
      </w:r>
      <w:r w:rsidRPr="00DC6A2D">
        <w:rPr>
          <w:rFonts w:ascii="Calibri" w:hAnsi="Calibri" w:cs="Calibri"/>
          <w:i/>
          <w:iCs/>
          <w:noProof/>
          <w:szCs w:val="24"/>
        </w:rPr>
        <w:t>Journal of Occupational and Environmental Hygiene</w:t>
      </w:r>
      <w:r w:rsidRPr="00DC6A2D">
        <w:rPr>
          <w:rFonts w:ascii="Calibri" w:hAnsi="Calibri" w:cs="Calibri"/>
          <w:noProof/>
          <w:szCs w:val="24"/>
        </w:rPr>
        <w:t xml:space="preserve">, </w:t>
      </w:r>
      <w:r w:rsidRPr="00DC6A2D">
        <w:rPr>
          <w:rFonts w:ascii="Calibri" w:hAnsi="Calibri" w:cs="Calibri"/>
          <w:i/>
          <w:iCs/>
          <w:noProof/>
          <w:szCs w:val="24"/>
        </w:rPr>
        <w:t>7</w:t>
      </w:r>
      <w:r w:rsidRPr="00DC6A2D">
        <w:rPr>
          <w:rFonts w:ascii="Calibri" w:hAnsi="Calibri" w:cs="Calibri"/>
          <w:noProof/>
          <w:szCs w:val="24"/>
        </w:rPr>
        <w:t>(5), 298–306. https://doi.org/10.1080/15459621003711360</w:t>
      </w:r>
    </w:p>
    <w:p w14:paraId="728AFFC0"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Nakanishi, M., Izumi, S., Nagayoshi, S., Kawaguchi, H., Yoshimoto, M., Shiga, T., Ando, T., Nakae, S., Usui, C., Aoyama, T., &amp; Tanaka, S. (2018). Estimating metabolic equivalents for activities in daily life using acceleration and heart rate in wearable devices. </w:t>
      </w:r>
      <w:r w:rsidRPr="00DC6A2D">
        <w:rPr>
          <w:rFonts w:ascii="Calibri" w:hAnsi="Calibri" w:cs="Calibri"/>
          <w:i/>
          <w:iCs/>
          <w:noProof/>
          <w:szCs w:val="24"/>
        </w:rPr>
        <w:t>BioMedical Engineering OnLine</w:t>
      </w:r>
      <w:r w:rsidRPr="00DC6A2D">
        <w:rPr>
          <w:rFonts w:ascii="Calibri" w:hAnsi="Calibri" w:cs="Calibri"/>
          <w:noProof/>
          <w:szCs w:val="24"/>
        </w:rPr>
        <w:t xml:space="preserve">, </w:t>
      </w:r>
      <w:r w:rsidRPr="00DC6A2D">
        <w:rPr>
          <w:rFonts w:ascii="Calibri" w:hAnsi="Calibri" w:cs="Calibri"/>
          <w:i/>
          <w:iCs/>
          <w:noProof/>
          <w:szCs w:val="24"/>
        </w:rPr>
        <w:t>17</w:t>
      </w:r>
      <w:r w:rsidRPr="00DC6A2D">
        <w:rPr>
          <w:rFonts w:ascii="Calibri" w:hAnsi="Calibri" w:cs="Calibri"/>
          <w:noProof/>
          <w:szCs w:val="24"/>
        </w:rPr>
        <w:t>(1), 100. https://doi.org/10.1186/s12938-018-0532-2</w:t>
      </w:r>
    </w:p>
    <w:p w14:paraId="59825C5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Öberg, T., SANDSJö, L., &amp; KADEFORS, R. (1994). Subjective and objective evaluation of shoulder muscle fatigue. </w:t>
      </w:r>
      <w:r w:rsidRPr="00DC6A2D">
        <w:rPr>
          <w:rFonts w:ascii="Calibri" w:hAnsi="Calibri" w:cs="Calibri"/>
          <w:i/>
          <w:iCs/>
          <w:noProof/>
          <w:szCs w:val="24"/>
        </w:rPr>
        <w:t>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(8), 1323–1333. https://doi.org/10.1080/00140139408964911</w:t>
      </w:r>
    </w:p>
    <w:p w14:paraId="791E401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Østensvik, T., Nilsen, P., &amp; Veiersted, K. B. (2008). Muscle Activity Patterns in the Neck and Upper Extremities Among Machine Operators in Different Forest Vehicles. </w:t>
      </w:r>
      <w:r w:rsidRPr="00DC6A2D">
        <w:rPr>
          <w:rFonts w:ascii="Calibri" w:hAnsi="Calibri" w:cs="Calibri"/>
          <w:i/>
          <w:iCs/>
          <w:noProof/>
          <w:szCs w:val="24"/>
        </w:rPr>
        <w:t>International Journal of Forest Engineering</w:t>
      </w:r>
      <w:r w:rsidRPr="00DC6A2D">
        <w:rPr>
          <w:rFonts w:ascii="Calibri" w:hAnsi="Calibri" w:cs="Calibri"/>
          <w:noProof/>
          <w:szCs w:val="24"/>
        </w:rPr>
        <w:t xml:space="preserve">, </w:t>
      </w:r>
      <w:r w:rsidRPr="00DC6A2D">
        <w:rPr>
          <w:rFonts w:ascii="Calibri" w:hAnsi="Calibri" w:cs="Calibri"/>
          <w:i/>
          <w:iCs/>
          <w:noProof/>
          <w:szCs w:val="24"/>
        </w:rPr>
        <w:t>19</w:t>
      </w:r>
      <w:r w:rsidRPr="00DC6A2D">
        <w:rPr>
          <w:rFonts w:ascii="Calibri" w:hAnsi="Calibri" w:cs="Calibri"/>
          <w:noProof/>
          <w:szCs w:val="24"/>
        </w:rPr>
        <w:t>(2), 11–20. https://doi.org/10.1080/14942119.2008.10702563</w:t>
      </w:r>
    </w:p>
    <w:p w14:paraId="188E7AB2"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Panikkar, B., &amp; Barrett, M.-K. (2021). Precarious Essential Work, Immigrant Dairy Farmworkers, and Occupational Health Experiences in Vermont. </w:t>
      </w:r>
      <w:r w:rsidRPr="00DC6A2D">
        <w:rPr>
          <w:rFonts w:ascii="Calibri" w:hAnsi="Calibri" w:cs="Calibri"/>
          <w:i/>
          <w:iCs/>
          <w:noProof/>
          <w:szCs w:val="24"/>
        </w:rPr>
        <w:t>International Journal of Environmental Research and Public Health</w:t>
      </w:r>
      <w:r w:rsidRPr="00DC6A2D">
        <w:rPr>
          <w:rFonts w:ascii="Calibri" w:hAnsi="Calibri" w:cs="Calibri"/>
          <w:noProof/>
          <w:szCs w:val="24"/>
        </w:rPr>
        <w:t xml:space="preserve">, </w:t>
      </w:r>
      <w:r w:rsidRPr="00DC6A2D">
        <w:rPr>
          <w:rFonts w:ascii="Calibri" w:hAnsi="Calibri" w:cs="Calibri"/>
          <w:i/>
          <w:iCs/>
          <w:noProof/>
          <w:szCs w:val="24"/>
        </w:rPr>
        <w:t>18</w:t>
      </w:r>
      <w:r w:rsidRPr="00DC6A2D">
        <w:rPr>
          <w:rFonts w:ascii="Calibri" w:hAnsi="Calibri" w:cs="Calibri"/>
          <w:noProof/>
          <w:szCs w:val="24"/>
        </w:rPr>
        <w:t>(7), 3675. https://doi.org/10.3390/ijerph18073675</w:t>
      </w:r>
    </w:p>
    <w:p w14:paraId="2D05B058"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Reid, A., &amp; Schenker, M. B. (2016). Hired farmworkers in the US: Demographics, work organisation, and services.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59</w:t>
      </w:r>
      <w:r w:rsidRPr="00DC6A2D">
        <w:rPr>
          <w:rFonts w:ascii="Calibri" w:hAnsi="Calibri" w:cs="Calibri"/>
          <w:noProof/>
          <w:szCs w:val="24"/>
        </w:rPr>
        <w:t>(8), 644–655. https://doi.org/10.1002/ajim.22613</w:t>
      </w:r>
    </w:p>
    <w:p w14:paraId="4E4AE3DA"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Sahu, S., Sett, M., &amp; Kjellstrom, T. (2013). Heat Exposure, Cardiovascular Stress and Work Productivity in Rice Harvesters in India: Implications for a Climate Change Future. </w:t>
      </w:r>
      <w:r w:rsidRPr="00DC6A2D">
        <w:rPr>
          <w:rFonts w:ascii="Calibri" w:hAnsi="Calibri" w:cs="Calibri"/>
          <w:i/>
          <w:iCs/>
          <w:noProof/>
          <w:szCs w:val="24"/>
        </w:rPr>
        <w:t>Industrial Health</w:t>
      </w:r>
      <w:r w:rsidRPr="00DC6A2D">
        <w:rPr>
          <w:rFonts w:ascii="Calibri" w:hAnsi="Calibri" w:cs="Calibri"/>
          <w:noProof/>
          <w:szCs w:val="24"/>
        </w:rPr>
        <w:t xml:space="preserve">, </w:t>
      </w:r>
      <w:r w:rsidRPr="00DC6A2D">
        <w:rPr>
          <w:rFonts w:ascii="Calibri" w:hAnsi="Calibri" w:cs="Calibri"/>
          <w:i/>
          <w:iCs/>
          <w:noProof/>
          <w:szCs w:val="24"/>
        </w:rPr>
        <w:t>51</w:t>
      </w:r>
      <w:r w:rsidRPr="00DC6A2D">
        <w:rPr>
          <w:rFonts w:ascii="Calibri" w:hAnsi="Calibri" w:cs="Calibri"/>
          <w:noProof/>
          <w:szCs w:val="24"/>
        </w:rPr>
        <w:t>(4), 424–431. https://doi.org/10.2486/indhealth.2013-0006</w:t>
      </w:r>
    </w:p>
    <w:p w14:paraId="2A1411C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Schwartz, A., Gerberich, S. G., Kim, H., Ryan, A. D., Church, T. R., Albin, T. J., McGovern, P. M., Erdman, A. E., Green, D. R., &amp; Arauz, R. F. (2019). Janitor ergonomics and injuries in the safe workload ergonomic exposure project (SWEEP) study.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81</w:t>
      </w:r>
      <w:r w:rsidRPr="00DC6A2D">
        <w:rPr>
          <w:rFonts w:ascii="Calibri" w:hAnsi="Calibri" w:cs="Calibri"/>
          <w:noProof/>
          <w:szCs w:val="24"/>
        </w:rPr>
        <w:t>, 102874. https://doi.org/10.1016/j.apergo.2019.102874</w:t>
      </w:r>
    </w:p>
    <w:p w14:paraId="5EFA516F"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Shafti, A., Lazpita, B. U., Elhage, O., Wurdemann, H. A., &amp; Althoefer, K. (2016). Analysis of comfort and ergonomics for clinical work environments. </w:t>
      </w:r>
      <w:r w:rsidRPr="00DC6A2D">
        <w:rPr>
          <w:rFonts w:ascii="Calibri" w:hAnsi="Calibri" w:cs="Calibri"/>
          <w:i/>
          <w:iCs/>
          <w:noProof/>
          <w:szCs w:val="24"/>
        </w:rPr>
        <w:t>2016 38th Annual International Conference of the IEEE Engineering in Medicine and Biology Society (EMBC)</w:t>
      </w:r>
      <w:r w:rsidRPr="00DC6A2D">
        <w:rPr>
          <w:rFonts w:ascii="Calibri" w:hAnsi="Calibri" w:cs="Calibri"/>
          <w:noProof/>
          <w:szCs w:val="24"/>
        </w:rPr>
        <w:t>, 1894–1897. https://doi.org/10.1109/EMBC.2016.7591091</w:t>
      </w:r>
    </w:p>
    <w:p w14:paraId="4413093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Spielholz, P. (2006). Calibrating Borg scale ratings of hand force exertion.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37</w:t>
      </w:r>
      <w:r w:rsidRPr="00DC6A2D">
        <w:rPr>
          <w:rFonts w:ascii="Calibri" w:hAnsi="Calibri" w:cs="Calibri"/>
          <w:noProof/>
          <w:szCs w:val="24"/>
        </w:rPr>
        <w:t>(5), 615–618. https://doi.org/10.1016/j.apergo.2005.10.001</w:t>
      </w:r>
    </w:p>
    <w:p w14:paraId="29560A9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xml:space="preserve">, </w:t>
      </w:r>
      <w:r w:rsidRPr="00DC6A2D">
        <w:rPr>
          <w:rFonts w:ascii="Calibri" w:hAnsi="Calibri" w:cs="Calibri"/>
          <w:i/>
          <w:iCs/>
          <w:noProof/>
          <w:szCs w:val="24"/>
        </w:rPr>
        <w:t>24</w:t>
      </w:r>
      <w:r w:rsidRPr="00DC6A2D">
        <w:rPr>
          <w:rFonts w:ascii="Calibri" w:hAnsi="Calibri" w:cs="Calibri"/>
          <w:noProof/>
          <w:szCs w:val="24"/>
        </w:rPr>
        <w:t>(3). https://doi.org/10.1080/1059924X.2019.1593273</w:t>
      </w:r>
    </w:p>
    <w:p w14:paraId="64E0AA0D"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Galvin, K., Tchong-French, M., Kim, J. H., &amp; Johnson, P. W. (2019). A feasibility study comparing objective and subjective field-based physical exposure measurements during apple harvesting with ladders and mobile platforms. </w:t>
      </w:r>
      <w:r w:rsidRPr="00DC6A2D">
        <w:rPr>
          <w:rFonts w:ascii="Calibri" w:hAnsi="Calibri" w:cs="Calibri"/>
          <w:i/>
          <w:iCs/>
          <w:noProof/>
          <w:szCs w:val="24"/>
        </w:rPr>
        <w:t>Journal of Agromedicine</w:t>
      </w:r>
      <w:r w:rsidRPr="00DC6A2D">
        <w:rPr>
          <w:rFonts w:ascii="Calibri" w:hAnsi="Calibri" w:cs="Calibri"/>
          <w:noProof/>
          <w:szCs w:val="24"/>
        </w:rPr>
        <w:t>. https://doi.org/10.1080/1059924X.2019.1593273</w:t>
      </w:r>
    </w:p>
    <w:p w14:paraId="19E8B03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&amp; Johnson, P. W. (2022). Machine learning methods for electromyography error detection in field research: An application in full-shift field assessment of shoulder muscle activity in apple harvesting workers.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98</w:t>
      </w:r>
      <w:r w:rsidRPr="00DC6A2D">
        <w:rPr>
          <w:rFonts w:ascii="Calibri" w:hAnsi="Calibri" w:cs="Calibri"/>
          <w:noProof/>
          <w:szCs w:val="24"/>
        </w:rPr>
        <w:t>, 103607. https://doi.org/10.1016/j.apergo.2021.103607</w:t>
      </w:r>
    </w:p>
    <w:p w14:paraId="0EBCA1EC"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Thamsuwan, Ornwipa, Milosavljevic, S., Srinivasan, D., &amp; Trask, C. (2020). Potential exoskeleton uses for reducing low back muscular activity during farm tasks.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63</w:t>
      </w:r>
      <w:r w:rsidRPr="00DC6A2D">
        <w:rPr>
          <w:rFonts w:ascii="Calibri" w:hAnsi="Calibri" w:cs="Calibri"/>
          <w:noProof/>
          <w:szCs w:val="24"/>
        </w:rPr>
        <w:t>(11), 1017–1028. https://doi.org/10.1002/ajim.23180</w:t>
      </w:r>
    </w:p>
    <w:p w14:paraId="759C84D7"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van Galen, G. P., Liesker, H., &amp; de Haan, A. (2007). Effects of a vertical keyboard design on typing performance, user comfort and muscle tension. </w:t>
      </w:r>
      <w:r w:rsidRPr="00DC6A2D">
        <w:rPr>
          <w:rFonts w:ascii="Calibri" w:hAnsi="Calibri" w:cs="Calibri"/>
          <w:i/>
          <w:iCs/>
          <w:noProof/>
          <w:szCs w:val="24"/>
        </w:rPr>
        <w:t>Applied Ergonomics</w:t>
      </w:r>
      <w:r w:rsidRPr="00DC6A2D">
        <w:rPr>
          <w:rFonts w:ascii="Calibri" w:hAnsi="Calibri" w:cs="Calibri"/>
          <w:noProof/>
          <w:szCs w:val="24"/>
        </w:rPr>
        <w:t xml:space="preserve">, </w:t>
      </w:r>
      <w:r w:rsidRPr="00DC6A2D">
        <w:rPr>
          <w:rFonts w:ascii="Calibri" w:hAnsi="Calibri" w:cs="Calibri"/>
          <w:i/>
          <w:iCs/>
          <w:noProof/>
          <w:szCs w:val="24"/>
        </w:rPr>
        <w:t>38</w:t>
      </w:r>
      <w:r w:rsidRPr="00DC6A2D">
        <w:rPr>
          <w:rFonts w:ascii="Calibri" w:hAnsi="Calibri" w:cs="Calibri"/>
          <w:noProof/>
          <w:szCs w:val="24"/>
        </w:rPr>
        <w:t>(1), 99–107. https://doi.org/10.1016/j.apergo.2005.09.005</w:t>
      </w:r>
    </w:p>
    <w:p w14:paraId="10A12F75"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szCs w:val="24"/>
        </w:rPr>
      </w:pPr>
      <w:r w:rsidRPr="00DC6A2D">
        <w:rPr>
          <w:rFonts w:ascii="Calibri" w:hAnsi="Calibri" w:cs="Calibri"/>
          <w:noProof/>
          <w:szCs w:val="24"/>
        </w:rPr>
        <w:t xml:space="preserve">Vieira, E. R., Kumar, S., Coury, H. J. C. G., &amp; Narayan, Y. (2006). Low back problems and possible improvements in nursing jobs. </w:t>
      </w:r>
      <w:r w:rsidRPr="00DC6A2D">
        <w:rPr>
          <w:rFonts w:ascii="Calibri" w:hAnsi="Calibri" w:cs="Calibri"/>
          <w:i/>
          <w:iCs/>
          <w:noProof/>
          <w:szCs w:val="24"/>
        </w:rPr>
        <w:t>Journal of Advanced Nursing</w:t>
      </w:r>
      <w:r w:rsidRPr="00DC6A2D">
        <w:rPr>
          <w:rFonts w:ascii="Calibri" w:hAnsi="Calibri" w:cs="Calibri"/>
          <w:noProof/>
          <w:szCs w:val="24"/>
        </w:rPr>
        <w:t xml:space="preserve">, </w:t>
      </w:r>
      <w:r w:rsidRPr="00DC6A2D">
        <w:rPr>
          <w:rFonts w:ascii="Calibri" w:hAnsi="Calibri" w:cs="Calibri"/>
          <w:i/>
          <w:iCs/>
          <w:noProof/>
          <w:szCs w:val="24"/>
        </w:rPr>
        <w:t>55</w:t>
      </w:r>
      <w:r w:rsidRPr="00DC6A2D">
        <w:rPr>
          <w:rFonts w:ascii="Calibri" w:hAnsi="Calibri" w:cs="Calibri"/>
          <w:noProof/>
          <w:szCs w:val="24"/>
        </w:rPr>
        <w:t>(1), 79–89. https://doi.org/10.1111/j.1365-2648.2006.03877.x</w:t>
      </w:r>
    </w:p>
    <w:p w14:paraId="12A65F04" w14:textId="77777777" w:rsidR="00DC6A2D" w:rsidRPr="00DC6A2D" w:rsidRDefault="00DC6A2D" w:rsidP="00DC6A2D">
      <w:pPr>
        <w:widowControl w:val="0"/>
        <w:autoSpaceDE w:val="0"/>
        <w:autoSpaceDN w:val="0"/>
        <w:adjustRightInd w:val="0"/>
        <w:spacing w:line="480" w:lineRule="auto"/>
        <w:ind w:left="480" w:hanging="480"/>
        <w:rPr>
          <w:rFonts w:ascii="Calibri" w:hAnsi="Calibri" w:cs="Calibri"/>
          <w:noProof/>
        </w:rPr>
      </w:pPr>
      <w:r w:rsidRPr="00DC6A2D">
        <w:rPr>
          <w:rFonts w:ascii="Calibri" w:hAnsi="Calibri" w:cs="Calibri"/>
          <w:noProof/>
          <w:szCs w:val="24"/>
        </w:rPr>
        <w:t xml:space="preserve">Xiao, H., Mccurdy, S. A., Stoecklin-Marois, M. T., Li, C. S., &amp; Schenker, M. B. (2013). Agricultural work and chronic musculoskeletal pain among latino farm workers: The MICASA study. </w:t>
      </w:r>
      <w:r w:rsidRPr="00DC6A2D">
        <w:rPr>
          <w:rFonts w:ascii="Calibri" w:hAnsi="Calibri" w:cs="Calibri"/>
          <w:i/>
          <w:iCs/>
          <w:noProof/>
          <w:szCs w:val="24"/>
        </w:rPr>
        <w:t>American Journal of Industrial Medicine</w:t>
      </w:r>
      <w:r w:rsidRPr="00DC6A2D">
        <w:rPr>
          <w:rFonts w:ascii="Calibri" w:hAnsi="Calibri" w:cs="Calibri"/>
          <w:noProof/>
          <w:szCs w:val="24"/>
        </w:rPr>
        <w:t xml:space="preserve">, </w:t>
      </w:r>
      <w:r w:rsidRPr="00DC6A2D">
        <w:rPr>
          <w:rFonts w:ascii="Calibri" w:hAnsi="Calibri" w:cs="Calibri"/>
          <w:i/>
          <w:iCs/>
          <w:noProof/>
          <w:szCs w:val="24"/>
        </w:rPr>
        <w:t>56</w:t>
      </w:r>
      <w:r w:rsidRPr="00DC6A2D">
        <w:rPr>
          <w:rFonts w:ascii="Calibri" w:hAnsi="Calibri" w:cs="Calibri"/>
          <w:noProof/>
          <w:szCs w:val="24"/>
        </w:rPr>
        <w:t>, 216–225. https://doi.org/10.1002/ajim.22118</w:t>
      </w:r>
    </w:p>
    <w:p w14:paraId="7879275E" w14:textId="22096F68" w:rsidR="009E5669" w:rsidRDefault="009E5669" w:rsidP="00497399">
      <w:pPr>
        <w:spacing w:line="480" w:lineRule="auto"/>
      </w:pPr>
      <w:r>
        <w:fldChar w:fldCharType="end"/>
      </w:r>
    </w:p>
    <w:p w14:paraId="734DC5D3" w14:textId="77777777" w:rsidR="009C7583" w:rsidRDefault="009C7583" w:rsidP="00497399">
      <w:pPr>
        <w:spacing w:line="480" w:lineRule="auto"/>
      </w:pPr>
    </w:p>
    <w:p w14:paraId="0D430A8E" w14:textId="77777777" w:rsidR="007F35ED" w:rsidRDefault="007F35ED" w:rsidP="00497399">
      <w:pPr>
        <w:spacing w:line="480" w:lineRule="auto"/>
      </w:pPr>
    </w:p>
    <w:p w14:paraId="5FF8AB72" w14:textId="77777777" w:rsidR="007F35ED" w:rsidRDefault="007F35ED">
      <w:r>
        <w:br w:type="page"/>
      </w:r>
    </w:p>
    <w:p w14:paraId="493E48CD" w14:textId="307BD404" w:rsidR="0084013A" w:rsidRDefault="0084013A">
      <w:r>
        <w:rPr>
          <w:noProof/>
        </w:rPr>
        <w:drawing>
          <wp:inline distT="0" distB="0" distL="0" distR="0" wp14:anchorId="701782FC" wp14:editId="64E89D24">
            <wp:extent cx="3905250" cy="2945374"/>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mniRPE.png"/>
                    <pic:cNvPicPr/>
                  </pic:nvPicPr>
                  <pic:blipFill>
                    <a:blip r:embed="rId14">
                      <a:extLst>
                        <a:ext uri="{28A0092B-C50C-407E-A947-70E740481C1C}">
                          <a14:useLocalDpi xmlns:a14="http://schemas.microsoft.com/office/drawing/2010/main" val="0"/>
                        </a:ext>
                      </a:extLst>
                    </a:blip>
                    <a:stretch>
                      <a:fillRect/>
                    </a:stretch>
                  </pic:blipFill>
                  <pic:spPr>
                    <a:xfrm>
                      <a:off x="0" y="0"/>
                      <a:ext cx="3979187" cy="3001138"/>
                    </a:xfrm>
                    <a:prstGeom prst="rect">
                      <a:avLst/>
                    </a:prstGeom>
                  </pic:spPr>
                </pic:pic>
              </a:graphicData>
            </a:graphic>
          </wp:inline>
        </w:drawing>
      </w:r>
    </w:p>
    <w:p w14:paraId="19816F34" w14:textId="125B0277" w:rsidR="00F00B20" w:rsidRDefault="00F00B20">
      <w:r>
        <w:t>Figure 1. Omni RPE used in this study</w:t>
      </w:r>
    </w:p>
    <w:p w14:paraId="487A5450" w14:textId="77777777" w:rsidR="007211EE" w:rsidRDefault="007211EE"/>
    <w:p w14:paraId="00CC701C" w14:textId="0B1F4247" w:rsidR="002B26FB" w:rsidRDefault="00DE199A">
      <w:r>
        <w:rPr>
          <w:noProof/>
        </w:rPr>
        <w:drawing>
          <wp:inline distT="0" distB="0" distL="0" distR="0" wp14:anchorId="76DFB0ED" wp14:editId="4800BDC5">
            <wp:extent cx="5943600" cy="4216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hrr_combine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16400"/>
                    </a:xfrm>
                    <a:prstGeom prst="rect">
                      <a:avLst/>
                    </a:prstGeom>
                  </pic:spPr>
                </pic:pic>
              </a:graphicData>
            </a:graphic>
          </wp:inline>
        </w:drawing>
      </w:r>
    </w:p>
    <w:p w14:paraId="1C36DC29" w14:textId="60ACF45B" w:rsidR="001F230A" w:rsidRDefault="001F230A">
      <w:r>
        <w:t xml:space="preserve">Figure </w:t>
      </w:r>
      <w:r w:rsidR="00F00B20">
        <w:t>2</w:t>
      </w:r>
      <w:r w:rsidR="00276A77">
        <w:t>.</w:t>
      </w:r>
      <w:r>
        <w:t xml:space="preserve"> Histograms and Q-Q plots of the %HRR before and after square-root transformed</w:t>
      </w:r>
    </w:p>
    <w:p w14:paraId="6FBC1971" w14:textId="7BC392C5" w:rsidR="00FB3E8C" w:rsidRDefault="007211EE">
      <w:r>
        <w:rPr>
          <w:noProof/>
        </w:rPr>
        <w:drawing>
          <wp:inline distT="0" distB="0" distL="0" distR="0" wp14:anchorId="18E27DCA" wp14:editId="5782D513">
            <wp:extent cx="4794250" cy="3195654"/>
            <wp:effectExtent l="0" t="0" r="635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RR.png"/>
                    <pic:cNvPicPr/>
                  </pic:nvPicPr>
                  <pic:blipFill>
                    <a:blip r:embed="rId16">
                      <a:extLst>
                        <a:ext uri="{28A0092B-C50C-407E-A947-70E740481C1C}">
                          <a14:useLocalDpi xmlns:a14="http://schemas.microsoft.com/office/drawing/2010/main" val="0"/>
                        </a:ext>
                      </a:extLst>
                    </a:blip>
                    <a:stretch>
                      <a:fillRect/>
                    </a:stretch>
                  </pic:blipFill>
                  <pic:spPr>
                    <a:xfrm>
                      <a:off x="0" y="0"/>
                      <a:ext cx="4851373" cy="3233730"/>
                    </a:xfrm>
                    <a:prstGeom prst="rect">
                      <a:avLst/>
                    </a:prstGeom>
                  </pic:spPr>
                </pic:pic>
              </a:graphicData>
            </a:graphic>
          </wp:inline>
        </w:drawing>
      </w:r>
    </w:p>
    <w:p w14:paraId="7DAAD41A" w14:textId="0A0E3C3A" w:rsidR="001F230A" w:rsidRDefault="001F230A">
      <w:r>
        <w:t xml:space="preserve">Figure </w:t>
      </w:r>
      <w:r w:rsidR="00F00B20">
        <w:t>3</w:t>
      </w:r>
      <w:r w:rsidR="00276A77">
        <w:t>.</w:t>
      </w:r>
      <w:r>
        <w:t xml:space="preserve"> %HRR </w:t>
      </w:r>
      <w:r w:rsidR="00276A77">
        <w:t xml:space="preserve">measured among each group of workers at each work period </w:t>
      </w:r>
    </w:p>
    <w:p w14:paraId="21CFF662" w14:textId="77777777" w:rsidR="00F00B20" w:rsidRDefault="00F00B20"/>
    <w:p w14:paraId="1E28F3D9" w14:textId="6AB72CB7" w:rsidR="00FB3E8C" w:rsidRDefault="006E760B">
      <w:r>
        <w:rPr>
          <w:noProof/>
        </w:rPr>
        <w:drawing>
          <wp:inline distT="0" distB="0" distL="0" distR="0" wp14:anchorId="103B66E3" wp14:editId="6F1678BE">
            <wp:extent cx="4787900" cy="319142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orgRPEdifference.png"/>
                    <pic:cNvPicPr/>
                  </pic:nvPicPr>
                  <pic:blipFill>
                    <a:blip r:embed="rId17">
                      <a:extLst>
                        <a:ext uri="{28A0092B-C50C-407E-A947-70E740481C1C}">
                          <a14:useLocalDpi xmlns:a14="http://schemas.microsoft.com/office/drawing/2010/main" val="0"/>
                        </a:ext>
                      </a:extLst>
                    </a:blip>
                    <a:stretch>
                      <a:fillRect/>
                    </a:stretch>
                  </pic:blipFill>
                  <pic:spPr>
                    <a:xfrm>
                      <a:off x="0" y="0"/>
                      <a:ext cx="4851475" cy="3233799"/>
                    </a:xfrm>
                    <a:prstGeom prst="rect">
                      <a:avLst/>
                    </a:prstGeom>
                  </pic:spPr>
                </pic:pic>
              </a:graphicData>
            </a:graphic>
          </wp:inline>
        </w:drawing>
      </w:r>
    </w:p>
    <w:p w14:paraId="1AF5182E" w14:textId="47F396A8" w:rsidR="00276A77" w:rsidRDefault="00276A77">
      <w:r>
        <w:t xml:space="preserve">Figure </w:t>
      </w:r>
      <w:r w:rsidR="00F00B20">
        <w:t>4</w:t>
      </w:r>
      <w:r>
        <w:t>. The difference in Borg RPE from the beginning of work reported by each group of workers at each work period</w:t>
      </w:r>
    </w:p>
    <w:p w14:paraId="7BB1090B" w14:textId="77777777" w:rsidR="00F00B20" w:rsidRDefault="00F00B20"/>
    <w:p w14:paraId="241F7F9C" w14:textId="506824BF" w:rsidR="00FB3E8C" w:rsidRDefault="006E760B">
      <w:r>
        <w:rPr>
          <w:noProof/>
        </w:rPr>
        <w:drawing>
          <wp:inline distT="0" distB="0" distL="0" distR="0" wp14:anchorId="46568788" wp14:editId="66B89F3A">
            <wp:extent cx="4787900" cy="3191422"/>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mniRPEdifference.png"/>
                    <pic:cNvPicPr/>
                  </pic:nvPicPr>
                  <pic:blipFill>
                    <a:blip r:embed="rId18">
                      <a:extLst>
                        <a:ext uri="{28A0092B-C50C-407E-A947-70E740481C1C}">
                          <a14:useLocalDpi xmlns:a14="http://schemas.microsoft.com/office/drawing/2010/main" val="0"/>
                        </a:ext>
                      </a:extLst>
                    </a:blip>
                    <a:stretch>
                      <a:fillRect/>
                    </a:stretch>
                  </pic:blipFill>
                  <pic:spPr>
                    <a:xfrm>
                      <a:off x="0" y="0"/>
                      <a:ext cx="4837835" cy="3224707"/>
                    </a:xfrm>
                    <a:prstGeom prst="rect">
                      <a:avLst/>
                    </a:prstGeom>
                  </pic:spPr>
                </pic:pic>
              </a:graphicData>
            </a:graphic>
          </wp:inline>
        </w:drawing>
      </w:r>
    </w:p>
    <w:p w14:paraId="69F9A177" w14:textId="59154560" w:rsidR="00276A77" w:rsidRDefault="00276A77">
      <w:r>
        <w:t xml:space="preserve">Figure </w:t>
      </w:r>
      <w:r w:rsidR="00F00B20">
        <w:t>5</w:t>
      </w:r>
      <w:r>
        <w:t>. The difference in Omni RPE from the beginning of work reported by each group of workers at each work period</w:t>
      </w:r>
    </w:p>
    <w:p w14:paraId="58E07126" w14:textId="77777777" w:rsidR="00F00B20" w:rsidRDefault="00F00B20"/>
    <w:p w14:paraId="676F4ADA" w14:textId="028B2CA8" w:rsidR="00FB3E8C" w:rsidRDefault="00FB3E8C">
      <w:r>
        <w:rPr>
          <w:noProof/>
        </w:rPr>
        <w:drawing>
          <wp:inline distT="0" distB="0" distL="0" distR="0" wp14:anchorId="5C3B1FDC" wp14:editId="5325A4CA">
            <wp:extent cx="4559300" cy="280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1641" cy="2834027"/>
                    </a:xfrm>
                    <a:prstGeom prst="rect">
                      <a:avLst/>
                    </a:prstGeom>
                    <a:noFill/>
                    <a:ln>
                      <a:noFill/>
                    </a:ln>
                  </pic:spPr>
                </pic:pic>
              </a:graphicData>
            </a:graphic>
          </wp:inline>
        </w:drawing>
      </w:r>
    </w:p>
    <w:p w14:paraId="303CD324" w14:textId="209BEB84" w:rsidR="00276A77" w:rsidRDefault="00276A77">
      <w:r>
        <w:t xml:space="preserve">Figure </w:t>
      </w:r>
      <w:r w:rsidR="00F00B20">
        <w:t>6</w:t>
      </w:r>
      <w:r>
        <w:t>. The association between %HRR and Borg RPE difference from the beginning of work shift</w:t>
      </w:r>
    </w:p>
    <w:p w14:paraId="2BB950D1" w14:textId="77777777" w:rsidR="00F00B20" w:rsidRDefault="00F00B20"/>
    <w:p w14:paraId="33977C77" w14:textId="4AA56195" w:rsidR="00FB3E8C" w:rsidRDefault="00FB3E8C">
      <w:r>
        <w:rPr>
          <w:noProof/>
        </w:rPr>
        <w:drawing>
          <wp:inline distT="0" distB="0" distL="0" distR="0" wp14:anchorId="7A4E410F" wp14:editId="73C77D06">
            <wp:extent cx="4560570" cy="2808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8186" cy="2838057"/>
                    </a:xfrm>
                    <a:prstGeom prst="rect">
                      <a:avLst/>
                    </a:prstGeom>
                    <a:noFill/>
                    <a:ln>
                      <a:noFill/>
                    </a:ln>
                  </pic:spPr>
                </pic:pic>
              </a:graphicData>
            </a:graphic>
          </wp:inline>
        </w:drawing>
      </w:r>
    </w:p>
    <w:p w14:paraId="459D6B31" w14:textId="55EDEA6C" w:rsidR="00276A77" w:rsidRDefault="00276A77">
      <w:r>
        <w:t xml:space="preserve">Figure </w:t>
      </w:r>
      <w:r w:rsidR="00F00B20">
        <w:t>7</w:t>
      </w:r>
      <w:r>
        <w:t>. The association between %HRR and Omni RPE difference from the beginning of work shift</w:t>
      </w:r>
    </w:p>
    <w:p w14:paraId="6D0604A9" w14:textId="77777777" w:rsidR="00F00B20" w:rsidRDefault="00F00B20"/>
    <w:p w14:paraId="00266DF6" w14:textId="77777777" w:rsidR="001F230A" w:rsidRDefault="001F230A" w:rsidP="001F230A">
      <w:r>
        <w:rPr>
          <w:noProof/>
        </w:rPr>
        <w:drawing>
          <wp:inline distT="0" distB="0" distL="0" distR="0" wp14:anchorId="5D552798" wp14:editId="57E610CE">
            <wp:extent cx="4560829" cy="2374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8233" cy="2383963"/>
                    </a:xfrm>
                    <a:prstGeom prst="rect">
                      <a:avLst/>
                    </a:prstGeom>
                    <a:noFill/>
                    <a:ln>
                      <a:noFill/>
                    </a:ln>
                  </pic:spPr>
                </pic:pic>
              </a:graphicData>
            </a:graphic>
          </wp:inline>
        </w:drawing>
      </w:r>
    </w:p>
    <w:p w14:paraId="0213BA96" w14:textId="7638DD04" w:rsidR="001F230A" w:rsidRDefault="00276A77">
      <w:r>
        <w:t xml:space="preserve">Figure </w:t>
      </w:r>
      <w:r w:rsidR="00F00B20">
        <w:t>8</w:t>
      </w:r>
      <w:r>
        <w:t>. The histogram showing bi-modal distribution of EMG median power frequency</w:t>
      </w:r>
    </w:p>
    <w:p w14:paraId="5E2764AB" w14:textId="664C2C95" w:rsidR="007F35ED" w:rsidRDefault="007F35ED"/>
    <w:p w14:paraId="13572B65" w14:textId="19406B19" w:rsidR="001F230A" w:rsidRDefault="001F230A">
      <w:r>
        <w:rPr>
          <w:noProof/>
        </w:rPr>
        <w:drawing>
          <wp:inline distT="0" distB="0" distL="0" distR="0" wp14:anchorId="7550562D" wp14:editId="7A34EC5B">
            <wp:extent cx="4565650" cy="2377410"/>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6092" cy="2419298"/>
                    </a:xfrm>
                    <a:prstGeom prst="rect">
                      <a:avLst/>
                    </a:prstGeom>
                    <a:noFill/>
                    <a:ln>
                      <a:noFill/>
                    </a:ln>
                  </pic:spPr>
                </pic:pic>
              </a:graphicData>
            </a:graphic>
          </wp:inline>
        </w:drawing>
      </w:r>
    </w:p>
    <w:p w14:paraId="57596470" w14:textId="365C1BA8" w:rsidR="00276A77" w:rsidRDefault="00276A77">
      <w:pPr>
        <w:rPr>
          <w:rFonts w:eastAsiaTheme="minorEastAsia"/>
        </w:rPr>
      </w:pPr>
      <w:r>
        <w:t xml:space="preserve">Figure </w:t>
      </w:r>
      <w:r w:rsidR="00F00B20">
        <w:t>9</w:t>
      </w:r>
      <w:r>
        <w:t xml:space="preserve">. The histogram of the EMG median power frequency regression slope </w:t>
      </w:r>
      <w:r>
        <w:rPr>
          <w:rFonts w:eastAsiaTheme="minorEastAsia"/>
        </w:rPr>
        <w:t>(</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w:t>
      </w:r>
    </w:p>
    <w:p w14:paraId="6BD3D4ED" w14:textId="77777777" w:rsidR="00F00B20" w:rsidRDefault="00F00B20"/>
    <w:p w14:paraId="284DE0C5" w14:textId="70FFDFFD" w:rsidR="00FB3E8C" w:rsidRDefault="00FB3E8C">
      <w:r>
        <w:rPr>
          <w:noProof/>
        </w:rPr>
        <w:drawing>
          <wp:inline distT="0" distB="0" distL="0" distR="0" wp14:anchorId="7E699091" wp14:editId="2148B1BD">
            <wp:extent cx="4565650" cy="2619887"/>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6126" cy="2654590"/>
                    </a:xfrm>
                    <a:prstGeom prst="rect">
                      <a:avLst/>
                    </a:prstGeom>
                    <a:noFill/>
                    <a:ln>
                      <a:noFill/>
                    </a:ln>
                  </pic:spPr>
                </pic:pic>
              </a:graphicData>
            </a:graphic>
          </wp:inline>
        </w:drawing>
      </w:r>
    </w:p>
    <w:p w14:paraId="2340E8C5" w14:textId="6D84DBD0" w:rsidR="00276A77" w:rsidRDefault="00276A77">
      <w:r>
        <w:t>Figure 1</w:t>
      </w:r>
      <w:r w:rsidR="00F00B20">
        <w:t>0</w:t>
      </w:r>
      <w:r>
        <w:t>. Borg CR10 difference between the beginning and the end of work shift by harvesting method and muscle side</w:t>
      </w:r>
    </w:p>
    <w:p w14:paraId="4EB4A794" w14:textId="77777777" w:rsidR="00FB3E8C" w:rsidRDefault="00FB3E8C"/>
    <w:p w14:paraId="038DB395" w14:textId="6C94279B" w:rsidR="00FB3E8C" w:rsidRDefault="00FB3E8C">
      <w:r>
        <w:rPr>
          <w:noProof/>
        </w:rPr>
        <w:drawing>
          <wp:inline distT="0" distB="0" distL="0" distR="0" wp14:anchorId="4023F9B1" wp14:editId="11C9BE4B">
            <wp:extent cx="3657600" cy="3167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9500" cy="3186710"/>
                    </a:xfrm>
                    <a:prstGeom prst="rect">
                      <a:avLst/>
                    </a:prstGeom>
                    <a:noFill/>
                    <a:ln>
                      <a:noFill/>
                    </a:ln>
                  </pic:spPr>
                </pic:pic>
              </a:graphicData>
            </a:graphic>
          </wp:inline>
        </w:drawing>
      </w:r>
    </w:p>
    <w:p w14:paraId="0AC051E2" w14:textId="00B0A1B7" w:rsidR="00276A77" w:rsidRDefault="00276A77">
      <w:r>
        <w:t>Figure 1</w:t>
      </w:r>
      <w:r w:rsidR="00F00B20">
        <w:t>1</w:t>
      </w:r>
      <w:r>
        <w:t xml:space="preserve">. The scatter plot of Borg CR10 difference on x-axis and the </w:t>
      </w:r>
      <m:oMath>
        <m:sSub>
          <m:sSubPr>
            <m:ctrlPr>
              <w:rPr>
                <w:rFonts w:ascii="Cambria Math" w:hAnsi="Cambria Math"/>
                <w:i/>
              </w:rPr>
            </m:ctrlPr>
          </m:sSubPr>
          <m:e>
            <m:r>
              <w:rPr>
                <w:rFonts w:ascii="Cambria Math" w:hAnsi="Cambria Math"/>
              </w:rPr>
              <m:t>b</m:t>
            </m:r>
          </m:e>
          <m:sub>
            <m:r>
              <w:rPr>
                <w:rFonts w:ascii="Cambria Math" w:hAnsi="Cambria Math"/>
              </w:rPr>
              <m:t>Time</m:t>
            </m:r>
          </m:sub>
        </m:sSub>
      </m:oMath>
      <w:r>
        <w:rPr>
          <w:rFonts w:eastAsiaTheme="minorEastAsia"/>
        </w:rPr>
        <w:t xml:space="preserve"> on y-axis</w:t>
      </w:r>
    </w:p>
    <w:sectPr w:rsidR="00276A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blo H Palmandez" w:date="2022-04-26T07:56:00Z" w:initials="PHP">
    <w:p w14:paraId="4548D1A8" w14:textId="1C1FD903" w:rsidR="00B53E18" w:rsidRDefault="00B53E18">
      <w:pPr>
        <w:pStyle w:val="CommentText"/>
      </w:pPr>
      <w:r>
        <w:rPr>
          <w:rStyle w:val="CommentReference"/>
        </w:rPr>
        <w:annotationRef/>
      </w:r>
      <w:r w:rsidR="002C7F87">
        <w:t xml:space="preserve">Are there studies reporting about </w:t>
      </w:r>
      <w:r>
        <w:t>disadvantages</w:t>
      </w:r>
      <w:r w:rsidR="002C7F87">
        <w:t xml:space="preserve"> of the Borg scale?</w:t>
      </w:r>
      <w:r>
        <w:t xml:space="preserve"> I have used the CR10 in Hispanics and often they do not understand the scale and exaggerate about their pain.</w:t>
      </w:r>
    </w:p>
  </w:comment>
  <w:comment w:id="1" w:author="Thamsuwan, Ornwipa" w:date="2022-04-30T17:49:00Z" w:initials="TO">
    <w:p w14:paraId="7EA89C55" w14:textId="3C153680" w:rsidR="00C059B1" w:rsidRDefault="00C059B1">
      <w:pPr>
        <w:pStyle w:val="CommentText"/>
      </w:pPr>
      <w:r>
        <w:rPr>
          <w:rStyle w:val="CommentReference"/>
        </w:rPr>
        <w:annotationRef/>
      </w:r>
      <w:r>
        <w:t xml:space="preserve">Added </w:t>
      </w:r>
      <w:r w:rsidR="00DC6A2D">
        <w:t>at the end of the paragraph</w:t>
      </w:r>
    </w:p>
  </w:comment>
  <w:comment w:id="2" w:author="Pablo H Palmandez" w:date="2022-04-26T08:02:00Z" w:initials="PHP">
    <w:p w14:paraId="775F2004" w14:textId="7A0FCA9B" w:rsidR="00B53E18" w:rsidRDefault="00B53E18">
      <w:pPr>
        <w:pStyle w:val="CommentText"/>
      </w:pPr>
      <w:r>
        <w:rPr>
          <w:rStyle w:val="CommentReference"/>
        </w:rPr>
        <w:annotationRef/>
      </w:r>
      <w:r>
        <w:t xml:space="preserve">Data about their experience </w:t>
      </w:r>
      <w:r w:rsidR="002C7F87">
        <w:t xml:space="preserve">specifically </w:t>
      </w:r>
      <w:r>
        <w:t xml:space="preserve">harvesting tree fruit was collected? </w:t>
      </w:r>
    </w:p>
  </w:comment>
  <w:comment w:id="3" w:author="Pablo H Palmandez" w:date="2022-04-26T10:35:00Z" w:initials="PHP">
    <w:p w14:paraId="75CC1130" w14:textId="61934458" w:rsidR="00F50BD7" w:rsidRDefault="00F50BD7">
      <w:pPr>
        <w:pStyle w:val="CommentText"/>
      </w:pPr>
      <w:r>
        <w:rPr>
          <w:rStyle w:val="CommentReference"/>
        </w:rPr>
        <w:annotationRef/>
      </w:r>
      <w:r>
        <w:t>Will pictures of workers/researches working in the field will be included?</w:t>
      </w:r>
    </w:p>
  </w:comment>
  <w:comment w:id="4" w:author="Thamsuwan, Ornwipa" w:date="2022-04-30T17:51:00Z" w:initials="TO">
    <w:p w14:paraId="71925004" w14:textId="5776066C" w:rsidR="00C059B1" w:rsidRDefault="00C059B1">
      <w:pPr>
        <w:pStyle w:val="CommentText"/>
      </w:pPr>
      <w:r>
        <w:rPr>
          <w:rStyle w:val="CommentReference"/>
        </w:rPr>
        <w:annotationRef/>
      </w:r>
      <w:r>
        <w:t>Pictures were included in other paper. It may be redundant.</w:t>
      </w:r>
    </w:p>
  </w:comment>
  <w:comment w:id="6" w:author="Pablo H Palmandez" w:date="2022-04-26T10:21:00Z" w:initials="PHP">
    <w:p w14:paraId="6A934985" w14:textId="1A71B766" w:rsidR="00DD2D9F" w:rsidRDefault="00DD2D9F">
      <w:pPr>
        <w:pStyle w:val="CommentText"/>
      </w:pPr>
      <w:r>
        <w:rPr>
          <w:rStyle w:val="CommentReference"/>
        </w:rPr>
        <w:annotationRef/>
      </w:r>
      <w:r>
        <w:t>Yes, I think it is a good point. I could tell the pictures helped a lot.</w:t>
      </w:r>
    </w:p>
  </w:comment>
  <w:comment w:id="7" w:author="Pablo H Palmandez" w:date="2022-04-26T10:24:00Z" w:initials="PHP">
    <w:p w14:paraId="179571FD" w14:textId="32CD49F4" w:rsidR="00DD2D9F" w:rsidRDefault="00DD2D9F">
      <w:pPr>
        <w:pStyle w:val="CommentText"/>
      </w:pPr>
      <w:r>
        <w:rPr>
          <w:rStyle w:val="CommentReference"/>
        </w:rPr>
        <w:annotationRef/>
      </w:r>
      <w:r>
        <w:t xml:space="preserve">Based on my experience with workers, this totally makes sense to me.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48D1A8" w15:done="0"/>
  <w15:commentEx w15:paraId="7EA89C55" w15:paraIdParent="4548D1A8" w15:done="0"/>
  <w15:commentEx w15:paraId="775F2004" w15:done="1"/>
  <w15:commentEx w15:paraId="75CC1130" w15:done="0"/>
  <w15:commentEx w15:paraId="71925004" w15:paraIdParent="75CC1130" w15:done="0"/>
  <w15:commentEx w15:paraId="6A934985" w15:done="0"/>
  <w15:commentEx w15:paraId="179571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8D1A8" w16cid:durableId="2617F49C"/>
  <w16cid:commentId w16cid:paraId="7EA89C55" w16cid:durableId="2617F538"/>
  <w16cid:commentId w16cid:paraId="775F2004" w16cid:durableId="2617F49D"/>
  <w16cid:commentId w16cid:paraId="75CC1130" w16cid:durableId="2617F49E"/>
  <w16cid:commentId w16cid:paraId="71925004" w16cid:durableId="2617F58E"/>
  <w16cid:commentId w16cid:paraId="6A934985" w16cid:durableId="2617F49F"/>
  <w16cid:commentId w16cid:paraId="179571FD" w16cid:durableId="2617F4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AB025" w14:textId="77777777" w:rsidR="00341330" w:rsidRDefault="00341330" w:rsidP="00CC5DA2">
      <w:pPr>
        <w:spacing w:after="0" w:line="240" w:lineRule="auto"/>
      </w:pPr>
      <w:r>
        <w:separator/>
      </w:r>
    </w:p>
  </w:endnote>
  <w:endnote w:type="continuationSeparator" w:id="0">
    <w:p w14:paraId="3AC26A0D" w14:textId="77777777" w:rsidR="00341330" w:rsidRDefault="00341330" w:rsidP="00CC5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7D9B3" w14:textId="77777777" w:rsidR="00341330" w:rsidRDefault="00341330" w:rsidP="00CC5DA2">
      <w:pPr>
        <w:spacing w:after="0" w:line="240" w:lineRule="auto"/>
      </w:pPr>
      <w:r>
        <w:separator/>
      </w:r>
    </w:p>
  </w:footnote>
  <w:footnote w:type="continuationSeparator" w:id="0">
    <w:p w14:paraId="6E48F66C" w14:textId="77777777" w:rsidR="00341330" w:rsidRDefault="00341330" w:rsidP="00CC5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84084"/>
    <w:multiLevelType w:val="hybridMultilevel"/>
    <w:tmpl w:val="A94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blo H Palmandez">
    <w15:presenceInfo w15:providerId="None" w15:userId="Pablo H Palmandez"/>
  </w15:person>
  <w15:person w15:author="Thamsuwan, Ornwipa">
    <w15:presenceInfo w15:providerId="AD" w15:userId="S-1-5-21-1687880748-1508930569-720635935-50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E8C"/>
    <w:rsid w:val="00006472"/>
    <w:rsid w:val="000316FC"/>
    <w:rsid w:val="000547DC"/>
    <w:rsid w:val="0005742A"/>
    <w:rsid w:val="000604D3"/>
    <w:rsid w:val="00064890"/>
    <w:rsid w:val="00071EDF"/>
    <w:rsid w:val="00083EF8"/>
    <w:rsid w:val="00087C8E"/>
    <w:rsid w:val="000B0FB2"/>
    <w:rsid w:val="000B15BF"/>
    <w:rsid w:val="000C14C8"/>
    <w:rsid w:val="000C1B26"/>
    <w:rsid w:val="000D097A"/>
    <w:rsid w:val="000D6A80"/>
    <w:rsid w:val="00132874"/>
    <w:rsid w:val="00132E4D"/>
    <w:rsid w:val="00147BF1"/>
    <w:rsid w:val="00153E36"/>
    <w:rsid w:val="00161026"/>
    <w:rsid w:val="001C161E"/>
    <w:rsid w:val="001F230A"/>
    <w:rsid w:val="0021786B"/>
    <w:rsid w:val="002214F9"/>
    <w:rsid w:val="00224676"/>
    <w:rsid w:val="00272526"/>
    <w:rsid w:val="00276A77"/>
    <w:rsid w:val="002B26FB"/>
    <w:rsid w:val="002B53E5"/>
    <w:rsid w:val="002C7F87"/>
    <w:rsid w:val="002D6306"/>
    <w:rsid w:val="003129C9"/>
    <w:rsid w:val="00341330"/>
    <w:rsid w:val="00361024"/>
    <w:rsid w:val="00374E7E"/>
    <w:rsid w:val="003A3CCB"/>
    <w:rsid w:val="003A4B9E"/>
    <w:rsid w:val="003E68BB"/>
    <w:rsid w:val="003E743B"/>
    <w:rsid w:val="003F1E3F"/>
    <w:rsid w:val="003F4CE5"/>
    <w:rsid w:val="0040026F"/>
    <w:rsid w:val="004078C6"/>
    <w:rsid w:val="00432FA8"/>
    <w:rsid w:val="00457DE9"/>
    <w:rsid w:val="0047623D"/>
    <w:rsid w:val="00497399"/>
    <w:rsid w:val="004B7E31"/>
    <w:rsid w:val="004C3899"/>
    <w:rsid w:val="004F1E78"/>
    <w:rsid w:val="005406C7"/>
    <w:rsid w:val="005460D5"/>
    <w:rsid w:val="0055017F"/>
    <w:rsid w:val="00555106"/>
    <w:rsid w:val="0055539C"/>
    <w:rsid w:val="00566F4E"/>
    <w:rsid w:val="005937E8"/>
    <w:rsid w:val="0059483A"/>
    <w:rsid w:val="005A4496"/>
    <w:rsid w:val="005A44D5"/>
    <w:rsid w:val="005D3B50"/>
    <w:rsid w:val="005E2A98"/>
    <w:rsid w:val="005E4691"/>
    <w:rsid w:val="005F70A4"/>
    <w:rsid w:val="005F748A"/>
    <w:rsid w:val="00636887"/>
    <w:rsid w:val="0064052E"/>
    <w:rsid w:val="006873AB"/>
    <w:rsid w:val="006C0BA8"/>
    <w:rsid w:val="006C1ED9"/>
    <w:rsid w:val="006E760B"/>
    <w:rsid w:val="00701205"/>
    <w:rsid w:val="00706C69"/>
    <w:rsid w:val="007148EB"/>
    <w:rsid w:val="00720BED"/>
    <w:rsid w:val="007211EE"/>
    <w:rsid w:val="00740C43"/>
    <w:rsid w:val="00747475"/>
    <w:rsid w:val="00754C3A"/>
    <w:rsid w:val="007630FC"/>
    <w:rsid w:val="0079332D"/>
    <w:rsid w:val="00794031"/>
    <w:rsid w:val="007A08B7"/>
    <w:rsid w:val="007B102D"/>
    <w:rsid w:val="007B19A7"/>
    <w:rsid w:val="007B4199"/>
    <w:rsid w:val="007C2133"/>
    <w:rsid w:val="007D4952"/>
    <w:rsid w:val="007D6F9E"/>
    <w:rsid w:val="007F35ED"/>
    <w:rsid w:val="007F46A9"/>
    <w:rsid w:val="007F61E2"/>
    <w:rsid w:val="00806938"/>
    <w:rsid w:val="008327AA"/>
    <w:rsid w:val="0084013A"/>
    <w:rsid w:val="008B3362"/>
    <w:rsid w:val="008B7597"/>
    <w:rsid w:val="00903820"/>
    <w:rsid w:val="009412F3"/>
    <w:rsid w:val="00944852"/>
    <w:rsid w:val="0094670B"/>
    <w:rsid w:val="00987A1E"/>
    <w:rsid w:val="00987AFB"/>
    <w:rsid w:val="009B5AD8"/>
    <w:rsid w:val="009C2A8C"/>
    <w:rsid w:val="009C5466"/>
    <w:rsid w:val="009C7583"/>
    <w:rsid w:val="009D6681"/>
    <w:rsid w:val="009E5669"/>
    <w:rsid w:val="00A16228"/>
    <w:rsid w:val="00A44D59"/>
    <w:rsid w:val="00A5187E"/>
    <w:rsid w:val="00A8074F"/>
    <w:rsid w:val="00A85A38"/>
    <w:rsid w:val="00AC1E2B"/>
    <w:rsid w:val="00AE20B1"/>
    <w:rsid w:val="00AE7C74"/>
    <w:rsid w:val="00B14F02"/>
    <w:rsid w:val="00B340EE"/>
    <w:rsid w:val="00B5041E"/>
    <w:rsid w:val="00B53E18"/>
    <w:rsid w:val="00B876B2"/>
    <w:rsid w:val="00BC2E53"/>
    <w:rsid w:val="00BC3534"/>
    <w:rsid w:val="00BD04E1"/>
    <w:rsid w:val="00BE1BAE"/>
    <w:rsid w:val="00BE78F9"/>
    <w:rsid w:val="00BF2C91"/>
    <w:rsid w:val="00BF7160"/>
    <w:rsid w:val="00C00D35"/>
    <w:rsid w:val="00C059B1"/>
    <w:rsid w:val="00C16F0C"/>
    <w:rsid w:val="00C337D4"/>
    <w:rsid w:val="00C36CDC"/>
    <w:rsid w:val="00C55E4C"/>
    <w:rsid w:val="00C57437"/>
    <w:rsid w:val="00C9424F"/>
    <w:rsid w:val="00C945DC"/>
    <w:rsid w:val="00CA51BD"/>
    <w:rsid w:val="00CC5DA2"/>
    <w:rsid w:val="00CC6DCC"/>
    <w:rsid w:val="00CD06C8"/>
    <w:rsid w:val="00CD2A14"/>
    <w:rsid w:val="00CD687A"/>
    <w:rsid w:val="00CE3EEE"/>
    <w:rsid w:val="00CF4896"/>
    <w:rsid w:val="00D356FB"/>
    <w:rsid w:val="00D4501F"/>
    <w:rsid w:val="00D67B70"/>
    <w:rsid w:val="00D859F9"/>
    <w:rsid w:val="00DC6A2D"/>
    <w:rsid w:val="00DD2D9F"/>
    <w:rsid w:val="00DE199A"/>
    <w:rsid w:val="00DF1C5E"/>
    <w:rsid w:val="00DF3254"/>
    <w:rsid w:val="00DF6E0B"/>
    <w:rsid w:val="00E3170C"/>
    <w:rsid w:val="00E34E59"/>
    <w:rsid w:val="00E5395A"/>
    <w:rsid w:val="00E60CBA"/>
    <w:rsid w:val="00E852E1"/>
    <w:rsid w:val="00EB79D2"/>
    <w:rsid w:val="00EF2A0A"/>
    <w:rsid w:val="00F00B20"/>
    <w:rsid w:val="00F07780"/>
    <w:rsid w:val="00F1751D"/>
    <w:rsid w:val="00F17D72"/>
    <w:rsid w:val="00F36BE3"/>
    <w:rsid w:val="00F50BD7"/>
    <w:rsid w:val="00F5247C"/>
    <w:rsid w:val="00F8329F"/>
    <w:rsid w:val="00F87EFA"/>
    <w:rsid w:val="00F970D6"/>
    <w:rsid w:val="00FB3E8C"/>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8D2112"/>
  <w15:chartTrackingRefBased/>
  <w15:docId w15:val="{BF94FB12-10A3-48D5-957B-9965B8D8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4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45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45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45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45D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45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20BED"/>
    <w:rPr>
      <w:color w:val="808080"/>
    </w:rPr>
  </w:style>
  <w:style w:type="paragraph" w:styleId="ListParagraph">
    <w:name w:val="List Paragraph"/>
    <w:basedOn w:val="Normal"/>
    <w:uiPriority w:val="34"/>
    <w:qFormat/>
    <w:rsid w:val="000B0FB2"/>
    <w:pPr>
      <w:ind w:left="720"/>
      <w:contextualSpacing/>
    </w:pPr>
  </w:style>
  <w:style w:type="character" w:styleId="Emphasis">
    <w:name w:val="Emphasis"/>
    <w:basedOn w:val="DefaultParagraphFont"/>
    <w:uiPriority w:val="20"/>
    <w:qFormat/>
    <w:rsid w:val="00CA51BD"/>
    <w:rPr>
      <w:i/>
      <w:iCs/>
    </w:rPr>
  </w:style>
  <w:style w:type="character" w:styleId="Hyperlink">
    <w:name w:val="Hyperlink"/>
    <w:basedOn w:val="DefaultParagraphFont"/>
    <w:uiPriority w:val="99"/>
    <w:semiHidden/>
    <w:unhideWhenUsed/>
    <w:rsid w:val="00CA51BD"/>
    <w:rPr>
      <w:color w:val="0000FF"/>
      <w:u w:val="single"/>
    </w:rPr>
  </w:style>
  <w:style w:type="paragraph" w:styleId="EndnoteText">
    <w:name w:val="endnote text"/>
    <w:basedOn w:val="Normal"/>
    <w:link w:val="EndnoteTextChar"/>
    <w:uiPriority w:val="99"/>
    <w:semiHidden/>
    <w:unhideWhenUsed/>
    <w:rsid w:val="00CC5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5DA2"/>
    <w:rPr>
      <w:sz w:val="20"/>
      <w:szCs w:val="20"/>
    </w:rPr>
  </w:style>
  <w:style w:type="character" w:styleId="EndnoteReference">
    <w:name w:val="endnote reference"/>
    <w:basedOn w:val="DefaultParagraphFont"/>
    <w:uiPriority w:val="99"/>
    <w:semiHidden/>
    <w:unhideWhenUsed/>
    <w:rsid w:val="00CC5DA2"/>
    <w:rPr>
      <w:vertAlign w:val="superscript"/>
    </w:rPr>
  </w:style>
  <w:style w:type="character" w:styleId="CommentReference">
    <w:name w:val="annotation reference"/>
    <w:basedOn w:val="DefaultParagraphFont"/>
    <w:uiPriority w:val="99"/>
    <w:semiHidden/>
    <w:unhideWhenUsed/>
    <w:rsid w:val="00E3170C"/>
    <w:rPr>
      <w:sz w:val="16"/>
      <w:szCs w:val="16"/>
    </w:rPr>
  </w:style>
  <w:style w:type="paragraph" w:styleId="CommentText">
    <w:name w:val="annotation text"/>
    <w:basedOn w:val="Normal"/>
    <w:link w:val="CommentTextChar"/>
    <w:uiPriority w:val="99"/>
    <w:semiHidden/>
    <w:unhideWhenUsed/>
    <w:rsid w:val="00E3170C"/>
    <w:pPr>
      <w:spacing w:line="240" w:lineRule="auto"/>
    </w:pPr>
    <w:rPr>
      <w:sz w:val="20"/>
      <w:szCs w:val="20"/>
    </w:rPr>
  </w:style>
  <w:style w:type="character" w:customStyle="1" w:styleId="CommentTextChar">
    <w:name w:val="Comment Text Char"/>
    <w:basedOn w:val="DefaultParagraphFont"/>
    <w:link w:val="CommentText"/>
    <w:uiPriority w:val="99"/>
    <w:semiHidden/>
    <w:rsid w:val="00E3170C"/>
    <w:rPr>
      <w:sz w:val="20"/>
      <w:szCs w:val="20"/>
    </w:rPr>
  </w:style>
  <w:style w:type="paragraph" w:styleId="CommentSubject">
    <w:name w:val="annotation subject"/>
    <w:basedOn w:val="CommentText"/>
    <w:next w:val="CommentText"/>
    <w:link w:val="CommentSubjectChar"/>
    <w:uiPriority w:val="99"/>
    <w:semiHidden/>
    <w:unhideWhenUsed/>
    <w:rsid w:val="00E3170C"/>
    <w:rPr>
      <w:b/>
      <w:bCs/>
    </w:rPr>
  </w:style>
  <w:style w:type="character" w:customStyle="1" w:styleId="CommentSubjectChar">
    <w:name w:val="Comment Subject Char"/>
    <w:basedOn w:val="CommentTextChar"/>
    <w:link w:val="CommentSubject"/>
    <w:uiPriority w:val="99"/>
    <w:semiHidden/>
    <w:rsid w:val="00E3170C"/>
    <w:rPr>
      <w:b/>
      <w:bCs/>
      <w:sz w:val="20"/>
      <w:szCs w:val="20"/>
    </w:rPr>
  </w:style>
  <w:style w:type="paragraph" w:styleId="BalloonText">
    <w:name w:val="Balloon Text"/>
    <w:basedOn w:val="Normal"/>
    <w:link w:val="BalloonTextChar"/>
    <w:uiPriority w:val="99"/>
    <w:semiHidden/>
    <w:unhideWhenUsed/>
    <w:rsid w:val="00E3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7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5F65A2-4180-4EB1-BDF5-35B8709CBAA8}">
  <we:reference id="f78a3046-9e99-4300-aa2b-5814002b01a2" version="1.35.0.0" store="EXCatalog" storeType="EXCatalog"/>
  <we:alternateReferences>
    <we:reference id="WA104382081" version="1.35.0.0" store="fr-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0356FA7CD652498DFFA800177CEDF6" ma:contentTypeVersion="14" ma:contentTypeDescription="Crée un document." ma:contentTypeScope="" ma:versionID="2a2547da82c6eaba4d0fb4d8b7206fe0">
  <xsd:schema xmlns:xsd="http://www.w3.org/2001/XMLSchema" xmlns:xs="http://www.w3.org/2001/XMLSchema" xmlns:p="http://schemas.microsoft.com/office/2006/metadata/properties" xmlns:ns3="1b2189cb-ccb6-4287-a69c-1cd833b0d4d4" xmlns:ns4="97209f56-d127-49f6-965f-70fc22126732" targetNamespace="http://schemas.microsoft.com/office/2006/metadata/properties" ma:root="true" ma:fieldsID="f388557ee7e088466efcd0e0f7681f8f" ns3:_="" ns4:_="">
    <xsd:import namespace="1b2189cb-ccb6-4287-a69c-1cd833b0d4d4"/>
    <xsd:import namespace="97209f56-d127-49f6-965f-70fc2212673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189cb-ccb6-4287-a69c-1cd833b0d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209f56-d127-49f6-965f-70fc2212673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element name="SharingHintHash" ma:index="2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7A778-B79A-4E60-9762-853742134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189cb-ccb6-4287-a69c-1cd833b0d4d4"/>
    <ds:schemaRef ds:uri="97209f56-d127-49f6-965f-70fc221267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FA9F6F-E5F3-4396-8180-87C1FC29D1E8}">
  <ds:schemaRefs>
    <ds:schemaRef ds:uri="http://schemas.microsoft.com/sharepoint/v3/contenttype/forms"/>
  </ds:schemaRefs>
</ds:datastoreItem>
</file>

<file path=customXml/itemProps3.xml><?xml version="1.0" encoding="utf-8"?>
<ds:datastoreItem xmlns:ds="http://schemas.openxmlformats.org/officeDocument/2006/customXml" ds:itemID="{53EDFDEE-8BC2-417B-87F4-A59F74F03EE0}">
  <ds:schemaRefs>
    <ds:schemaRef ds:uri="http://schemas.microsoft.com/office/2006/documentManagement/types"/>
    <ds:schemaRef ds:uri="http://purl.org/dc/elements/1.1/"/>
    <ds:schemaRef ds:uri="97209f56-d127-49f6-965f-70fc22126732"/>
    <ds:schemaRef ds:uri="http://schemas.openxmlformats.org/package/2006/metadata/core-properties"/>
    <ds:schemaRef ds:uri="http://schemas.microsoft.com/office/2006/metadata/properties"/>
    <ds:schemaRef ds:uri="http://purl.org/dc/dcmitype/"/>
    <ds:schemaRef ds:uri="http://schemas.microsoft.com/office/infopath/2007/PartnerControls"/>
    <ds:schemaRef ds:uri="1b2189cb-ccb6-4287-a69c-1cd833b0d4d4"/>
    <ds:schemaRef ds:uri="http://www.w3.org/XML/1998/namespace"/>
    <ds:schemaRef ds:uri="http://purl.org/dc/terms/"/>
  </ds:schemaRefs>
</ds:datastoreItem>
</file>

<file path=customXml/itemProps4.xml><?xml version="1.0" encoding="utf-8"?>
<ds:datastoreItem xmlns:ds="http://schemas.openxmlformats.org/officeDocument/2006/customXml" ds:itemID="{8D35F689-2148-48DF-B997-0C1CFC20E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21810</Words>
  <Characters>124317</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Thamsuwan, Ornwipa</dc:creator>
  <cp:keywords/>
  <dc:description/>
  <cp:lastModifiedBy>Thamsuwan, Ornwipa</cp:lastModifiedBy>
  <cp:revision>3</cp:revision>
  <dcterms:created xsi:type="dcterms:W3CDTF">2022-04-30T21:47:00Z</dcterms:created>
  <dcterms:modified xsi:type="dcterms:W3CDTF">2022-04-30T22:08:00Z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0x0101008C0356FA7CD652498DFFA800177CEDF6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5be50c70-43e1-33ad-aab7-7646d9cbb625</vt:lpwstr>
  </property>
  <property fmtid="{D5CDD505-2E9C-101B-9397-08002B2CF9AE}" pid="25" name="Mendeley Citation Style_1">
    <vt:lpwstr>http://www.zotero.org/styles/apa</vt:lpwstr>
  </property>
</Properties>
</file>