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50" w:before="320" w:line="240" w:lineRule="auto"/>
        <w:rPr>
          <w:rFonts w:ascii="Nunito" w:cs="Nunito" w:eastAsia="Nunito" w:hAnsi="Nunito"/>
          <w:color w:val="2e74b5"/>
          <w:sz w:val="32"/>
          <w:szCs w:val="32"/>
        </w:rPr>
      </w:pPr>
      <w:r w:rsidDel="00000000" w:rsidR="00000000" w:rsidRPr="00000000">
        <w:rPr>
          <w:rFonts w:ascii="Nunito" w:cs="Nunito" w:eastAsia="Nunito" w:hAnsi="Nunito"/>
          <w:b w:val="1"/>
          <w:bCs w:val="1"/>
          <w:color w:val="10233f"/>
          <w:rtl w:val="0"/>
        </w:rPr>
        <w:t xml:space="preserve">Built for goods in motion, not just invoices in a system.</w:t>
      </w:r>
      <w:r w:rsidDel="00000000" w:rsidR="00000000" w:rsidRPr="00000000">
        <w:rPr>
          <w:rtl w:val="0"/>
        </w:rPr>
      </w:r>
    </w:p>
    <w:p w:rsidR="00000000" w:rsidDel="00000000" w:rsidP="00000000" w:rsidRDefault="00000000" w:rsidRPr="00000000" w14:paraId="00000002">
      <w:pPr>
        <w:spacing w:after="120" w:line="276" w:lineRule="auto"/>
        <w:rPr>
          <w:rFonts w:ascii="Nunito" w:cs="Nunito" w:eastAsia="Nunito" w:hAnsi="Nunito"/>
        </w:rPr>
      </w:pPr>
      <w:r w:rsidDel="00000000" w:rsidR="00000000" w:rsidRPr="00000000">
        <w:rPr>
          <w:rFonts w:ascii="Nunito" w:cs="Nunito" w:eastAsia="Nunito" w:hAnsi="Nunito"/>
          <w:rtl w:val="0"/>
        </w:rPr>
        <w:t xml:space="preserve">One integration. Every mandate. No new project when the next plant or country goes live.</w:t>
      </w:r>
    </w:p>
    <w:p w:rsidR="00000000" w:rsidDel="00000000" w:rsidP="00000000" w:rsidRDefault="00000000" w:rsidRPr="00000000" w14:paraId="00000003">
      <w:pPr>
        <w:spacing w:after="60" w:line="276" w:lineRule="auto"/>
        <w:rPr>
          <w:rFonts w:ascii="Nunito" w:cs="Nunito" w:eastAsia="Nunito" w:hAnsi="Nunito"/>
        </w:rPr>
      </w:pPr>
      <w:r w:rsidDel="00000000" w:rsidR="00000000" w:rsidRPr="00000000">
        <w:rPr>
          <w:rFonts w:ascii="Nunito" w:cs="Nunito" w:eastAsia="Nunito" w:hAnsi="Nunito"/>
          <w:b w:val="1"/>
          <w:bCs w:val="1"/>
          <w:rtl w:val="0"/>
        </w:rPr>
        <w:t xml:space="preserve">Trusted by</w:t>
      </w:r>
      <w:r w:rsidDel="00000000" w:rsidR="00000000" w:rsidRPr="00000000">
        <w:rPr>
          <w:rtl w:val="0"/>
        </w:rPr>
      </w:r>
    </w:p>
    <w:p w:rsidR="00000000" w:rsidDel="00000000" w:rsidP="00000000" w:rsidRDefault="00000000" w:rsidRPr="00000000" w14:paraId="00000004">
      <w:pPr>
        <w:pBdr>
          <w:top w:color="e4e4ec" w:space="6" w:sz="6" w:val="single"/>
        </w:pBdr>
        <w:spacing w:after="200" w:before="160" w:line="264" w:lineRule="auto"/>
        <w:rPr>
          <w:rFonts w:ascii="Nunito" w:cs="Nunito" w:eastAsia="Nunito" w:hAnsi="Nunito"/>
          <w:i w:val="1"/>
          <w:iCs w:val="1"/>
          <w:color w:val="5a6472"/>
          <w:sz w:val="20"/>
          <w:szCs w:val="20"/>
        </w:rPr>
      </w:pPr>
      <w:r w:rsidDel="00000000" w:rsidR="00000000" w:rsidRPr="00000000">
        <w:rPr>
          <w:rFonts w:ascii="Montserrat" w:cs="Montserrat" w:eastAsia="Montserrat" w:hAnsi="Montserrat"/>
          <w:b w:val="1"/>
          <w:bCs w:val="1"/>
          <w:color w:val="5b5870"/>
          <w:sz w:val="18"/>
          <w:szCs w:val="18"/>
          <w:rtl w:val="0"/>
        </w:rPr>
        <w:t xml:space="preserve">H&amp;M · IKEA · PUMA · Adidas · Giorgio Armani · Bisleri · Carrefour · Reckitt · PepsiCo · Landmark Group · Joyalukkas · Asics · Majid Al Futtaim · Malabar · LuLu · Dolce Gabbana · Nestle · Decathlon</w:t>
      </w:r>
      <w:r w:rsidDel="00000000" w:rsidR="00000000" w:rsidRPr="00000000">
        <w:rPr>
          <w:rFonts w:ascii="Montserrat" w:cs="Montserrat" w:eastAsia="Montserrat" w:hAnsi="Montserrat"/>
          <w:b w:val="1"/>
          <w:bCs w:val="1"/>
          <w:color w:val="05022a"/>
          <w:sz w:val="21"/>
          <w:szCs w:val="21"/>
          <w:rtl w:val="0"/>
        </w:rPr>
        <w:t xml:space="preserve"> </w:t>
      </w:r>
      <w:r w:rsidDel="00000000" w:rsidR="00000000" w:rsidRPr="00000000">
        <w:rPr>
          <w:rtl w:val="0"/>
        </w:rPr>
      </w:r>
    </w:p>
    <w:p w:rsidR="00000000" w:rsidDel="00000000" w:rsidP="00000000" w:rsidRDefault="00000000" w:rsidRPr="00000000" w14:paraId="00000005">
      <w:pPr>
        <w:pBdr>
          <w:bottom w:color="d5dae1" w:space="0" w:sz="6" w:val="single"/>
        </w:pBdr>
        <w:spacing w:after="220" w:before="220"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6">
      <w:pPr>
        <w:pStyle w:val="Heading2"/>
        <w:keepNext w:val="0"/>
        <w:keepLines w:val="0"/>
        <w:spacing w:after="150" w:before="320" w:line="240" w:lineRule="auto"/>
        <w:rPr>
          <w:rFonts w:ascii="Nunito" w:cs="Nunito" w:eastAsia="Nunito" w:hAnsi="Nunito"/>
          <w:b w:val="1"/>
          <w:bCs w:val="1"/>
          <w:color w:val="10233f"/>
        </w:rPr>
      </w:pPr>
      <w:r w:rsidDel="00000000" w:rsidR="00000000" w:rsidRPr="00000000">
        <w:rPr>
          <w:rFonts w:ascii="Nunito" w:cs="Nunito" w:eastAsia="Nunito" w:hAnsi="Nunito"/>
          <w:b w:val="1"/>
          <w:bCs w:val="1"/>
          <w:color w:val="10233f"/>
          <w:rtl w:val="0"/>
        </w:rPr>
        <w:t xml:space="preserve">We speak the language of your existing systems.</w:t>
      </w:r>
    </w:p>
    <w:p w:rsidR="00000000" w:rsidDel="00000000" w:rsidP="00000000" w:rsidRDefault="00000000" w:rsidRPr="00000000" w14:paraId="00000007">
      <w:pPr>
        <w:spacing w:after="140" w:line="264" w:lineRule="auto"/>
        <w:rPr>
          <w:rFonts w:ascii="Montserrat" w:cs="Montserrat" w:eastAsia="Montserrat" w:hAnsi="Montserrat"/>
          <w:color w:val="5b5870"/>
          <w:sz w:val="21"/>
          <w:szCs w:val="2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Enterprise ERPs</w:t>
            </w:r>
            <w:r w:rsidDel="00000000" w:rsidR="00000000" w:rsidRPr="00000000">
              <w:rPr>
                <w:rtl w:val="0"/>
              </w:rPr>
            </w:r>
          </w:p>
          <w:p w:rsidR="00000000" w:rsidDel="00000000" w:rsidP="00000000" w:rsidRDefault="00000000" w:rsidRPr="00000000" w14:paraId="00000009">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Where your transactions originate.</w:t>
            </w:r>
            <w:r w:rsidDel="00000000" w:rsidR="00000000" w:rsidRPr="00000000">
              <w:rPr>
                <w:rtl w:val="0"/>
              </w:rPr>
            </w:r>
          </w:p>
          <w:p w:rsidR="00000000" w:rsidDel="00000000" w:rsidP="00000000" w:rsidRDefault="00000000" w:rsidRPr="00000000" w14:paraId="0000000A">
            <w:pPr>
              <w:spacing w:after="180" w:line="276" w:lineRule="auto"/>
              <w:rPr>
                <w:rFonts w:ascii="Archivo" w:cs="Archivo" w:eastAsia="Archivo" w:hAnsi="Archivo"/>
                <w:b w:val="1"/>
                <w:bCs w:val="1"/>
                <w:color w:val="05022a"/>
                <w:sz w:val="26"/>
                <w:szCs w:val="26"/>
              </w:rPr>
            </w:pPr>
            <w:r w:rsidDel="00000000" w:rsidR="00000000" w:rsidRPr="00000000">
              <w:rPr>
                <w:rFonts w:ascii="Montserrat" w:cs="Montserrat" w:eastAsia="Montserrat" w:hAnsi="Montserrat"/>
                <w:color w:val="5446ff"/>
                <w:sz w:val="19"/>
                <w:szCs w:val="19"/>
                <w:rtl w:val="0"/>
              </w:rPr>
              <w:t xml:space="preserve">SAP S/4HANA · SAP ECC · Oracle Fusion · Oracle EBS · Microsoft D365 · Infor · QAD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Plant &amp; Warehouse systems</w:t>
            </w:r>
            <w:r w:rsidDel="00000000" w:rsidR="00000000" w:rsidRPr="00000000">
              <w:rPr>
                <w:rtl w:val="0"/>
              </w:rPr>
            </w:r>
          </w:p>
          <w:p w:rsidR="00000000" w:rsidDel="00000000" w:rsidP="00000000" w:rsidRDefault="00000000" w:rsidRPr="00000000" w14:paraId="0000000C">
            <w:pPr>
              <w:spacing w:after="40" w:line="276" w:lineRule="auto"/>
              <w:rPr>
                <w:rFonts w:ascii="Montserrat" w:cs="Montserrat" w:eastAsia="Montserrat" w:hAnsi="Montserrat"/>
                <w:color w:val="05022a"/>
                <w:sz w:val="21"/>
                <w:szCs w:val="21"/>
              </w:rPr>
            </w:pPr>
            <w:r w:rsidDel="00000000" w:rsidR="00000000" w:rsidRPr="00000000">
              <w:rPr>
                <w:rFonts w:ascii="Nunito" w:cs="Nunito" w:eastAsia="Nunito" w:hAnsi="Nunito"/>
                <w:rtl w:val="0"/>
              </w:rPr>
              <w:t xml:space="preserve">Where the material actually moves.</w:t>
            </w:r>
            <w:r w:rsidDel="00000000" w:rsidR="00000000" w:rsidRPr="00000000">
              <w:rPr>
                <w:rtl w:val="0"/>
              </w:rPr>
            </w:r>
          </w:p>
          <w:p w:rsidR="00000000" w:rsidDel="00000000" w:rsidP="00000000" w:rsidRDefault="00000000" w:rsidRPr="00000000" w14:paraId="0000000D">
            <w:pPr>
              <w:spacing w:after="180" w:line="276" w:lineRule="auto"/>
              <w:rPr>
                <w:rFonts w:ascii="Montserrat" w:cs="Montserrat" w:eastAsia="Montserrat" w:hAnsi="Montserrat"/>
                <w:color w:val="5446ff"/>
                <w:sz w:val="19"/>
                <w:szCs w:val="19"/>
              </w:rPr>
            </w:pPr>
            <w:r w:rsidDel="00000000" w:rsidR="00000000" w:rsidRPr="00000000">
              <w:rPr>
                <w:rFonts w:ascii="Montserrat" w:cs="Montserrat" w:eastAsia="Montserrat" w:hAnsi="Montserrat"/>
                <w:color w:val="5446ff"/>
                <w:sz w:val="19"/>
                <w:szCs w:val="19"/>
                <w:rtl w:val="0"/>
              </w:rPr>
              <w:t xml:space="preserve">MES · WMS · TMS · plant maintenance · barcode and scanner feeds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80" w:before="200" w:line="264" w:lineRule="auto"/>
              <w:rPr>
                <w:rFonts w:ascii="Montserrat" w:cs="Montserrat" w:eastAsia="Montserrat" w:hAnsi="Montserrat"/>
                <w:color w:val="05022a"/>
                <w:sz w:val="21"/>
                <w:szCs w:val="21"/>
              </w:rPr>
            </w:pPr>
            <w:r w:rsidDel="00000000" w:rsidR="00000000" w:rsidRPr="00000000">
              <w:rPr>
                <w:rFonts w:ascii="Archivo" w:cs="Archivo" w:eastAsia="Archivo" w:hAnsi="Archivo"/>
                <w:b w:val="1"/>
                <w:bCs w:val="1"/>
                <w:color w:val="05022a"/>
                <w:sz w:val="26"/>
                <w:szCs w:val="26"/>
                <w:rtl w:val="0"/>
              </w:rPr>
              <w:t xml:space="preserve">Trade, channel &amp; middleware</w:t>
            </w:r>
            <w:r w:rsidDel="00000000" w:rsidR="00000000" w:rsidRPr="00000000">
              <w:rPr>
                <w:rtl w:val="0"/>
              </w:rPr>
            </w:r>
          </w:p>
          <w:p w:rsidR="00000000" w:rsidDel="00000000" w:rsidP="00000000" w:rsidRDefault="00000000" w:rsidRPr="00000000" w14:paraId="0000000F">
            <w:pPr>
              <w:spacing w:after="140" w:line="264" w:lineRule="auto"/>
              <w:rPr>
                <w:rFonts w:ascii="Montserrat" w:cs="Montserrat" w:eastAsia="Montserrat" w:hAnsi="Montserrat"/>
                <w:color w:val="05022a"/>
                <w:sz w:val="21"/>
                <w:szCs w:val="21"/>
              </w:rPr>
            </w:pPr>
            <w:r w:rsidDel="00000000" w:rsidR="00000000" w:rsidRPr="00000000">
              <w:rPr>
                <w:rFonts w:ascii="Montserrat" w:cs="Montserrat" w:eastAsia="Montserrat" w:hAnsi="Montserrat"/>
                <w:color w:val="5b5870"/>
                <w:sz w:val="21"/>
                <w:szCs w:val="21"/>
                <w:rtl w:val="0"/>
              </w:rPr>
              <w:t xml:space="preserve">Where the goods cross the border, and the price is settled</w:t>
            </w:r>
            <w:r w:rsidDel="00000000" w:rsidR="00000000" w:rsidRPr="00000000">
              <w:rPr>
                <w:rtl w:val="0"/>
              </w:rPr>
            </w:r>
          </w:p>
          <w:p w:rsidR="00000000" w:rsidDel="00000000" w:rsidP="00000000" w:rsidRDefault="00000000" w:rsidRPr="00000000" w14:paraId="00000010">
            <w:pPr>
              <w:spacing w:after="180" w:line="276" w:lineRule="auto"/>
              <w:rPr>
                <w:rFonts w:ascii="Montserrat" w:cs="Montserrat" w:eastAsia="Montserrat" w:hAnsi="Montserrat"/>
                <w:color w:val="5446ff"/>
                <w:sz w:val="19"/>
                <w:szCs w:val="19"/>
              </w:rPr>
            </w:pPr>
            <w:r w:rsidDel="00000000" w:rsidR="00000000" w:rsidRPr="00000000">
              <w:rPr>
                <w:rFonts w:ascii="Montserrat" w:cs="Montserrat" w:eastAsia="Montserrat" w:hAnsi="Montserrat"/>
                <w:color w:val="5446ff"/>
                <w:sz w:val="19"/>
                <w:szCs w:val="19"/>
                <w:rtl w:val="0"/>
              </w:rPr>
              <w:t xml:space="preserve">Customs brokers · freight forwarders · 3PL · distributor portals · rebate management · EDI · TIBCO</w:t>
            </w:r>
          </w:p>
        </w:tc>
      </w:tr>
    </w:tbl>
    <w:p w:rsidR="00000000" w:rsidDel="00000000" w:rsidP="00000000" w:rsidRDefault="00000000" w:rsidRPr="00000000" w14:paraId="00000011">
      <w:pPr>
        <w:spacing w:after="180"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12">
      <w:pPr>
        <w:pBdr>
          <w:bottom w:color="d5dae1" w:space="0" w:sz="6" w:val="single"/>
        </w:pBdr>
        <w:spacing w:after="220" w:before="220"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13">
      <w:pPr>
        <w:pStyle w:val="Heading2"/>
        <w:keepNext w:val="0"/>
        <w:keepLines w:val="0"/>
        <w:spacing w:after="150" w:before="320" w:line="240" w:lineRule="auto"/>
        <w:rPr>
          <w:rFonts w:ascii="Nunito" w:cs="Nunito" w:eastAsia="Nunito" w:hAnsi="Nunito"/>
          <w:color w:val="2e74b5"/>
          <w:sz w:val="26"/>
          <w:szCs w:val="26"/>
        </w:rPr>
      </w:pPr>
      <w:r w:rsidDel="00000000" w:rsidR="00000000" w:rsidRPr="00000000">
        <w:rPr>
          <w:rFonts w:ascii="Nunito" w:cs="Nunito" w:eastAsia="Nunito" w:hAnsi="Nunito"/>
          <w:b w:val="1"/>
          <w:bCs w:val="1"/>
          <w:color w:val="10233f"/>
          <w:rtl w:val="0"/>
        </w:rPr>
        <w:t xml:space="preserve">From every plant and every movement to one source of truth.</w:t>
      </w:r>
      <w:r w:rsidDel="00000000" w:rsidR="00000000" w:rsidRPr="00000000">
        <w:rPr>
          <w:rtl w:val="0"/>
        </w:rPr>
      </w:r>
    </w:p>
    <w:p w:rsidR="00000000" w:rsidDel="00000000" w:rsidP="00000000" w:rsidRDefault="00000000" w:rsidRPr="00000000" w14:paraId="00000014">
      <w:pPr>
        <w:spacing w:after="60" w:line="276" w:lineRule="auto"/>
        <w:rPr>
          <w:rFonts w:ascii="Nunito" w:cs="Nunito" w:eastAsia="Nunito" w:hAnsi="Nunito"/>
          <w:b w:val="1"/>
          <w:bCs w:val="1"/>
          <w:color w:val="5a6472"/>
          <w:sz w:val="20"/>
          <w:szCs w:val="20"/>
        </w:rPr>
      </w:pPr>
      <w:r w:rsidDel="00000000" w:rsidR="00000000" w:rsidRPr="00000000">
        <w:rPr>
          <w:rFonts w:ascii="Nunito" w:cs="Nunito" w:eastAsia="Nunito" w:hAnsi="Nunito"/>
          <w:b w:val="1"/>
          <w:bCs w:val="1"/>
          <w:color w:val="5a6472"/>
          <w:sz w:val="20"/>
          <w:szCs w:val="20"/>
          <w:rtl w:val="0"/>
        </w:rPr>
        <w:t xml:space="preserve">SELL SIDE &amp; DISPATCH</w:t>
      </w:r>
    </w:p>
    <w:p w:rsidR="00000000" w:rsidDel="00000000" w:rsidP="00000000" w:rsidRDefault="00000000" w:rsidRPr="00000000" w14:paraId="00000015">
      <w:pPr>
        <w:spacing w:after="200" w:line="276" w:lineRule="auto"/>
        <w:rPr>
          <w:rFonts w:ascii="Nunito" w:cs="Nunito" w:eastAsia="Nunito" w:hAnsi="Nunito"/>
        </w:rPr>
      </w:pPr>
      <w:r w:rsidDel="00000000" w:rsidR="00000000" w:rsidRPr="00000000">
        <w:rPr>
          <w:rFonts w:ascii="Nunito" w:cs="Nunito" w:eastAsia="Nunito" w:hAnsi="Nunito"/>
          <w:b w:val="1"/>
          <w:bCs w:val="1"/>
          <w:color w:val="5a6472"/>
          <w:sz w:val="20"/>
          <w:szCs w:val="20"/>
        </w:rPr>
        <w:drawing>
          <wp:inline distB="114300" distT="114300" distL="114300" distR="114300">
            <wp:extent cx="5943600" cy="35179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60" w:line="276" w:lineRule="auto"/>
        <w:rPr>
          <w:rFonts w:ascii="Nunito" w:cs="Nunito" w:eastAsia="Nunito" w:hAnsi="Nunito"/>
        </w:rPr>
      </w:pPr>
      <w:r w:rsidDel="00000000" w:rsidR="00000000" w:rsidRPr="00000000">
        <w:rPr>
          <w:rFonts w:ascii="Nunito" w:cs="Nunito" w:eastAsia="Nunito" w:hAnsi="Nunito"/>
          <w:b w:val="1"/>
          <w:bCs w:val="1"/>
          <w:color w:val="5a6472"/>
          <w:sz w:val="20"/>
          <w:szCs w:val="20"/>
          <w:rtl w:val="0"/>
        </w:rPr>
        <w:t xml:space="preserve">PROCUREMENT, TRANSFERS &amp; GROUP</w:t>
      </w:r>
      <w:r w:rsidDel="00000000" w:rsidR="00000000" w:rsidRPr="00000000">
        <w:rPr>
          <w:rtl w:val="0"/>
        </w:rPr>
      </w:r>
    </w:p>
    <w:p w:rsidR="00000000" w:rsidDel="00000000" w:rsidP="00000000" w:rsidRDefault="00000000" w:rsidRPr="00000000" w14:paraId="00000017">
      <w:pPr>
        <w:pBdr>
          <w:bottom w:color="d5dae1" w:space="0" w:sz="6" w:val="single"/>
        </w:pBdr>
        <w:spacing w:after="220" w:before="220" w:lin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56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keepNext w:val="0"/>
        <w:keepLines w:val="0"/>
        <w:spacing w:after="150" w:before="320" w:line="240" w:lineRule="auto"/>
        <w:rPr>
          <w:rFonts w:ascii="Nunito" w:cs="Nunito" w:eastAsia="Nunito" w:hAnsi="Nunito"/>
          <w:color w:val="2e74b5"/>
          <w:sz w:val="26"/>
          <w:szCs w:val="26"/>
        </w:rPr>
      </w:pPr>
      <w:r w:rsidDel="00000000" w:rsidR="00000000" w:rsidRPr="00000000">
        <w:rPr>
          <w:rFonts w:ascii="Nunito" w:cs="Nunito" w:eastAsia="Nunito" w:hAnsi="Nunito"/>
          <w:b w:val="1"/>
          <w:bCs w:val="1"/>
          <w:color w:val="10233f"/>
          <w:rtl w:val="0"/>
        </w:rPr>
        <w:t xml:space="preserve">Global experience, mandate after mandate.</w:t>
      </w:r>
      <w:r w:rsidDel="00000000" w:rsidR="00000000" w:rsidRPr="00000000">
        <w:rPr>
          <w:rtl w:val="0"/>
        </w:rPr>
      </w:r>
    </w:p>
    <w:p w:rsidR="00000000" w:rsidDel="00000000" w:rsidP="00000000" w:rsidRDefault="00000000" w:rsidRPr="00000000" w14:paraId="00000019">
      <w:pPr>
        <w:spacing w:after="240" w:before="240" w:line="276" w:lineRule="auto"/>
        <w:rPr>
          <w:rFonts w:ascii="Nunito" w:cs="Nunito" w:eastAsia="Nunito" w:hAnsi="Nunito"/>
        </w:rPr>
      </w:pPr>
      <w:r w:rsidDel="00000000" w:rsidR="00000000" w:rsidRPr="00000000">
        <w:rPr>
          <w:rFonts w:ascii="Nunito" w:cs="Nunito" w:eastAsia="Nunito" w:hAnsi="Nunito"/>
          <w:b w:val="1"/>
          <w:bCs w:val="1"/>
          <w:color w:val="4f41e8"/>
          <w:sz w:val="21"/>
          <w:szCs w:val="21"/>
          <w:rtl w:val="0"/>
        </w:rPr>
        <w:t xml:space="preserve">ELECTRONICS MANUFACTURING · MALAYSIA · SAP ECC</w:t>
      </w:r>
      <w:r w:rsidDel="00000000" w:rsidR="00000000" w:rsidRPr="00000000">
        <w:rPr>
          <w:rFonts w:ascii="Nunito" w:cs="Nunito" w:eastAsia="Nunito" w:hAnsi="Nunito"/>
          <w:b w:val="1"/>
          <w:bCs w:val="1"/>
          <w:rtl w:val="0"/>
        </w:rPr>
        <w:t xml:space="preserve">- </w:t>
      </w:r>
      <w:r w:rsidDel="00000000" w:rsidR="00000000" w:rsidRPr="00000000">
        <w:rPr>
          <w:rFonts w:ascii="Nunito" w:cs="Nunito" w:eastAsia="Nunito" w:hAnsi="Nunito"/>
          <w:b w:val="1"/>
          <w:bCs w:val="1"/>
          <w:rtl w:val="0"/>
        </w:rPr>
        <w:t xml:space="preserve">500,000 invoices/ year</w:t>
      </w:r>
      <w:r w:rsidDel="00000000" w:rsidR="00000000" w:rsidRPr="00000000">
        <w:rPr>
          <w:rFonts w:ascii="Nunito" w:cs="Nunito" w:eastAsia="Nunito" w:hAnsi="Nunito"/>
          <w:rtl w:val="0"/>
        </w:rPr>
        <w:t xml:space="preserve"> </w:t>
        <w:br w:type="textWrapping"/>
        <w:t xml:space="preserve">ClearTax's own SI team built the SAP ECC integration and handles the full volume, around 2,000 documents every working day, submitted to LHDN under appointed intermediary status.</w:t>
      </w:r>
    </w:p>
    <w:p w:rsidR="00000000" w:rsidDel="00000000" w:rsidP="00000000" w:rsidRDefault="00000000" w:rsidRPr="00000000" w14:paraId="0000001A">
      <w:pPr>
        <w:spacing w:after="240" w:before="240" w:line="276" w:lineRule="auto"/>
        <w:rPr>
          <w:rFonts w:ascii="Nunito" w:cs="Nunito" w:eastAsia="Nunito" w:hAnsi="Nunito"/>
        </w:rPr>
      </w:pPr>
      <w:r w:rsidDel="00000000" w:rsidR="00000000" w:rsidRPr="00000000">
        <w:rPr>
          <w:rFonts w:ascii="Nunito" w:cs="Nunito" w:eastAsia="Nunito" w:hAnsi="Nunito"/>
          <w:b w:val="1"/>
          <w:bCs w:val="1"/>
          <w:color w:val="4f41e8"/>
          <w:sz w:val="21"/>
          <w:szCs w:val="21"/>
          <w:rtl w:val="0"/>
        </w:rPr>
        <w:t xml:space="preserve">LIGHTING &amp; ELECTRICALS · SAUDI ARABIA · MULTI-ERP</w:t>
      </w:r>
      <w:r w:rsidDel="00000000" w:rsidR="00000000" w:rsidRPr="00000000">
        <w:rPr>
          <w:rFonts w:ascii="Nunito" w:cs="Nunito" w:eastAsia="Nunito" w:hAnsi="Nunito"/>
          <w:b w:val="1"/>
          <w:bCs w:val="1"/>
          <w:rtl w:val="0"/>
        </w:rPr>
        <w:t xml:space="preserve"> - </w:t>
      </w:r>
      <w:r w:rsidDel="00000000" w:rsidR="00000000" w:rsidRPr="00000000">
        <w:rPr>
          <w:rFonts w:ascii="Nunito" w:cs="Nunito" w:eastAsia="Nunito" w:hAnsi="Nunito"/>
          <w:b w:val="1"/>
          <w:bCs w:val="1"/>
          <w:rtl w:val="0"/>
        </w:rPr>
        <w:t xml:space="preserve">3 ERPs, one layer</w:t>
      </w:r>
      <w:r w:rsidDel="00000000" w:rsidR="00000000" w:rsidRPr="00000000">
        <w:rPr>
          <w:rFonts w:ascii="Nunito" w:cs="Nunito" w:eastAsia="Nunito" w:hAnsi="Nunito"/>
          <w:rtl w:val="0"/>
        </w:rPr>
        <w:t xml:space="preserve"> </w:t>
        <w:br w:type="textWrapping"/>
        <w:t xml:space="preserve">SAP ECC, Oracle EBS and a custom system unified behind a single compliance layer. The estate stayed as it was; no consolidation project was needed to become compliant.</w:t>
      </w:r>
    </w:p>
    <w:p w:rsidR="00000000" w:rsidDel="00000000" w:rsidP="00000000" w:rsidRDefault="00000000" w:rsidRPr="00000000" w14:paraId="0000001B">
      <w:pPr>
        <w:pBdr>
          <w:bottom w:color="d5dae1" w:space="0" w:sz="6" w:val="single"/>
        </w:pBdr>
        <w:spacing w:after="220" w:before="220"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1C">
      <w:pPr>
        <w:pStyle w:val="Heading2"/>
        <w:keepNext w:val="0"/>
        <w:keepLines w:val="0"/>
        <w:spacing w:after="150" w:before="320" w:line="240" w:lineRule="auto"/>
        <w:rPr>
          <w:rFonts w:ascii="Nunito" w:cs="Nunito" w:eastAsia="Nunito" w:hAnsi="Nunito"/>
          <w:b w:val="1"/>
          <w:bCs w:val="1"/>
          <w:color w:val="10233f"/>
        </w:rPr>
      </w:pPr>
      <w:r w:rsidDel="00000000" w:rsidR="00000000" w:rsidRPr="00000000">
        <w:rPr>
          <w:rFonts w:ascii="Nunito" w:cs="Nunito" w:eastAsia="Nunito" w:hAnsi="Nunito"/>
          <w:b w:val="1"/>
          <w:bCs w:val="1"/>
          <w:color w:val="10233f"/>
          <w:rtl w:val="0"/>
        </w:rPr>
        <w:t xml:space="preserve">Solving the complexity of making and moving goods.</w:t>
      </w:r>
    </w:p>
    <w:p w:rsidR="00000000" w:rsidDel="00000000" w:rsidP="00000000" w:rsidRDefault="00000000" w:rsidRPr="00000000" w14:paraId="0000001D">
      <w:pPr>
        <w:spacing w:line="240" w:lineRule="auto"/>
        <w:rPr>
          <w:rFonts w:ascii="Nunito" w:cs="Nunito" w:eastAsia="Nunito" w:hAnsi="Nuni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Style w:val="Heading3"/>
              <w:keepNext w:val="0"/>
              <w:keepLines w:val="0"/>
              <w:spacing w:after="150" w:before="0" w:line="240" w:lineRule="auto"/>
              <w:rPr>
                <w:rFonts w:ascii="Nunito" w:cs="Nunito" w:eastAsia="Nunito" w:hAnsi="Nunito"/>
                <w:color w:val="1f4d78"/>
                <w:sz w:val="22"/>
                <w:szCs w:val="22"/>
              </w:rPr>
            </w:pPr>
            <w:bookmarkStart w:colFirst="0" w:colLast="0" w:name="_igp10qpwvobq" w:id="0"/>
            <w:bookmarkEnd w:id="0"/>
            <w:r w:rsidDel="00000000" w:rsidR="00000000" w:rsidRPr="00000000">
              <w:rPr>
                <w:rFonts w:ascii="Nunito" w:cs="Nunito" w:eastAsia="Nunito" w:hAnsi="Nunito"/>
                <w:b w:val="1"/>
                <w:bCs w:val="1"/>
                <w:color w:val="10233f"/>
                <w:sz w:val="26"/>
                <w:szCs w:val="26"/>
                <w:rtl w:val="0"/>
              </w:rPr>
              <w:t xml:space="preserve">Moving your own stock across a border must be invoiced</w:t>
            </w:r>
            <w:r w:rsidDel="00000000" w:rsidR="00000000" w:rsidRPr="00000000">
              <w:rPr>
                <w:rtl w:val="0"/>
              </w:rPr>
            </w:r>
          </w:p>
          <w:p w:rsidR="00000000" w:rsidDel="00000000" w:rsidP="00000000" w:rsidRDefault="00000000" w:rsidRPr="00000000" w14:paraId="0000001F">
            <w:pPr>
              <w:spacing w:after="120" w:line="240" w:lineRule="auto"/>
              <w:rPr>
                <w:rFonts w:ascii="Nunito" w:cs="Nunito" w:eastAsia="Nunito" w:hAnsi="Nunito"/>
                <w:sz w:val="20"/>
                <w:szCs w:val="20"/>
              </w:rPr>
            </w:pPr>
            <w:r w:rsidDel="00000000" w:rsidR="00000000" w:rsidRPr="00000000">
              <w:rPr>
                <w:rFonts w:ascii="Nunito" w:cs="Nunito" w:eastAsia="Nunito" w:hAnsi="Nunito"/>
                <w:rtl w:val="0"/>
              </w:rPr>
              <w:t xml:space="preserve">Every transfer of own goods is tracked from dispatch to call-off, with the register entry and the recapitulative report built as the movement happens. The 12-month clock runs per consignment, and stock about to time out is flagged as a deemed acquisition before it becomes one</w:t>
            </w:r>
            <w:r w:rsidDel="00000000" w:rsidR="00000000" w:rsidRPr="00000000">
              <w:rPr>
                <w:rFonts w:ascii="Nunito" w:cs="Nunito" w:eastAsia="Nunito" w:hAnsi="Nunito"/>
                <w:sz w:val="20"/>
                <w:szCs w:val="20"/>
                <w:rtl w:val="0"/>
              </w:rPr>
              <w:t xml:space="preserve">.</w:t>
            </w:r>
          </w:p>
          <w:p w:rsidR="00000000" w:rsidDel="00000000" w:rsidP="00000000" w:rsidRDefault="00000000" w:rsidRPr="00000000" w14:paraId="00000020">
            <w:pPr>
              <w:spacing w:after="120" w:line="240" w:lineRule="auto"/>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2838450" cy="9652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38450" cy="965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3"/>
              <w:keepNext w:val="0"/>
              <w:keepLines w:val="0"/>
              <w:spacing w:after="150" w:before="0" w:line="240" w:lineRule="auto"/>
              <w:rPr>
                <w:rFonts w:ascii="Nunito" w:cs="Nunito" w:eastAsia="Nunito" w:hAnsi="Nunito"/>
                <w:color w:val="1f4d78"/>
                <w:sz w:val="22"/>
                <w:szCs w:val="22"/>
              </w:rPr>
            </w:pPr>
            <w:bookmarkStart w:colFirst="0" w:colLast="0" w:name="_z5f3ji4eo8s7" w:id="1"/>
            <w:bookmarkEnd w:id="1"/>
            <w:r w:rsidDel="00000000" w:rsidR="00000000" w:rsidRPr="00000000">
              <w:rPr>
                <w:rFonts w:ascii="Nunito" w:cs="Nunito" w:eastAsia="Nunito" w:hAnsi="Nunito"/>
                <w:b w:val="1"/>
                <w:bCs w:val="1"/>
                <w:color w:val="10233f"/>
                <w:sz w:val="26"/>
                <w:szCs w:val="26"/>
                <w:rtl w:val="0"/>
              </w:rPr>
              <w:t xml:space="preserve">Three companies, one shipment, and only one leg is zero-rated</w:t>
            </w:r>
            <w:r w:rsidDel="00000000" w:rsidR="00000000" w:rsidRPr="00000000">
              <w:rPr>
                <w:rtl w:val="0"/>
              </w:rPr>
            </w:r>
          </w:p>
          <w:p w:rsidR="00000000" w:rsidDel="00000000" w:rsidP="00000000" w:rsidRDefault="00000000" w:rsidRPr="00000000" w14:paraId="00000022">
            <w:pPr>
              <w:spacing w:after="120" w:line="240" w:lineRule="auto"/>
              <w:rPr>
                <w:rFonts w:ascii="Nunito" w:cs="Nunito" w:eastAsia="Nunito" w:hAnsi="Nunito"/>
                <w:sz w:val="20"/>
                <w:szCs w:val="20"/>
              </w:rPr>
            </w:pPr>
            <w:r w:rsidDel="00000000" w:rsidR="00000000" w:rsidRPr="00000000">
              <w:rPr>
                <w:rFonts w:ascii="Nunito" w:cs="Nunito" w:eastAsia="Nunito" w:hAnsi="Nunito"/>
                <w:rtl w:val="0"/>
              </w:rPr>
              <w:t xml:space="preserve">The transport leg is assigned once, from who actually arranges the movement, and every document in the chain inherits that decision. Where the simplification does not hold, the registration it triggers surfaces before the goods leave, not after the return is filed.</w:t>
            </w:r>
            <w:r w:rsidDel="00000000" w:rsidR="00000000" w:rsidRPr="00000000">
              <w:rPr>
                <w:rFonts w:ascii="Nunito" w:cs="Nunito" w:eastAsia="Nunito" w:hAnsi="Nunito"/>
              </w:rPr>
              <w:drawing>
                <wp:inline distB="114300" distT="114300" distL="114300" distR="114300">
                  <wp:extent cx="2838450" cy="9906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838450" cy="990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3"/>
              <w:keepNext w:val="0"/>
              <w:keepLines w:val="0"/>
              <w:spacing w:after="150" w:before="0" w:line="240" w:lineRule="auto"/>
              <w:rPr>
                <w:rFonts w:ascii="Nunito" w:cs="Nunito" w:eastAsia="Nunito" w:hAnsi="Nunito"/>
                <w:color w:val="1f4d78"/>
                <w:sz w:val="22"/>
                <w:szCs w:val="22"/>
              </w:rPr>
            </w:pPr>
            <w:bookmarkStart w:colFirst="0" w:colLast="0" w:name="_3zr9mox44hg9" w:id="2"/>
            <w:bookmarkEnd w:id="2"/>
            <w:r w:rsidDel="00000000" w:rsidR="00000000" w:rsidRPr="00000000">
              <w:rPr>
                <w:rFonts w:ascii="Nunito" w:cs="Nunito" w:eastAsia="Nunito" w:hAnsi="Nunito"/>
                <w:b w:val="1"/>
                <w:bCs w:val="1"/>
                <w:color w:val="10233f"/>
                <w:sz w:val="26"/>
                <w:szCs w:val="26"/>
                <w:rtl w:val="0"/>
              </w:rPr>
              <w:t xml:space="preserve">Your ERP books a goods receipt. The tax is on a service.</w:t>
            </w:r>
            <w:r w:rsidDel="00000000" w:rsidR="00000000" w:rsidRPr="00000000">
              <w:rPr>
                <w:rtl w:val="0"/>
              </w:rPr>
            </w:r>
          </w:p>
          <w:p w:rsidR="00000000" w:rsidDel="00000000" w:rsidP="00000000" w:rsidRDefault="00000000" w:rsidRPr="00000000" w14:paraId="00000024">
            <w:pPr>
              <w:spacing w:after="120" w:line="276" w:lineRule="auto"/>
              <w:rPr>
                <w:rFonts w:ascii="Nunito" w:cs="Nunito" w:eastAsia="Nunito" w:hAnsi="Nunito"/>
              </w:rPr>
            </w:pPr>
            <w:r w:rsidDel="00000000" w:rsidR="00000000" w:rsidRPr="00000000">
              <w:rPr>
                <w:rFonts w:ascii="Nunito" w:cs="Nunito" w:eastAsia="Nunito" w:hAnsi="Nunito"/>
                <w:rtl w:val="0"/>
              </w:rPr>
              <w:t xml:space="preserve">Toll and subcontract flows are classified at item-category level, so a processing fee is treated as a service and free-issue material stays out of the sale. Ownership is tracked through the conversion, and the country where tax falls due follows the ownership, not the receipt.</w:t>
            </w:r>
          </w:p>
          <w:p w:rsidR="00000000" w:rsidDel="00000000" w:rsidP="00000000" w:rsidRDefault="00000000" w:rsidRPr="00000000" w14:paraId="00000025">
            <w:pPr>
              <w:spacing w:after="120" w:line="276"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2838450" cy="11176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38450" cy="111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Style w:val="Heading3"/>
              <w:keepNext w:val="0"/>
              <w:keepLines w:val="0"/>
              <w:spacing w:after="150" w:before="0" w:line="240" w:lineRule="auto"/>
              <w:rPr>
                <w:rFonts w:ascii="Nunito" w:cs="Nunito" w:eastAsia="Nunito" w:hAnsi="Nunito"/>
                <w:color w:val="1f4d78"/>
                <w:sz w:val="24"/>
                <w:szCs w:val="24"/>
              </w:rPr>
            </w:pPr>
            <w:bookmarkStart w:colFirst="0" w:colLast="0" w:name="_nonwmh57rfcp" w:id="3"/>
            <w:bookmarkEnd w:id="3"/>
            <w:r w:rsidDel="00000000" w:rsidR="00000000" w:rsidRPr="00000000">
              <w:rPr>
                <w:rFonts w:ascii="Nunito" w:cs="Nunito" w:eastAsia="Nunito" w:hAnsi="Nunito"/>
                <w:b w:val="1"/>
                <w:bCs w:val="1"/>
                <w:color w:val="10233f"/>
                <w:rtl w:val="0"/>
              </w:rPr>
              <w:t xml:space="preserve">Shipping something for nothing still needs an invoice</w:t>
            </w:r>
            <w:r w:rsidDel="00000000" w:rsidR="00000000" w:rsidRPr="00000000">
              <w:rPr>
                <w:rtl w:val="0"/>
              </w:rPr>
            </w:r>
          </w:p>
          <w:p w:rsidR="00000000" w:rsidDel="00000000" w:rsidP="00000000" w:rsidRDefault="00000000" w:rsidRPr="00000000" w14:paraId="00000027">
            <w:pPr>
              <w:spacing w:after="120" w:line="276" w:lineRule="auto"/>
              <w:rPr>
                <w:rFonts w:ascii="Nunito" w:cs="Nunito" w:eastAsia="Nunito" w:hAnsi="Nunito"/>
              </w:rPr>
            </w:pPr>
            <w:r w:rsidDel="00000000" w:rsidR="00000000" w:rsidRPr="00000000">
              <w:rPr>
                <w:rFonts w:ascii="Nunito" w:cs="Nunito" w:eastAsia="Nunito" w:hAnsi="Nunito"/>
                <w:rtl w:val="0"/>
              </w:rPr>
              <w:t xml:space="preserve">Each zero-value movement is classified when it is raised: warranty replacement, sample, promotional gift, scrap. The ones that are deemed supplies carry output tax on cost. The rest move on the right document with the evidence held against them.</w:t>
            </w:r>
          </w:p>
          <w:p w:rsidR="00000000" w:rsidDel="00000000" w:rsidP="00000000" w:rsidRDefault="00000000" w:rsidRPr="00000000" w14:paraId="00000028">
            <w:pPr>
              <w:widowControl w:val="0"/>
              <w:spacing w:lin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2838450" cy="11684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838450" cy="1168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keepNext w:val="0"/>
              <w:keepLines w:val="0"/>
              <w:spacing w:after="150" w:before="0" w:line="240" w:lineRule="auto"/>
              <w:rPr>
                <w:rFonts w:ascii="Nunito" w:cs="Nunito" w:eastAsia="Nunito" w:hAnsi="Nunito"/>
                <w:color w:val="1f4d78"/>
                <w:sz w:val="24"/>
                <w:szCs w:val="24"/>
              </w:rPr>
            </w:pPr>
            <w:bookmarkStart w:colFirst="0" w:colLast="0" w:name="_8lhdcp7mee10" w:id="4"/>
            <w:bookmarkEnd w:id="4"/>
            <w:r w:rsidDel="00000000" w:rsidR="00000000" w:rsidRPr="00000000">
              <w:rPr>
                <w:rFonts w:ascii="Nunito" w:cs="Nunito" w:eastAsia="Nunito" w:hAnsi="Nunito"/>
                <w:b w:val="1"/>
                <w:bCs w:val="1"/>
                <w:color w:val="10233f"/>
                <w:rtl w:val="0"/>
              </w:rPr>
              <w:t xml:space="preserve">A rebate agreed in March reprices invoices you filed in June</w:t>
            </w:r>
            <w:r w:rsidDel="00000000" w:rsidR="00000000" w:rsidRPr="00000000">
              <w:rPr>
                <w:rtl w:val="0"/>
              </w:rPr>
            </w:r>
          </w:p>
          <w:p w:rsidR="00000000" w:rsidDel="00000000" w:rsidP="00000000" w:rsidRDefault="00000000" w:rsidRPr="00000000" w14:paraId="0000002A">
            <w:pPr>
              <w:spacing w:after="120" w:line="276" w:lineRule="auto"/>
              <w:rPr>
                <w:rFonts w:ascii="Nunito" w:cs="Nunito" w:eastAsia="Nunito" w:hAnsi="Nunito"/>
              </w:rPr>
            </w:pPr>
            <w:r w:rsidDel="00000000" w:rsidR="00000000" w:rsidRPr="00000000">
              <w:rPr>
                <w:rFonts w:ascii="Nunito" w:cs="Nunito" w:eastAsia="Nunito" w:hAnsi="Nunito"/>
                <w:rtl w:val="0"/>
              </w:rPr>
              <w:t xml:space="preserve">Volume rebates accrue against the invoices they will adjust, then settle as credit notes that reference each one. Domestic and cross-border lines are split before the credit is issued, so the adjustment lands in the right base and the right return.</w:t>
            </w:r>
            <w:r w:rsidDel="00000000" w:rsidR="00000000" w:rsidRPr="00000000">
              <w:rPr>
                <w:rFonts w:ascii="Nunito" w:cs="Nunito" w:eastAsia="Nunito" w:hAnsi="Nunito"/>
              </w:rPr>
              <w:drawing>
                <wp:inline distB="114300" distT="114300" distL="114300" distR="114300">
                  <wp:extent cx="2838450" cy="9652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838450" cy="965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keepNext w:val="0"/>
              <w:keepLines w:val="0"/>
              <w:spacing w:after="150" w:before="0" w:line="240" w:lineRule="auto"/>
              <w:rPr>
                <w:rFonts w:ascii="Nunito" w:cs="Nunito" w:eastAsia="Nunito" w:hAnsi="Nunito"/>
                <w:color w:val="1f4d78"/>
                <w:sz w:val="24"/>
                <w:szCs w:val="24"/>
              </w:rPr>
            </w:pPr>
            <w:bookmarkStart w:colFirst="0" w:colLast="0" w:name="_9ydsllb2mobv" w:id="5"/>
            <w:bookmarkEnd w:id="5"/>
            <w:r w:rsidDel="00000000" w:rsidR="00000000" w:rsidRPr="00000000">
              <w:rPr>
                <w:rFonts w:ascii="Nunito" w:cs="Nunito" w:eastAsia="Nunito" w:hAnsi="Nunito"/>
                <w:b w:val="1"/>
                <w:bCs w:val="1"/>
                <w:color w:val="10233f"/>
                <w:rtl w:val="0"/>
              </w:rPr>
              <w:t xml:space="preserve">Ex Works makes the export the buyer’s job and the VAT yours</w:t>
            </w:r>
            <w:r w:rsidDel="00000000" w:rsidR="00000000" w:rsidRPr="00000000">
              <w:rPr>
                <w:rtl w:val="0"/>
              </w:rPr>
            </w:r>
          </w:p>
          <w:p w:rsidR="00000000" w:rsidDel="00000000" w:rsidP="00000000" w:rsidRDefault="00000000" w:rsidRPr="00000000" w14:paraId="0000002C">
            <w:pPr>
              <w:spacing w:after="120" w:line="276" w:lineRule="auto"/>
              <w:rPr>
                <w:rFonts w:ascii="Nunito" w:cs="Nunito" w:eastAsia="Nunito" w:hAnsi="Nunito"/>
              </w:rPr>
            </w:pPr>
            <w:r w:rsidDel="00000000" w:rsidR="00000000" w:rsidRPr="00000000">
              <w:rPr>
                <w:rFonts w:ascii="Nunito" w:cs="Nunito" w:eastAsia="Nunito" w:hAnsi="Nunito"/>
                <w:rtl w:val="0"/>
              </w:rPr>
              <w:t xml:space="preserve">The Incoterm on the order decides the treatment, not the shipping note. Where the buyer clears the goods, proof of exit is tracked against the invoice, and a shipment still missing evidence is flagged as a domestic sale before the return, not after the audit.</w:t>
            </w:r>
          </w:p>
          <w:p w:rsidR="00000000" w:rsidDel="00000000" w:rsidP="00000000" w:rsidRDefault="00000000" w:rsidRPr="00000000" w14:paraId="0000002D">
            <w:pPr>
              <w:widowControl w:val="0"/>
              <w:spacing w:line="240" w:lineRule="auto"/>
              <w:rPr>
                <w:rFonts w:ascii="Nunito" w:cs="Nunito" w:eastAsia="Nunito" w:hAnsi="Nunito"/>
              </w:rPr>
            </w:pPr>
            <w:r w:rsidDel="00000000" w:rsidR="00000000" w:rsidRPr="00000000">
              <w:rPr>
                <w:rFonts w:ascii="Nunito" w:cs="Nunito" w:eastAsia="Nunito" w:hAnsi="Nunito"/>
              </w:rPr>
              <w:drawing>
                <wp:inline distB="114300" distT="114300" distL="114300" distR="114300">
                  <wp:extent cx="2838450" cy="9779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838450" cy="97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spacing w:after="120"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2F">
      <w:pPr>
        <w:pBdr>
          <w:bottom w:color="d5dae1" w:space="0" w:sz="6" w:val="single"/>
        </w:pBdr>
        <w:spacing w:after="220" w:before="220"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30">
      <w:pPr>
        <w:pStyle w:val="Heading2"/>
        <w:keepNext w:val="0"/>
        <w:keepLines w:val="0"/>
        <w:spacing w:after="150" w:before="320" w:line="240" w:lineRule="auto"/>
        <w:rPr>
          <w:rFonts w:ascii="Nunito" w:cs="Nunito" w:eastAsia="Nunito" w:hAnsi="Nunito"/>
          <w:color w:val="2e74b5"/>
          <w:sz w:val="26"/>
          <w:szCs w:val="26"/>
        </w:rPr>
      </w:pPr>
      <w:r w:rsidDel="00000000" w:rsidR="00000000" w:rsidRPr="00000000">
        <w:rPr>
          <w:rFonts w:ascii="Nunito" w:cs="Nunito" w:eastAsia="Nunito" w:hAnsi="Nunito"/>
          <w:b w:val="1"/>
          <w:bCs w:val="1"/>
          <w:color w:val="10233f"/>
          <w:rtl w:val="0"/>
        </w:rPr>
        <w:t xml:space="preserve">Highest levels of security and audit readiness.</w:t>
      </w:r>
      <w:r w:rsidDel="00000000" w:rsidR="00000000" w:rsidRPr="00000000">
        <w:rPr>
          <w:rtl w:val="0"/>
        </w:rPr>
      </w:r>
    </w:p>
    <w:p w:rsidR="00000000" w:rsidDel="00000000" w:rsidP="00000000" w:rsidRDefault="00000000" w:rsidRPr="00000000" w14:paraId="00000031">
      <w:pPr>
        <w:spacing w:after="40" w:line="276" w:lineRule="auto"/>
        <w:rPr>
          <w:rFonts w:ascii="Nunito" w:cs="Nunito" w:eastAsia="Nunito" w:hAnsi="Nunito"/>
        </w:rPr>
      </w:pPr>
      <w:r w:rsidDel="00000000" w:rsidR="00000000" w:rsidRPr="00000000">
        <w:rPr>
          <w:rFonts w:ascii="Nunito" w:cs="Nunito" w:eastAsia="Nunito" w:hAnsi="Nunito"/>
          <w:b w:val="1"/>
          <w:bCs w:val="1"/>
          <w:rtl w:val="0"/>
        </w:rPr>
        <w:t xml:space="preserve">Certifications &amp; compliance</w:t>
      </w:r>
      <w:r w:rsidDel="00000000" w:rsidR="00000000" w:rsidRPr="00000000">
        <w:rPr>
          <w:rtl w:val="0"/>
        </w:rPr>
      </w:r>
    </w:p>
    <w:p w:rsidR="00000000" w:rsidDel="00000000" w:rsidP="00000000" w:rsidRDefault="00000000" w:rsidRPr="00000000" w14:paraId="00000032">
      <w:pPr>
        <w:spacing w:after="160" w:line="276" w:lineRule="auto"/>
        <w:rPr>
          <w:rFonts w:ascii="Nunito" w:cs="Nunito" w:eastAsia="Nunito" w:hAnsi="Nunito"/>
        </w:rPr>
      </w:pPr>
      <w:r w:rsidDel="00000000" w:rsidR="00000000" w:rsidRPr="00000000">
        <w:rPr>
          <w:rFonts w:ascii="Nunito" w:cs="Nunito" w:eastAsia="Nunito" w:hAnsi="Nunito"/>
          <w:rtl w:val="0"/>
        </w:rPr>
        <w:t xml:space="preserve">ISO 27001:2022 · SOC 2 Type II · ISO 22301 · GDPR. We do not self-declare security.</w:t>
      </w:r>
    </w:p>
    <w:p w:rsidR="00000000" w:rsidDel="00000000" w:rsidP="00000000" w:rsidRDefault="00000000" w:rsidRPr="00000000" w14:paraId="00000033">
      <w:pPr>
        <w:spacing w:after="40" w:line="276" w:lineRule="auto"/>
        <w:rPr>
          <w:rFonts w:ascii="Nunito" w:cs="Nunito" w:eastAsia="Nunito" w:hAnsi="Nunito"/>
        </w:rPr>
      </w:pPr>
      <w:r w:rsidDel="00000000" w:rsidR="00000000" w:rsidRPr="00000000">
        <w:rPr>
          <w:rFonts w:ascii="Nunito" w:cs="Nunito" w:eastAsia="Nunito" w:hAnsi="Nunito"/>
          <w:b w:val="1"/>
          <w:bCs w:val="1"/>
          <w:rtl w:val="0"/>
        </w:rPr>
        <w:t xml:space="preserve">Infrastructure &amp; edge protection</w:t>
      </w:r>
      <w:r w:rsidDel="00000000" w:rsidR="00000000" w:rsidRPr="00000000">
        <w:rPr>
          <w:rtl w:val="0"/>
        </w:rPr>
      </w:r>
    </w:p>
    <w:p w:rsidR="00000000" w:rsidDel="00000000" w:rsidP="00000000" w:rsidRDefault="00000000" w:rsidRPr="00000000" w14:paraId="00000034">
      <w:pPr>
        <w:spacing w:after="160" w:line="276" w:lineRule="auto"/>
        <w:rPr>
          <w:rFonts w:ascii="Nunito" w:cs="Nunito" w:eastAsia="Nunito" w:hAnsi="Nunito"/>
        </w:rPr>
      </w:pPr>
      <w:r w:rsidDel="00000000" w:rsidR="00000000" w:rsidRPr="00000000">
        <w:rPr>
          <w:rFonts w:ascii="Nunito" w:cs="Nunito" w:eastAsia="Nunito" w:hAnsi="Nunito"/>
          <w:rtl w:val="0"/>
        </w:rPr>
        <w:t xml:space="preserve">WAF and anti-DDoS filter traffic before the VPC. SentinelOne CSPM + DSPM for anomaly detection. Private subnets, no public IPs.</w:t>
      </w:r>
    </w:p>
    <w:p w:rsidR="00000000" w:rsidDel="00000000" w:rsidP="00000000" w:rsidRDefault="00000000" w:rsidRPr="00000000" w14:paraId="00000035">
      <w:pPr>
        <w:spacing w:after="40" w:line="276" w:lineRule="auto"/>
        <w:rPr>
          <w:rFonts w:ascii="Nunito" w:cs="Nunito" w:eastAsia="Nunito" w:hAnsi="Nunito"/>
        </w:rPr>
      </w:pPr>
      <w:r w:rsidDel="00000000" w:rsidR="00000000" w:rsidRPr="00000000">
        <w:rPr>
          <w:rFonts w:ascii="Nunito" w:cs="Nunito" w:eastAsia="Nunito" w:hAnsi="Nunito"/>
          <w:b w:val="1"/>
          <w:bCs w:val="1"/>
          <w:rtl w:val="0"/>
        </w:rPr>
        <w:t xml:space="preserve">Incident response &amp; audit logs</w:t>
      </w:r>
      <w:r w:rsidDel="00000000" w:rsidR="00000000" w:rsidRPr="00000000">
        <w:rPr>
          <w:rtl w:val="0"/>
        </w:rPr>
      </w:r>
    </w:p>
    <w:p w:rsidR="00000000" w:rsidDel="00000000" w:rsidP="00000000" w:rsidRDefault="00000000" w:rsidRPr="00000000" w14:paraId="00000036">
      <w:pPr>
        <w:spacing w:after="160" w:line="276" w:lineRule="auto"/>
        <w:rPr>
          <w:rFonts w:ascii="Nunito" w:cs="Nunito" w:eastAsia="Nunito" w:hAnsi="Nunito"/>
        </w:rPr>
      </w:pPr>
      <w:r w:rsidDel="00000000" w:rsidR="00000000" w:rsidRPr="00000000">
        <w:rPr>
          <w:rFonts w:ascii="Nunito" w:cs="Nunito" w:eastAsia="Nunito" w:hAnsi="Nunito"/>
          <w:rtl w:val="0"/>
        </w:rPr>
        <w:t xml:space="preserve">Every activity logged and traceable via SIEM and EDR. P0 response guaranteed under 24 hours.</w:t>
      </w:r>
    </w:p>
    <w:p w:rsidR="00000000" w:rsidDel="00000000" w:rsidP="00000000" w:rsidRDefault="00000000" w:rsidRPr="00000000" w14:paraId="00000037">
      <w:pPr>
        <w:spacing w:after="40" w:line="276" w:lineRule="auto"/>
        <w:rPr>
          <w:rFonts w:ascii="Nunito" w:cs="Nunito" w:eastAsia="Nunito" w:hAnsi="Nunito"/>
        </w:rPr>
      </w:pPr>
      <w:r w:rsidDel="00000000" w:rsidR="00000000" w:rsidRPr="00000000">
        <w:rPr>
          <w:rFonts w:ascii="Nunito" w:cs="Nunito" w:eastAsia="Nunito" w:hAnsi="Nunito"/>
          <w:b w:val="1"/>
          <w:bCs w:val="1"/>
          <w:rtl w:val="0"/>
        </w:rPr>
        <w:t xml:space="preserve">Encryption &amp; access identity</w:t>
      </w:r>
      <w:r w:rsidDel="00000000" w:rsidR="00000000" w:rsidRPr="00000000">
        <w:rPr>
          <w:rtl w:val="0"/>
        </w:rPr>
      </w:r>
    </w:p>
    <w:p w:rsidR="00000000" w:rsidDel="00000000" w:rsidP="00000000" w:rsidRDefault="00000000" w:rsidRPr="00000000" w14:paraId="00000038">
      <w:pPr>
        <w:spacing w:after="120" w:line="276" w:lineRule="auto"/>
        <w:rPr>
          <w:rFonts w:ascii="Nunito" w:cs="Nunito" w:eastAsia="Nunito" w:hAnsi="Nunito"/>
        </w:rPr>
      </w:pPr>
      <w:r w:rsidDel="00000000" w:rsidR="00000000" w:rsidRPr="00000000">
        <w:rPr>
          <w:rFonts w:ascii="Nunito" w:cs="Nunito" w:eastAsia="Nunito" w:hAnsi="Nunito"/>
          <w:rtl w:val="0"/>
        </w:rPr>
        <w:t xml:space="preserve">AES-256 at rest, TLS 1.2+ in transit. SAML/OIDC SSO, RBAC, no standing access.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chi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Archivo-italic.ttf"/><Relationship Id="rId10" Type="http://schemas.openxmlformats.org/officeDocument/2006/relationships/font" Target="fonts/Archivo-bold.ttf"/><Relationship Id="rId12" Type="http://schemas.openxmlformats.org/officeDocument/2006/relationships/font" Target="fonts/Archivo-boldItalic.ttf"/><Relationship Id="rId9" Type="http://schemas.openxmlformats.org/officeDocument/2006/relationships/font" Target="fonts/Archiv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