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52"/>
          <w:szCs w:val="52"/>
          <w:rtl w:val="0"/>
        </w:rPr>
        <w:t xml:space="preserve">We understand construction billing, not just e-invoicing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52"/>
          <w:szCs w:val="5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444746"/>
          <w:sz w:val="24"/>
          <w:szCs w:val="24"/>
          <w:rtl w:val="0"/>
        </w:rPr>
        <w:t xml:space="preserve">Ready before each mandate. Compliant from day one, in every market</w:t>
      </w:r>
      <w:r w:rsidDel="00000000" w:rsidR="00000000" w:rsidRPr="00000000">
        <w:rPr>
          <w:rFonts w:ascii="Montserrat" w:cs="Montserrat" w:eastAsia="Montserrat" w:hAnsi="Montserrat"/>
          <w:color w:val="5b587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64" w:lineRule="auto"/>
        <w:ind w:left="200" w:firstLine="0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4ec" w:space="6" w:sz="6" w:val="single"/>
        </w:pBdr>
        <w:spacing w:after="200" w:before="160" w:line="264" w:lineRule="auto"/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  <w:rtl w:val="0"/>
        </w:rPr>
        <w:t xml:space="preserve">Trusted by </w:t>
      </w:r>
    </w:p>
    <w:p w:rsidR="00000000" w:rsidDel="00000000" w:rsidP="00000000" w:rsidRDefault="00000000" w:rsidRPr="00000000" w14:paraId="00000005">
      <w:pPr>
        <w:pBdr>
          <w:top w:color="e4e4ec" w:space="6" w:sz="6" w:val="single"/>
        </w:pBdr>
        <w:spacing w:after="200" w:before="160" w:line="264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  <w:rtl w:val="0"/>
        </w:rPr>
        <w:t xml:space="preserve">Standard Chartered · Allianz · BSE · TATA AIG · IDFC · SBI Life · Sun Life · O3 Capital · Edelweiss Gallagher · Indiabulls Home Loans · Exide Life · Hero Fin 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We speak the language of your existing stack.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Real Estate ERPs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leases, SPVs and off-plan schedules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SAP RE-FX · Yardi Voyager · Oracle Fusion · MS Dynamics 365 · MRI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Construction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interim bills, Bills of Quantities (BOQs) and certification happen.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Procore · Primavera P6 · JD Edwards · SAP PS · COINS 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SPV &amp; JV Structures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entity boundaries and VAT groups are managed.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Entity register · VAT group map · Grace-period logic · JV boundary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From your core systems to one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mallCaps w:val="1"/>
          <w:color w:val="5b5870"/>
          <w:sz w:val="17"/>
          <w:szCs w:val="17"/>
          <w:rtl w:val="0"/>
        </w:rPr>
        <w:t xml:space="preserve">REAL ESTATE DEVELOPMENT &amp;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</w:rPr>
        <w:drawing>
          <wp:inline distB="114300" distT="114300" distL="114300" distR="114300">
            <wp:extent cx="5943600" cy="3644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mallCaps w:val="1"/>
          <w:color w:val="5b5870"/>
          <w:sz w:val="17"/>
          <w:szCs w:val="17"/>
          <w:rtl w:val="0"/>
        </w:rPr>
        <w:t xml:space="preserve">CONSTRUCTION &amp; PROCUREMENT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360" w:line="264" w:lineRule="auto"/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  <w:drawing>
          <wp:inline distB="114300" distT="114300" distL="114300" distR="114300">
            <wp:extent cx="5967413" cy="317661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176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The same challenges. Already 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8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EAL ESTATE · MULTI-ENTITY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Montserrat" w:cs="Montserrat" w:eastAsia="Montserrat" w:hAnsi="Montserrat"/>
          <w:color w:val="05022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4 BUs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Retention billing, that regime's mandatory Arabic fields and automated PDF generation across 4 business units from one Oracle Fusion integration. Live across all 4 units at once, no phased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8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RESIDENTIAL DEVELOPER · TAX-EXEMPT LEASES ·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B2C fix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t xml:space="preserve">   </w:t>
        <w:br w:type="textWrapping"/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Tax-exempt lease invoices for individual tenants with no VAT registration number were generating system-wide rejections. The simplified invoice path resolved them at source. </w:t>
      </w:r>
    </w:p>
    <w:p w:rsidR="00000000" w:rsidDel="00000000" w:rsidP="00000000" w:rsidRDefault="00000000" w:rsidRPr="00000000" w14:paraId="0000001E">
      <w:pPr>
        <w:spacing w:after="1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PROPERTY DEVELOPER ·  OFF-PLAN &amp; ADVANCES ·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Mixed invoice splitter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t xml:space="preserve">   </w:t>
        <w:br w:type="textWrapping"/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Advance payment invoices with B2B and B2C routing for non-registered buyers. Positive lines issue as tax invoices; negative lines route to credit notes. Zero errors at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80" w:line="264" w:lineRule="auto"/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RE + RETAIL · HIGH-VOLUME MIXED PORTFOLIO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3 streams 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Hundreds of thousands of monthly transactions across B2C receipts, B2B invoices and self-billed documents, plus a B2C portal for end-consumers to retrieve their own invoices.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="264" w:lineRule="auto"/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Every compliance edge case, pre-solved.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One property sale can have multiple tax rates on the same 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40" w:line="264" w:lineRule="auto"/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Tax category codes are assigned and validated at line level, never rolled up to the invoice. Exempt lines auto-match to the correct exemption reason at master-data load</w:t>
            </w: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7791450" cy="29337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Off-plan sales are billed in stages, and credit notes are common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Instalment schedules auto-generate a compliant e-invoice at each milestone trigger, with the tax point set to the contractual event. Post-transmission amendment is blocked.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7753350" cy="2933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35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Long-term leases create recurring invoices across every payment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Each periodic invoice generates from the lease master rather than the finance calendar, tagged as a continuous supply with the tax point set to the instalment due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6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  <w:drawing>
                <wp:inline distB="114300" distT="114300" distL="114300" distR="114300">
                  <wp:extent cx="7734300" cy="30289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0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Transfers between group entities still require valid invoices at arm's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A live entity register maps every vehicle and joint venture against VAT-group membership, so the engine knows in real time whether a transfer is disregarded or invoiceable.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6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7734300" cy="29718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Retention is held back on every invoice but must still appear as a separate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Retention is structured as a distinct, correctly classified line item on every interim bill, never a bottom-line deduction. Unapproved variations are blocked from invoice generation.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before="6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  <w:drawing>
                <wp:inline distB="114300" distT="114300" distL="114300" distR="114300">
                  <wp:extent cx="7658100" cy="295275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0" cy="2952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Property records outlive every other tax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The archive stores the structured document at line level for the longest window that applies in each market, exportable in open UBL or the original national format at any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  <w:drawing>
                <wp:inline distB="114300" distT="114300" distL="114300" distR="114300">
                  <wp:extent cx="7810500" cy="29718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Highest levels of security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Certifications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ISO 27001:2022 · SOC 2 Type II · ISO 22301 · GDPR. We do not self-declare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Infrastructure &amp; edge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WAF and anti-DDoS filter traffic before the VPC. SentinelOne CSPM + DSPM for anomaly detection. Private subnets, no public 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Incident response &amp;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Every activity logged and traceable via SIEM and EDR. P0 response guaranteed under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Encryption &amp; access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AES-256 at rest, TLS 1.2+ in transit. SAML/OIDC SSO, RBAC, no standing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