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52"/>
          <w:szCs w:val="52"/>
          <w:rtl w:val="0"/>
        </w:rPr>
        <w:t xml:space="preserve">Built for subscriptions, renewals and the invoices they trigger.</w:t>
      </w:r>
      <w:r w:rsidDel="00000000" w:rsidR="00000000" w:rsidRPr="00000000">
        <w:rPr>
          <w:rtl w:val="0"/>
        </w:rPr>
      </w:r>
    </w:p>
    <w:p w:rsidR="00000000" w:rsidDel="00000000" w:rsidP="00000000" w:rsidRDefault="00000000" w:rsidRPr="00000000" w14:paraId="00000002">
      <w:pPr>
        <w:spacing w:after="20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444746"/>
          <w:sz w:val="24"/>
          <w:szCs w:val="24"/>
          <w:rtl w:val="0"/>
        </w:rPr>
        <w:t xml:space="preserve">Built for how software and professional services actually work: a subscription that renews into a fresh sale every cycle, expenses that pick up tax on the way to your client, and an export that only counts if every condition holds</w:t>
      </w:r>
      <w:r w:rsidDel="00000000" w:rsidR="00000000" w:rsidRPr="00000000">
        <w:rPr>
          <w:rFonts w:ascii="Montserrat" w:cs="Montserrat" w:eastAsia="Montserrat" w:hAnsi="Montserrat"/>
          <w:color w:val="5b5870"/>
          <w:sz w:val="24"/>
          <w:szCs w:val="24"/>
          <w:rtl w:val="0"/>
        </w:rPr>
        <w:t xml:space="preserve">.</w:t>
      </w:r>
      <w:r w:rsidDel="00000000" w:rsidR="00000000" w:rsidRPr="00000000">
        <w:rPr>
          <w:rtl w:val="0"/>
        </w:rPr>
      </w:r>
    </w:p>
    <w:p w:rsidR="00000000" w:rsidDel="00000000" w:rsidP="00000000" w:rsidRDefault="00000000" w:rsidRPr="00000000" w14:paraId="00000003">
      <w:pPr>
        <w:spacing w:after="60" w:line="264" w:lineRule="auto"/>
        <w:ind w:left="200" w:firstLine="0"/>
        <w:rPr>
          <w:rFonts w:ascii="Montserrat" w:cs="Montserrat" w:eastAsia="Montserrat" w:hAnsi="Montserrat"/>
          <w:color w:val="05022a"/>
          <w:sz w:val="21"/>
          <w:szCs w:val="21"/>
        </w:rPr>
      </w:pPr>
      <w:r w:rsidDel="00000000" w:rsidR="00000000" w:rsidRPr="00000000">
        <w:rPr>
          <w:rtl w:val="0"/>
        </w:rPr>
      </w:r>
    </w:p>
    <w:p w:rsidR="00000000" w:rsidDel="00000000" w:rsidP="00000000" w:rsidRDefault="00000000" w:rsidRPr="00000000" w14:paraId="00000004">
      <w:pPr>
        <w:pBdr>
          <w:top w:color="e4e4ec" w:space="6" w:sz="6" w:val="single"/>
        </w:pBdr>
        <w:spacing w:after="200" w:before="160" w:line="264" w:lineRule="auto"/>
        <w:rPr>
          <w:rFonts w:ascii="Montserrat" w:cs="Montserrat" w:eastAsia="Montserrat" w:hAnsi="Montserrat"/>
          <w:b w:val="1"/>
          <w:bCs w:val="1"/>
          <w:color w:val="5b5870"/>
          <w:sz w:val="18"/>
          <w:szCs w:val="18"/>
        </w:rPr>
      </w:pPr>
      <w:r w:rsidDel="00000000" w:rsidR="00000000" w:rsidRPr="00000000">
        <w:rPr>
          <w:rFonts w:ascii="Montserrat" w:cs="Montserrat" w:eastAsia="Montserrat" w:hAnsi="Montserrat"/>
          <w:b w:val="1"/>
          <w:bCs w:val="1"/>
          <w:color w:val="5b5870"/>
          <w:sz w:val="18"/>
          <w:szCs w:val="18"/>
          <w:rtl w:val="0"/>
        </w:rPr>
        <w:t xml:space="preserve">Trusted by 6000+</w:t>
      </w:r>
    </w:p>
    <w:p w:rsidR="00000000" w:rsidDel="00000000" w:rsidP="00000000" w:rsidRDefault="00000000" w:rsidRPr="00000000" w14:paraId="00000005">
      <w:pPr>
        <w:pBdr>
          <w:top w:color="e4e4ec" w:space="6" w:sz="6" w:val="single"/>
        </w:pBdr>
        <w:spacing w:after="200" w:before="160" w:line="264" w:lineRule="auto"/>
        <w:rPr>
          <w:rFonts w:ascii="Montserrat" w:cs="Montserrat" w:eastAsia="Montserrat" w:hAnsi="Montserrat"/>
          <w:b w:val="1"/>
          <w:bCs w:val="1"/>
          <w:color w:val="05022a"/>
          <w:sz w:val="21"/>
          <w:szCs w:val="21"/>
        </w:rPr>
      </w:pPr>
      <w:r w:rsidDel="00000000" w:rsidR="00000000" w:rsidRPr="00000000">
        <w:rPr>
          <w:rFonts w:ascii="Montserrat" w:cs="Montserrat" w:eastAsia="Montserrat" w:hAnsi="Montserrat"/>
          <w:b w:val="1"/>
          <w:bCs w:val="1"/>
          <w:color w:val="5b5870"/>
          <w:sz w:val="18"/>
          <w:szCs w:val="18"/>
          <w:rtl w:val="0"/>
        </w:rPr>
        <w:t xml:space="preserve">[Customer logo row]</w:t>
      </w:r>
      <w:r w:rsidDel="00000000" w:rsidR="00000000" w:rsidRPr="00000000">
        <w:rPr>
          <w:rtl w:val="0"/>
        </w:rPr>
      </w:r>
    </w:p>
    <w:p w:rsidR="00000000" w:rsidDel="00000000" w:rsidP="00000000" w:rsidRDefault="00000000" w:rsidRPr="00000000" w14:paraId="00000006">
      <w:pPr>
        <w:spacing w:after="140" w:before="36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36"/>
          <w:szCs w:val="36"/>
          <w:rtl w:val="0"/>
        </w:rPr>
        <w:t xml:space="preserve">We speak the language of your existing systems. </w:t>
      </w:r>
      <w:r w:rsidDel="00000000" w:rsidR="00000000" w:rsidRPr="00000000">
        <w:rPr>
          <w:rtl w:val="0"/>
        </w:rPr>
      </w:r>
    </w:p>
    <w:p w:rsidR="00000000" w:rsidDel="00000000" w:rsidP="00000000" w:rsidRDefault="00000000" w:rsidRPr="00000000" w14:paraId="00000007">
      <w:pPr>
        <w:spacing w:after="140" w:line="264" w:lineRule="auto"/>
        <w:rPr>
          <w:rFonts w:ascii="Montserrat" w:cs="Montserrat" w:eastAsia="Montserrat" w:hAnsi="Montserrat"/>
          <w:color w:val="5b5870"/>
          <w:sz w:val="21"/>
          <w:szCs w:val="21"/>
        </w:rPr>
      </w:pPr>
      <w:r w:rsidDel="00000000" w:rsidR="00000000" w:rsidRPr="00000000">
        <w:rPr>
          <w:rtl w:val="0"/>
        </w:rPr>
      </w:r>
    </w:p>
    <w:p w:rsidR="00000000" w:rsidDel="00000000" w:rsidP="00000000" w:rsidRDefault="00000000" w:rsidRPr="00000000" w14:paraId="00000008">
      <w:pPr>
        <w:spacing w:after="140" w:line="264" w:lineRule="auto"/>
        <w:rPr>
          <w:rFonts w:ascii="Montserrat" w:cs="Montserrat" w:eastAsia="Montserrat" w:hAnsi="Montserrat"/>
          <w:color w:val="5b5870"/>
          <w:sz w:val="21"/>
          <w:szCs w:val="2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Finance &amp; billing</w:t>
            </w:r>
            <w:r w:rsidDel="00000000" w:rsidR="00000000" w:rsidRPr="00000000">
              <w:rPr>
                <w:rtl w:val="0"/>
              </w:rPr>
            </w:r>
          </w:p>
          <w:p w:rsidR="00000000" w:rsidDel="00000000" w:rsidP="00000000" w:rsidRDefault="00000000" w:rsidRPr="00000000" w14:paraId="0000000A">
            <w:pPr>
              <w:spacing w:after="1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5b5870"/>
                <w:sz w:val="21"/>
                <w:szCs w:val="21"/>
                <w:rtl w:val="0"/>
              </w:rPr>
              <w:t xml:space="preserve">Where the invoice is raised.</w:t>
            </w:r>
            <w:r w:rsidDel="00000000" w:rsidR="00000000" w:rsidRPr="00000000">
              <w:rPr>
                <w:rtl w:val="0"/>
              </w:rPr>
            </w:r>
          </w:p>
          <w:p w:rsidR="00000000" w:rsidDel="00000000" w:rsidP="00000000" w:rsidRDefault="00000000" w:rsidRPr="00000000" w14:paraId="0000000B">
            <w:pPr>
              <w:spacing w:after="160" w:line="264" w:lineRule="auto"/>
              <w:rPr>
                <w:rFonts w:ascii="Archivo" w:cs="Archivo" w:eastAsia="Archivo" w:hAnsi="Archivo"/>
                <w:b w:val="1"/>
                <w:bCs w:val="1"/>
                <w:color w:val="05022a"/>
                <w:sz w:val="26"/>
                <w:szCs w:val="26"/>
              </w:rPr>
            </w:pPr>
            <w:r w:rsidDel="00000000" w:rsidR="00000000" w:rsidRPr="00000000">
              <w:rPr>
                <w:rFonts w:ascii="Montserrat" w:cs="Montserrat" w:eastAsia="Montserrat" w:hAnsi="Montserrat"/>
                <w:color w:val="5446ff"/>
                <w:sz w:val="19"/>
                <w:szCs w:val="19"/>
                <w:rtl w:val="0"/>
              </w:rPr>
              <w:t xml:space="preserve">NetSuite · SAP · Oracle Fusion · Microsoft Dynamics 365 · Sage Intacct · Xero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Subscription engines</w:t>
            </w:r>
            <w:r w:rsidDel="00000000" w:rsidR="00000000" w:rsidRPr="00000000">
              <w:rPr>
                <w:rtl w:val="0"/>
              </w:rPr>
            </w:r>
          </w:p>
          <w:p w:rsidR="00000000" w:rsidDel="00000000" w:rsidP="00000000" w:rsidRDefault="00000000" w:rsidRPr="00000000" w14:paraId="0000000D">
            <w:pPr>
              <w:spacing w:after="1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5b5870"/>
                <w:sz w:val="21"/>
                <w:szCs w:val="21"/>
                <w:rtl w:val="0"/>
              </w:rPr>
              <w:t xml:space="preserve">Where recurring revenue is priced and charged.</w:t>
            </w:r>
            <w:r w:rsidDel="00000000" w:rsidR="00000000" w:rsidRPr="00000000">
              <w:rPr>
                <w:rtl w:val="0"/>
              </w:rPr>
            </w:r>
          </w:p>
          <w:p w:rsidR="00000000" w:rsidDel="00000000" w:rsidP="00000000" w:rsidRDefault="00000000" w:rsidRPr="00000000" w14:paraId="0000000E">
            <w:pPr>
              <w:spacing w:after="160" w:line="264" w:lineRule="auto"/>
              <w:rPr>
                <w:rFonts w:ascii="Archivo" w:cs="Archivo" w:eastAsia="Archivo" w:hAnsi="Archivo"/>
                <w:b w:val="1"/>
                <w:bCs w:val="1"/>
                <w:color w:val="05022a"/>
                <w:sz w:val="26"/>
                <w:szCs w:val="26"/>
              </w:rPr>
            </w:pPr>
            <w:r w:rsidDel="00000000" w:rsidR="00000000" w:rsidRPr="00000000">
              <w:rPr>
                <w:rFonts w:ascii="Montserrat" w:cs="Montserrat" w:eastAsia="Montserrat" w:hAnsi="Montserrat"/>
                <w:color w:val="5446ff"/>
                <w:sz w:val="19"/>
                <w:szCs w:val="19"/>
                <w:rtl w:val="0"/>
              </w:rPr>
              <w:t xml:space="preserve">Stripe Billing · Zuora · Chargebee · Recurly · Paddle · in-house metering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PSA, CRM &amp; middleware</w:t>
            </w:r>
            <w:r w:rsidDel="00000000" w:rsidR="00000000" w:rsidRPr="00000000">
              <w:rPr>
                <w:rtl w:val="0"/>
              </w:rPr>
            </w:r>
          </w:p>
          <w:p w:rsidR="00000000" w:rsidDel="00000000" w:rsidP="00000000" w:rsidRDefault="00000000" w:rsidRPr="00000000" w14:paraId="00000010">
            <w:pPr>
              <w:spacing w:after="1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5b5870"/>
                <w:sz w:val="21"/>
                <w:szCs w:val="21"/>
                <w:rtl w:val="0"/>
              </w:rPr>
              <w:t xml:space="preserve">Where the engagement and the client record live.</w:t>
            </w:r>
            <w:r w:rsidDel="00000000" w:rsidR="00000000" w:rsidRPr="00000000">
              <w:rPr>
                <w:rtl w:val="0"/>
              </w:rPr>
            </w:r>
          </w:p>
          <w:p w:rsidR="00000000" w:rsidDel="00000000" w:rsidP="00000000" w:rsidRDefault="00000000" w:rsidRPr="00000000" w14:paraId="00000011">
            <w:pPr>
              <w:spacing w:after="160" w:line="264" w:lineRule="auto"/>
              <w:rPr>
                <w:rFonts w:ascii="Archivo" w:cs="Archivo" w:eastAsia="Archivo" w:hAnsi="Archivo"/>
                <w:b w:val="1"/>
                <w:bCs w:val="1"/>
                <w:color w:val="05022a"/>
                <w:sz w:val="26"/>
                <w:szCs w:val="26"/>
              </w:rPr>
            </w:pPr>
            <w:r w:rsidDel="00000000" w:rsidR="00000000" w:rsidRPr="00000000">
              <w:rPr>
                <w:rFonts w:ascii="Montserrat" w:cs="Montserrat" w:eastAsia="Montserrat" w:hAnsi="Montserrat"/>
                <w:color w:val="5446ff"/>
                <w:sz w:val="19"/>
                <w:szCs w:val="19"/>
                <w:rtl w:val="0"/>
              </w:rPr>
              <w:t xml:space="preserve">Salesforce · HubSpot · Kantata · Certinia · Workday · Unified API</w:t>
            </w:r>
            <w:r w:rsidDel="00000000" w:rsidR="00000000" w:rsidRPr="00000000">
              <w:rPr>
                <w:rtl w:val="0"/>
              </w:rPr>
            </w:r>
          </w:p>
        </w:tc>
      </w:tr>
    </w:tbl>
    <w:p w:rsidR="00000000" w:rsidDel="00000000" w:rsidP="00000000" w:rsidRDefault="00000000" w:rsidRPr="00000000" w14:paraId="00000012">
      <w:pPr>
        <w:spacing w:after="140" w:line="264" w:lineRule="auto"/>
        <w:rPr>
          <w:rFonts w:ascii="Montserrat" w:cs="Montserrat" w:eastAsia="Montserrat" w:hAnsi="Montserrat"/>
          <w:color w:val="5b5870"/>
          <w:sz w:val="21"/>
          <w:szCs w:val="21"/>
        </w:rPr>
      </w:pPr>
      <w:r w:rsidDel="00000000" w:rsidR="00000000" w:rsidRPr="00000000">
        <w:rPr>
          <w:rtl w:val="0"/>
        </w:rPr>
      </w:r>
    </w:p>
    <w:p w:rsidR="00000000" w:rsidDel="00000000" w:rsidP="00000000" w:rsidRDefault="00000000" w:rsidRPr="00000000" w14:paraId="00000013">
      <w:pPr>
        <w:spacing w:after="140" w:line="264" w:lineRule="auto"/>
        <w:rPr>
          <w:rFonts w:ascii="Montserrat" w:cs="Montserrat" w:eastAsia="Montserrat" w:hAnsi="Montserrat"/>
          <w:color w:val="05022a"/>
          <w:sz w:val="21"/>
          <w:szCs w:val="21"/>
        </w:rPr>
      </w:pPr>
      <w:r w:rsidDel="00000000" w:rsidR="00000000" w:rsidRPr="00000000">
        <w:rPr>
          <w:rtl w:val="0"/>
        </w:rPr>
      </w:r>
    </w:p>
    <w:p w:rsidR="00000000" w:rsidDel="00000000" w:rsidP="00000000" w:rsidRDefault="00000000" w:rsidRPr="00000000" w14:paraId="00000014">
      <w:pPr>
        <w:spacing w:after="140" w:before="36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36"/>
          <w:szCs w:val="36"/>
          <w:rtl w:val="0"/>
        </w:rPr>
        <w:t xml:space="preserve">From every billing channel to one source of truth.</w:t>
      </w:r>
      <w:r w:rsidDel="00000000" w:rsidR="00000000" w:rsidRPr="00000000">
        <w:rPr>
          <w:rtl w:val="0"/>
        </w:rPr>
      </w:r>
    </w:p>
    <w:p w:rsidR="00000000" w:rsidDel="00000000" w:rsidP="00000000" w:rsidRDefault="00000000" w:rsidRPr="00000000" w14:paraId="00000015">
      <w:pPr>
        <w:spacing w:after="140" w:line="264" w:lineRule="auto"/>
        <w:rPr>
          <w:rFonts w:ascii="Montserrat" w:cs="Montserrat" w:eastAsia="Montserrat" w:hAnsi="Montserrat"/>
          <w:color w:val="05022a"/>
          <w:sz w:val="21"/>
          <w:szCs w:val="21"/>
        </w:rPr>
      </w:pPr>
      <w:r w:rsidDel="00000000" w:rsidR="00000000" w:rsidRPr="00000000">
        <w:rPr>
          <w:rtl w:val="0"/>
        </w:rPr>
      </w:r>
    </w:p>
    <w:p w:rsidR="00000000" w:rsidDel="00000000" w:rsidP="00000000" w:rsidRDefault="00000000" w:rsidRPr="00000000" w14:paraId="00000016">
      <w:pPr>
        <w:spacing w:after="22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smallCaps w:val="1"/>
          <w:color w:val="5b5870"/>
          <w:sz w:val="17"/>
          <w:szCs w:val="17"/>
          <w:rtl w:val="0"/>
        </w:rPr>
        <w:t xml:space="preserve">DIRECT &amp; SELF-SERVE</w:t>
      </w:r>
      <w:r w:rsidDel="00000000" w:rsidR="00000000" w:rsidRPr="00000000">
        <w:rPr>
          <w:rtl w:val="0"/>
        </w:rPr>
      </w:r>
    </w:p>
    <w:p w:rsidR="00000000" w:rsidDel="00000000" w:rsidP="00000000" w:rsidRDefault="00000000" w:rsidRPr="00000000" w14:paraId="00000017">
      <w:pPr>
        <w:spacing w:after="80" w:before="60" w:line="264" w:lineRule="auto"/>
        <w:rPr>
          <w:rFonts w:ascii="Archivo" w:cs="Archivo" w:eastAsia="Archivo" w:hAnsi="Archivo"/>
          <w:b w:val="1"/>
          <w:bCs w:val="1"/>
          <w:color w:val="05022a"/>
          <w:sz w:val="36"/>
          <w:szCs w:val="36"/>
        </w:rPr>
      </w:pPr>
      <w:r w:rsidDel="00000000" w:rsidR="00000000" w:rsidRPr="00000000">
        <w:rPr>
          <w:rFonts w:ascii="Montserrat" w:cs="Montserrat" w:eastAsia="Montserrat" w:hAnsi="Montserrat"/>
          <w:color w:val="05022a"/>
          <w:sz w:val="21"/>
          <w:szCs w:val="21"/>
        </w:rPr>
        <w:drawing>
          <wp:inline distB="114300" distT="114300" distL="114300" distR="114300">
            <wp:extent cx="5943600" cy="30861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40" w:before="36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36"/>
          <w:szCs w:val="36"/>
          <w:rtl w:val="0"/>
        </w:rPr>
        <w:t xml:space="preserve">The same challenges. Already solved.</w:t>
      </w:r>
      <w:r w:rsidDel="00000000" w:rsidR="00000000" w:rsidRPr="00000000">
        <w:rPr>
          <w:rtl w:val="0"/>
        </w:rPr>
      </w:r>
    </w:p>
    <w:p w:rsidR="00000000" w:rsidDel="00000000" w:rsidP="00000000" w:rsidRDefault="00000000" w:rsidRPr="00000000" w14:paraId="00000019">
      <w:pPr>
        <w:spacing w:after="140" w:line="264" w:lineRule="auto"/>
        <w:rPr>
          <w:rFonts w:ascii="Montserrat" w:cs="Montserrat" w:eastAsia="Montserrat" w:hAnsi="Montserrat"/>
          <w:color w:val="05022a"/>
          <w:sz w:val="21"/>
          <w:szCs w:val="21"/>
        </w:rPr>
      </w:pPr>
      <w:r w:rsidDel="00000000" w:rsidR="00000000" w:rsidRPr="00000000">
        <w:rPr>
          <w:rtl w:val="0"/>
        </w:rPr>
      </w:r>
    </w:p>
    <w:p w:rsidR="00000000" w:rsidDel="00000000" w:rsidP="00000000" w:rsidRDefault="00000000" w:rsidRPr="00000000" w14:paraId="0000001A">
      <w:pPr>
        <w:spacing w:after="240" w:before="2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b w:val="1"/>
          <w:bCs w:val="1"/>
          <w:smallCaps w:val="1"/>
          <w:color w:val="5446ff"/>
          <w:sz w:val="24"/>
          <w:szCs w:val="24"/>
          <w:rtl w:val="0"/>
        </w:rPr>
        <w:t xml:space="preserve">SOFTWARE · SAUDI ARABIA · BUYER PORTAL  · </w:t>
      </w:r>
      <w:r w:rsidDel="00000000" w:rsidR="00000000" w:rsidRPr="00000000">
        <w:rPr>
          <w:rFonts w:ascii="Montserrat" w:cs="Montserrat" w:eastAsia="Montserrat" w:hAnsi="Montserrat"/>
          <w:b w:val="1"/>
          <w:bCs w:val="1"/>
          <w:color w:val="05022a"/>
          <w:sz w:val="21"/>
          <w:szCs w:val="21"/>
          <w:rtl w:val="0"/>
        </w:rPr>
        <w:t xml:space="preserve">Output tuned to the buyer</w:t>
      </w:r>
      <w:r w:rsidDel="00000000" w:rsidR="00000000" w:rsidRPr="00000000">
        <w:rPr>
          <w:rFonts w:ascii="Montserrat" w:cs="Montserrat" w:eastAsia="Montserrat" w:hAnsi="Montserrat"/>
          <w:color w:val="05022a"/>
          <w:sz w:val="21"/>
          <w:szCs w:val="21"/>
          <w:rtl w:val="0"/>
        </w:rPr>
        <w:t xml:space="preserve"> </w:t>
        <w:br w:type="textWrapping"/>
        <w:t xml:space="preserve">An software vendor selling into the Kingdom's largest enterprise buyer. Invoices cleared ZATCA but failed the buyer's own portal intake, so PDF/A-3 output was adapted to that specification. Invoices accepted, payment released.</w:t>
      </w:r>
    </w:p>
    <w:p w:rsidR="00000000" w:rsidDel="00000000" w:rsidP="00000000" w:rsidRDefault="00000000" w:rsidRPr="00000000" w14:paraId="0000001B">
      <w:pPr>
        <w:spacing w:after="240" w:before="2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b w:val="1"/>
          <w:bCs w:val="1"/>
          <w:smallCaps w:val="1"/>
          <w:color w:val="5446ff"/>
          <w:sz w:val="24"/>
          <w:szCs w:val="24"/>
          <w:rtl w:val="0"/>
        </w:rPr>
        <w:t xml:space="preserve">PROFESSIONAL SERVICES · SAUDI ARABIA · MULTI-ENTITY · </w:t>
      </w:r>
      <w:r w:rsidDel="00000000" w:rsidR="00000000" w:rsidRPr="00000000">
        <w:rPr>
          <w:rFonts w:ascii="Montserrat" w:cs="Montserrat" w:eastAsia="Montserrat" w:hAnsi="Montserrat"/>
          <w:b w:val="1"/>
          <w:bCs w:val="1"/>
          <w:color w:val="05022a"/>
          <w:sz w:val="21"/>
          <w:szCs w:val="21"/>
          <w:rtl w:val="0"/>
        </w:rPr>
        <w:t xml:space="preserve">Nine entities </w:t>
      </w:r>
      <w:r w:rsidDel="00000000" w:rsidR="00000000" w:rsidRPr="00000000">
        <w:rPr>
          <w:rFonts w:ascii="Montserrat" w:cs="Montserrat" w:eastAsia="Montserrat" w:hAnsi="Montserrat"/>
          <w:color w:val="05022a"/>
          <w:sz w:val="21"/>
          <w:szCs w:val="21"/>
          <w:rtl w:val="0"/>
        </w:rPr>
        <w:br w:type="textWrapping"/>
        <w:t xml:space="preserve">A Saudi services group spanning driving schools, facilities management, contracting and real estate. 366,415 B2C invoices under Phase 2, with contracted capacity grown from 200,000 to 375,000 per year </w:t>
      </w:r>
    </w:p>
    <w:p w:rsidR="00000000" w:rsidDel="00000000" w:rsidP="00000000" w:rsidRDefault="00000000" w:rsidRPr="00000000" w14:paraId="0000001C">
      <w:pPr>
        <w:spacing w:after="240" w:before="240" w:line="264" w:lineRule="auto"/>
        <w:rPr>
          <w:rFonts w:ascii="Archivo" w:cs="Archivo" w:eastAsia="Archivo" w:hAnsi="Archivo"/>
          <w:b w:val="1"/>
          <w:bCs w:val="1"/>
          <w:color w:val="05022a"/>
          <w:sz w:val="24"/>
          <w:szCs w:val="24"/>
        </w:rPr>
      </w:pPr>
      <w:r w:rsidDel="00000000" w:rsidR="00000000" w:rsidRPr="00000000">
        <w:rPr>
          <w:rFonts w:ascii="Montserrat" w:cs="Montserrat" w:eastAsia="Montserrat" w:hAnsi="Montserrat"/>
          <w:b w:val="1"/>
          <w:bCs w:val="1"/>
          <w:smallCaps w:val="1"/>
          <w:color w:val="5446ff"/>
          <w:sz w:val="24"/>
          <w:szCs w:val="24"/>
          <w:rtl w:val="0"/>
        </w:rPr>
        <w:t xml:space="preserve">SERVICES AT SCALE · MALAYSIA · SAP ECC · </w:t>
      </w:r>
      <w:r w:rsidDel="00000000" w:rsidR="00000000" w:rsidRPr="00000000">
        <w:rPr>
          <w:rFonts w:ascii="Montserrat" w:cs="Montserrat" w:eastAsia="Montserrat" w:hAnsi="Montserrat"/>
          <w:b w:val="1"/>
          <w:bCs w:val="1"/>
          <w:color w:val="05022a"/>
          <w:sz w:val="21"/>
          <w:szCs w:val="21"/>
          <w:rtl w:val="0"/>
        </w:rPr>
        <w:t xml:space="preserve">Handling 500,000 invoices a year</w:t>
      </w:r>
      <w:r w:rsidDel="00000000" w:rsidR="00000000" w:rsidRPr="00000000">
        <w:rPr>
          <w:rFonts w:ascii="Montserrat" w:cs="Montserrat" w:eastAsia="Montserrat" w:hAnsi="Montserrat"/>
          <w:color w:val="05022a"/>
          <w:sz w:val="21"/>
          <w:szCs w:val="21"/>
          <w:rtl w:val="0"/>
        </w:rPr>
        <w:t xml:space="preserve"> </w:t>
        <w:br w:type="textWrapping"/>
        <w:t xml:space="preserve">A global electronics manufacturing enterprise. Clear built the SAP ECC integration end-to-end and handles the full volume — ~2,000 documents a working day — submitting to LHDN as appointed intermediary. </w:t>
      </w:r>
      <w:r w:rsidDel="00000000" w:rsidR="00000000" w:rsidRPr="00000000">
        <w:rPr>
          <w:rtl w:val="0"/>
        </w:rPr>
      </w:r>
    </w:p>
    <w:p w:rsidR="00000000" w:rsidDel="00000000" w:rsidP="00000000" w:rsidRDefault="00000000" w:rsidRPr="00000000" w14:paraId="0000001D">
      <w:pPr>
        <w:spacing w:after="140" w:before="360" w:line="264" w:lineRule="auto"/>
        <w:rPr>
          <w:rFonts w:ascii="Archivo" w:cs="Archivo" w:eastAsia="Archivo" w:hAnsi="Archivo"/>
          <w:b w:val="1"/>
          <w:bCs w:val="1"/>
          <w:color w:val="05022a"/>
          <w:sz w:val="36"/>
          <w:szCs w:val="36"/>
        </w:rPr>
      </w:pPr>
      <w:r w:rsidDel="00000000" w:rsidR="00000000" w:rsidRPr="00000000">
        <w:rPr>
          <w:rtl w:val="0"/>
        </w:rPr>
      </w:r>
    </w:p>
    <w:p w:rsidR="00000000" w:rsidDel="00000000" w:rsidP="00000000" w:rsidRDefault="00000000" w:rsidRPr="00000000" w14:paraId="0000001E">
      <w:pPr>
        <w:spacing w:after="140" w:before="36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36"/>
          <w:szCs w:val="36"/>
          <w:rtl w:val="0"/>
        </w:rPr>
        <w:t xml:space="preserve">Solving the complexity of selling software and services across borders.</w:t>
      </w:r>
      <w:r w:rsidDel="00000000" w:rsidR="00000000" w:rsidRPr="00000000">
        <w:rPr>
          <w:rtl w:val="0"/>
        </w:rPr>
      </w:r>
    </w:p>
    <w:p w:rsidR="00000000" w:rsidDel="00000000" w:rsidP="00000000" w:rsidRDefault="00000000" w:rsidRPr="00000000" w14:paraId="0000001F">
      <w:pPr>
        <w:spacing w:after="140" w:line="264" w:lineRule="auto"/>
        <w:rPr>
          <w:rFonts w:ascii="Montserrat" w:cs="Montserrat" w:eastAsia="Montserrat" w:hAnsi="Montserrat"/>
          <w:color w:val="5b5870"/>
          <w:sz w:val="21"/>
          <w:szCs w:val="2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Getting paid in foreign currency does not make it an export</w:t>
            </w:r>
            <w:r w:rsidDel="00000000" w:rsidR="00000000" w:rsidRPr="00000000">
              <w:rPr>
                <w:rtl w:val="0"/>
              </w:rPr>
            </w:r>
          </w:p>
          <w:p w:rsidR="00000000" w:rsidDel="00000000" w:rsidP="00000000" w:rsidRDefault="00000000" w:rsidRPr="00000000" w14:paraId="00000021">
            <w:pPr>
              <w:spacing w:after="140" w:line="264" w:lineRule="auto"/>
              <w:rPr>
                <w:rFonts w:ascii="Montserrat" w:cs="Montserrat" w:eastAsia="Montserrat" w:hAnsi="Montserrat"/>
                <w:color w:val="5b5870"/>
                <w:sz w:val="21"/>
                <w:szCs w:val="21"/>
              </w:rPr>
            </w:pPr>
            <w:r w:rsidDel="00000000" w:rsidR="00000000" w:rsidRPr="00000000">
              <w:rPr>
                <w:rFonts w:ascii="Montserrat" w:cs="Montserrat" w:eastAsia="Montserrat" w:hAnsi="Montserrat"/>
                <w:color w:val="5b5870"/>
                <w:sz w:val="21"/>
                <w:szCs w:val="21"/>
                <w:rtl w:val="0"/>
              </w:rPr>
              <w:t xml:space="preserve">Every invoice is checked against all the export conditions before it goes out, with the contract wording and the payment evidence held against it. Where one fails, it is flagged as a domestic sale before you file, not after a notice lands.</w:t>
            </w:r>
          </w:p>
          <w:p w:rsidR="00000000" w:rsidDel="00000000" w:rsidP="00000000" w:rsidRDefault="00000000" w:rsidRPr="00000000" w14:paraId="00000022">
            <w:pPr>
              <w:spacing w:after="140" w:line="264" w:lineRule="auto"/>
              <w:rPr>
                <w:rFonts w:ascii="Montserrat" w:cs="Montserrat" w:eastAsia="Montserrat" w:hAnsi="Montserrat"/>
                <w:color w:val="5b5870"/>
                <w:sz w:val="21"/>
                <w:szCs w:val="21"/>
              </w:rPr>
            </w:pPr>
            <w:r w:rsidDel="00000000" w:rsidR="00000000" w:rsidRPr="00000000">
              <w:rPr>
                <w:rFonts w:ascii="Montserrat" w:cs="Montserrat" w:eastAsia="Montserrat" w:hAnsi="Montserrat"/>
                <w:color w:val="5b5870"/>
                <w:sz w:val="21"/>
                <w:szCs w:val="21"/>
              </w:rPr>
              <w:drawing>
                <wp:inline distB="114300" distT="114300" distL="114300" distR="114300">
                  <wp:extent cx="2838450" cy="15875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38450" cy="1587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Every renewal is a new sale with its own deadline</w:t>
            </w:r>
            <w:r w:rsidDel="00000000" w:rsidR="00000000" w:rsidRPr="00000000">
              <w:rPr>
                <w:rtl w:val="0"/>
              </w:rPr>
            </w:r>
          </w:p>
          <w:p w:rsidR="00000000" w:rsidDel="00000000" w:rsidP="00000000" w:rsidRDefault="00000000" w:rsidRPr="00000000" w14:paraId="00000024">
            <w:pPr>
              <w:spacing w:after="1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5b5870"/>
                <w:sz w:val="21"/>
                <w:szCs w:val="21"/>
                <w:rtl w:val="0"/>
              </w:rPr>
              <w:t xml:space="preserve">Invoices are raised per period against that period's due date, never as a month-end batch. Mid-term upgrades, downgrades and refunds generate credit notes that link back to the invoice they correct.</w:t>
            </w:r>
            <w:r w:rsidDel="00000000" w:rsidR="00000000" w:rsidRPr="00000000">
              <w:rPr>
                <w:rtl w:val="0"/>
              </w:rPr>
            </w:r>
          </w:p>
          <w:p w:rsidR="00000000" w:rsidDel="00000000" w:rsidP="00000000" w:rsidRDefault="00000000" w:rsidRPr="00000000" w14:paraId="00000025">
            <w:pPr>
              <w:widowControl w:val="0"/>
              <w:spacing w:line="240" w:lineRule="auto"/>
              <w:rPr>
                <w:rFonts w:ascii="Montserrat" w:cs="Montserrat" w:eastAsia="Montserrat" w:hAnsi="Montserrat"/>
                <w:color w:val="5b5870"/>
                <w:sz w:val="21"/>
                <w:szCs w:val="21"/>
              </w:rPr>
            </w:pPr>
            <w:r w:rsidDel="00000000" w:rsidR="00000000" w:rsidRPr="00000000">
              <w:rPr>
                <w:rFonts w:ascii="Montserrat" w:cs="Montserrat" w:eastAsia="Montserrat" w:hAnsi="Montserrat"/>
                <w:color w:val="5b5870"/>
                <w:sz w:val="21"/>
                <w:szCs w:val="21"/>
              </w:rPr>
              <w:drawing>
                <wp:inline distB="114300" distT="114300" distL="114300" distR="114300">
                  <wp:extent cx="2838450" cy="1549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38450" cy="1549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You priced the licence and the setup separately. Tax can still see one sale.</w:t>
            </w:r>
            <w:r w:rsidDel="00000000" w:rsidR="00000000" w:rsidRPr="00000000">
              <w:rPr>
                <w:rtl w:val="0"/>
              </w:rPr>
            </w:r>
          </w:p>
          <w:p w:rsidR="00000000" w:rsidDel="00000000" w:rsidP="00000000" w:rsidRDefault="00000000" w:rsidRPr="00000000" w14:paraId="00000027">
            <w:pPr>
              <w:spacing w:after="140" w:line="264" w:lineRule="auto"/>
              <w:rPr>
                <w:rFonts w:ascii="Montserrat" w:cs="Montserrat" w:eastAsia="Montserrat" w:hAnsi="Montserrat"/>
                <w:color w:val="5b5870"/>
                <w:sz w:val="21"/>
                <w:szCs w:val="21"/>
              </w:rPr>
            </w:pPr>
            <w:r w:rsidDel="00000000" w:rsidR="00000000" w:rsidRPr="00000000">
              <w:rPr>
                <w:rFonts w:ascii="Montserrat" w:cs="Montserrat" w:eastAsia="Montserrat" w:hAnsi="Montserrat"/>
                <w:color w:val="5b5870"/>
                <w:sz w:val="21"/>
                <w:szCs w:val="21"/>
                <w:rtl w:val="0"/>
              </w:rPr>
              <w:t xml:space="preserve">The bundle is decided once on the order form, then applied the same way to every invoice it generates. Elements that belong together carry one rate and one country, instead of drifting apart line by line.</w:t>
            </w:r>
          </w:p>
          <w:p w:rsidR="00000000" w:rsidDel="00000000" w:rsidP="00000000" w:rsidRDefault="00000000" w:rsidRPr="00000000" w14:paraId="00000028">
            <w:pPr>
              <w:spacing w:after="1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05022a"/>
                <w:sz w:val="21"/>
                <w:szCs w:val="21"/>
              </w:rPr>
              <w:drawing>
                <wp:inline distB="114300" distT="114300" distL="114300" distR="114300">
                  <wp:extent cx="2838450" cy="16383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384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line="240" w:lineRule="auto"/>
              <w:rPr>
                <w:rFonts w:ascii="Montserrat" w:cs="Montserrat" w:eastAsia="Montserrat" w:hAnsi="Montserrat"/>
                <w:color w:val="5b5870"/>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Billing in stages does not stage the tax</w:t>
            </w:r>
            <w:r w:rsidDel="00000000" w:rsidR="00000000" w:rsidRPr="00000000">
              <w:rPr>
                <w:rtl w:val="0"/>
              </w:rPr>
            </w:r>
          </w:p>
          <w:p w:rsidR="00000000" w:rsidDel="00000000" w:rsidP="00000000" w:rsidRDefault="00000000" w:rsidRPr="00000000" w14:paraId="0000002B">
            <w:pPr>
              <w:spacing w:after="1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5b5870"/>
                <w:sz w:val="21"/>
                <w:szCs w:val="21"/>
                <w:rtl w:val="0"/>
              </w:rPr>
              <w:t xml:space="preserve">The due date is taken from the contract and tracked per engagement, not per bill. Unbilled time is reconciled against invoices raised, so nothing sits in work-in-progress with tax already owed on it.</w:t>
            </w:r>
            <w:r w:rsidDel="00000000" w:rsidR="00000000" w:rsidRPr="00000000">
              <w:rPr>
                <w:rtl w:val="0"/>
              </w:rPr>
            </w:r>
          </w:p>
          <w:p w:rsidR="00000000" w:rsidDel="00000000" w:rsidP="00000000" w:rsidRDefault="00000000" w:rsidRPr="00000000" w14:paraId="0000002C">
            <w:pPr>
              <w:widowControl w:val="0"/>
              <w:spacing w:line="240" w:lineRule="auto"/>
              <w:rPr>
                <w:rFonts w:ascii="Montserrat" w:cs="Montserrat" w:eastAsia="Montserrat" w:hAnsi="Montserrat"/>
                <w:color w:val="5b5870"/>
                <w:sz w:val="21"/>
                <w:szCs w:val="21"/>
              </w:rPr>
            </w:pPr>
            <w:r w:rsidDel="00000000" w:rsidR="00000000" w:rsidRPr="00000000">
              <w:rPr>
                <w:rFonts w:ascii="Montserrat" w:cs="Montserrat" w:eastAsia="Montserrat" w:hAnsi="Montserrat"/>
                <w:color w:val="5b5870"/>
                <w:sz w:val="21"/>
                <w:szCs w:val="21"/>
              </w:rPr>
              <w:drawing>
                <wp:inline distB="114300" distT="114300" distL="114300" distR="114300">
                  <wp:extent cx="2838450" cy="15748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838450" cy="157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What you pass on to a client is taxed like your fee, not like the receipt</w:t>
            </w:r>
            <w:r w:rsidDel="00000000" w:rsidR="00000000" w:rsidRPr="00000000">
              <w:rPr>
                <w:rtl w:val="0"/>
              </w:rPr>
            </w:r>
          </w:p>
          <w:p w:rsidR="00000000" w:rsidDel="00000000" w:rsidP="00000000" w:rsidRDefault="00000000" w:rsidRPr="00000000" w14:paraId="0000002E">
            <w:pPr>
              <w:spacing w:after="140" w:line="264" w:lineRule="auto"/>
              <w:rPr>
                <w:rFonts w:ascii="Montserrat" w:cs="Montserrat" w:eastAsia="Montserrat" w:hAnsi="Montserrat"/>
                <w:color w:val="5b5870"/>
                <w:sz w:val="21"/>
                <w:szCs w:val="21"/>
              </w:rPr>
            </w:pPr>
            <w:r w:rsidDel="00000000" w:rsidR="00000000" w:rsidRPr="00000000">
              <w:rPr>
                <w:rFonts w:ascii="Montserrat" w:cs="Montserrat" w:eastAsia="Montserrat" w:hAnsi="Montserrat"/>
                <w:color w:val="5b5870"/>
                <w:sz w:val="21"/>
                <w:szCs w:val="21"/>
                <w:rtl w:val="0"/>
              </w:rPr>
              <w:t xml:space="preserve">Classify each cost when you book it, not when you draft the bill. Costs that form part of your service take your rate, and the few paid purely on the client's behalf stay off it, with the evidence held.</w:t>
            </w:r>
          </w:p>
          <w:p w:rsidR="00000000" w:rsidDel="00000000" w:rsidP="00000000" w:rsidRDefault="00000000" w:rsidRPr="00000000" w14:paraId="0000002F">
            <w:pPr>
              <w:spacing w:after="1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05022a"/>
                <w:sz w:val="21"/>
                <w:szCs w:val="21"/>
              </w:rPr>
              <w:drawing>
                <wp:inline distB="114300" distT="114300" distL="114300" distR="114300">
                  <wp:extent cx="2838450" cy="14859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8384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line="240" w:lineRule="auto"/>
              <w:rPr>
                <w:rFonts w:ascii="Archivo" w:cs="Archivo" w:eastAsia="Archivo" w:hAnsi="Archivo"/>
                <w:b w:val="1"/>
                <w:bCs w:val="1"/>
                <w:smallCaps w:val="1"/>
                <w:color w:val="5446ff"/>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6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Your parent company lends you staff. The recharge can be a taxable service.</w:t>
            </w:r>
            <w:r w:rsidDel="00000000" w:rsidR="00000000" w:rsidRPr="00000000">
              <w:rPr>
                <w:rtl w:val="0"/>
              </w:rPr>
            </w:r>
          </w:p>
          <w:p w:rsidR="00000000" w:rsidDel="00000000" w:rsidP="00000000" w:rsidRDefault="00000000" w:rsidRPr="00000000" w14:paraId="00000032">
            <w:pPr>
              <w:spacing w:after="1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5b5870"/>
                <w:sz w:val="21"/>
                <w:szCs w:val="21"/>
                <w:rtl w:val="0"/>
              </w:rPr>
              <w:t xml:space="preserve">Every intra-group recharge matches the agreement behind it, and your own document is raised where the arrangement is taxable. Missing agreements show up before the recharge run, not in an assessment years later.</w:t>
            </w:r>
            <w:r w:rsidDel="00000000" w:rsidR="00000000" w:rsidRPr="00000000">
              <w:rPr>
                <w:rtl w:val="0"/>
              </w:rPr>
            </w:r>
          </w:p>
          <w:p w:rsidR="00000000" w:rsidDel="00000000" w:rsidP="00000000" w:rsidRDefault="00000000" w:rsidRPr="00000000" w14:paraId="00000033">
            <w:pPr>
              <w:widowControl w:val="0"/>
              <w:spacing w:line="240" w:lineRule="auto"/>
              <w:rPr>
                <w:rFonts w:ascii="Archivo" w:cs="Archivo" w:eastAsia="Archivo" w:hAnsi="Archivo"/>
                <w:b w:val="1"/>
                <w:bCs w:val="1"/>
                <w:smallCaps w:val="1"/>
                <w:color w:val="5446ff"/>
                <w:sz w:val="16"/>
                <w:szCs w:val="16"/>
              </w:rPr>
            </w:pPr>
            <w:r w:rsidDel="00000000" w:rsidR="00000000" w:rsidRPr="00000000">
              <w:rPr>
                <w:rFonts w:ascii="Archivo" w:cs="Archivo" w:eastAsia="Archivo" w:hAnsi="Archivo"/>
                <w:b w:val="1"/>
                <w:bCs w:val="1"/>
                <w:smallCaps w:val="1"/>
                <w:color w:val="5446ff"/>
                <w:sz w:val="16"/>
                <w:szCs w:val="16"/>
              </w:rPr>
              <w:drawing>
                <wp:inline distB="114300" distT="114300" distL="114300" distR="114300">
                  <wp:extent cx="2838450" cy="14351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838450" cy="1435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spacing w:after="140" w:line="264" w:lineRule="auto"/>
        <w:rPr>
          <w:rFonts w:ascii="Montserrat" w:cs="Montserrat" w:eastAsia="Montserrat" w:hAnsi="Montserrat"/>
          <w:color w:val="5b5870"/>
          <w:sz w:val="21"/>
          <w:szCs w:val="21"/>
        </w:rPr>
      </w:pPr>
      <w:r w:rsidDel="00000000" w:rsidR="00000000" w:rsidRPr="00000000">
        <w:rPr>
          <w:rtl w:val="0"/>
        </w:rPr>
      </w:r>
    </w:p>
    <w:p w:rsidR="00000000" w:rsidDel="00000000" w:rsidP="00000000" w:rsidRDefault="00000000" w:rsidRPr="00000000" w14:paraId="00000035">
      <w:pPr>
        <w:spacing w:after="140" w:line="264" w:lineRule="auto"/>
        <w:rPr>
          <w:rFonts w:ascii="Montserrat" w:cs="Montserrat" w:eastAsia="Montserrat" w:hAnsi="Montserrat"/>
          <w:color w:val="5b5870"/>
          <w:sz w:val="21"/>
          <w:szCs w:val="21"/>
        </w:rPr>
      </w:pPr>
      <w:r w:rsidDel="00000000" w:rsidR="00000000" w:rsidRPr="00000000">
        <w:rPr>
          <w:rtl w:val="0"/>
        </w:rPr>
      </w:r>
    </w:p>
    <w:p w:rsidR="00000000" w:rsidDel="00000000" w:rsidP="00000000" w:rsidRDefault="00000000" w:rsidRPr="00000000" w14:paraId="00000036">
      <w:pPr>
        <w:spacing w:after="60" w:line="264" w:lineRule="auto"/>
        <w:rPr>
          <w:rFonts w:ascii="Montserrat" w:cs="Montserrat" w:eastAsia="Montserrat" w:hAnsi="Montserrat"/>
          <w:color w:val="05022a"/>
          <w:sz w:val="21"/>
          <w:szCs w:val="21"/>
        </w:rPr>
      </w:pPr>
      <w:r w:rsidDel="00000000" w:rsidR="00000000" w:rsidRPr="00000000">
        <w:rPr>
          <w:rtl w:val="0"/>
        </w:rPr>
      </w:r>
    </w:p>
    <w:p w:rsidR="00000000" w:rsidDel="00000000" w:rsidP="00000000" w:rsidRDefault="00000000" w:rsidRPr="00000000" w14:paraId="00000037">
      <w:pPr>
        <w:spacing w:after="140" w:before="36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36"/>
          <w:szCs w:val="36"/>
          <w:rtl w:val="0"/>
        </w:rPr>
        <w:t xml:space="preserve">Highest levels of security and audit readiness.</w:t>
      </w:r>
      <w:r w:rsidDel="00000000" w:rsidR="00000000" w:rsidRPr="00000000">
        <w:rPr>
          <w:rtl w:val="0"/>
        </w:rPr>
      </w:r>
    </w:p>
    <w:p w:rsidR="00000000" w:rsidDel="00000000" w:rsidP="00000000" w:rsidRDefault="00000000" w:rsidRPr="00000000" w14:paraId="00000038">
      <w:pPr>
        <w:spacing w:after="140" w:line="264" w:lineRule="auto"/>
        <w:rPr>
          <w:rFonts w:ascii="Montserrat" w:cs="Montserrat" w:eastAsia="Montserrat" w:hAnsi="Montserrat"/>
          <w:color w:val="05022a"/>
          <w:sz w:val="21"/>
          <w:szCs w:val="21"/>
        </w:rPr>
      </w:pPr>
      <w:r w:rsidDel="00000000" w:rsidR="00000000" w:rsidRPr="00000000">
        <w:rPr>
          <w:rtl w:val="0"/>
        </w:rPr>
      </w:r>
    </w:p>
    <w:p w:rsidR="00000000" w:rsidDel="00000000" w:rsidP="00000000" w:rsidRDefault="00000000" w:rsidRPr="00000000" w14:paraId="00000039">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Certifications &amp; compliance</w:t>
      </w:r>
      <w:r w:rsidDel="00000000" w:rsidR="00000000" w:rsidRPr="00000000">
        <w:rPr>
          <w:rtl w:val="0"/>
        </w:rPr>
      </w:r>
    </w:p>
    <w:p w:rsidR="00000000" w:rsidDel="00000000" w:rsidP="00000000" w:rsidRDefault="00000000" w:rsidRPr="00000000" w14:paraId="0000003A">
      <w:pPr>
        <w:spacing w:after="1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5b5870"/>
          <w:sz w:val="21"/>
          <w:szCs w:val="21"/>
          <w:rtl w:val="0"/>
        </w:rPr>
        <w:t xml:space="preserve">ISO 27001:2022 · SOC 2 Type II · ISO 22301 · GDPR. We do not self-declare security.</w:t>
      </w:r>
      <w:r w:rsidDel="00000000" w:rsidR="00000000" w:rsidRPr="00000000">
        <w:rPr>
          <w:rtl w:val="0"/>
        </w:rPr>
      </w:r>
    </w:p>
    <w:p w:rsidR="00000000" w:rsidDel="00000000" w:rsidP="00000000" w:rsidRDefault="00000000" w:rsidRPr="00000000" w14:paraId="0000003B">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Infrastructure &amp; edge protection</w:t>
      </w:r>
      <w:r w:rsidDel="00000000" w:rsidR="00000000" w:rsidRPr="00000000">
        <w:rPr>
          <w:rtl w:val="0"/>
        </w:rPr>
      </w:r>
    </w:p>
    <w:p w:rsidR="00000000" w:rsidDel="00000000" w:rsidP="00000000" w:rsidRDefault="00000000" w:rsidRPr="00000000" w14:paraId="0000003C">
      <w:pPr>
        <w:spacing w:after="1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5b5870"/>
          <w:sz w:val="21"/>
          <w:szCs w:val="21"/>
          <w:rtl w:val="0"/>
        </w:rPr>
        <w:t xml:space="preserve">WAF and anti-DDoS filter traffic before the VPC. SentinelOne CSPM + DSPM for anomaly detection. Private subnets, no public IPs.</w:t>
      </w:r>
      <w:r w:rsidDel="00000000" w:rsidR="00000000" w:rsidRPr="00000000">
        <w:rPr>
          <w:rtl w:val="0"/>
        </w:rPr>
      </w:r>
    </w:p>
    <w:p w:rsidR="00000000" w:rsidDel="00000000" w:rsidP="00000000" w:rsidRDefault="00000000" w:rsidRPr="00000000" w14:paraId="0000003D">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Incident response &amp; audit logs</w:t>
      </w:r>
      <w:r w:rsidDel="00000000" w:rsidR="00000000" w:rsidRPr="00000000">
        <w:rPr>
          <w:rtl w:val="0"/>
        </w:rPr>
      </w:r>
    </w:p>
    <w:p w:rsidR="00000000" w:rsidDel="00000000" w:rsidP="00000000" w:rsidRDefault="00000000" w:rsidRPr="00000000" w14:paraId="0000003E">
      <w:pPr>
        <w:spacing w:after="1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5b5870"/>
          <w:sz w:val="21"/>
          <w:szCs w:val="21"/>
          <w:rtl w:val="0"/>
        </w:rPr>
        <w:t xml:space="preserve">Every activity logged and traceable via SIEM and EDR. P0 response guaranteed under 24 hours.</w:t>
      </w:r>
      <w:r w:rsidDel="00000000" w:rsidR="00000000" w:rsidRPr="00000000">
        <w:rPr>
          <w:rtl w:val="0"/>
        </w:rPr>
      </w:r>
    </w:p>
    <w:p w:rsidR="00000000" w:rsidDel="00000000" w:rsidP="00000000" w:rsidRDefault="00000000" w:rsidRPr="00000000" w14:paraId="0000003F">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Encryption &amp; access identity</w:t>
      </w:r>
      <w:r w:rsidDel="00000000" w:rsidR="00000000" w:rsidRPr="00000000">
        <w:rPr>
          <w:rtl w:val="0"/>
        </w:rPr>
      </w:r>
    </w:p>
    <w:p w:rsidR="00000000" w:rsidDel="00000000" w:rsidP="00000000" w:rsidRDefault="00000000" w:rsidRPr="00000000" w14:paraId="00000040">
      <w:pPr>
        <w:spacing w:after="1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5b5870"/>
          <w:sz w:val="21"/>
          <w:szCs w:val="21"/>
          <w:rtl w:val="0"/>
        </w:rPr>
        <w:t xml:space="preserve">AES-256 at rest, TLS 1.2+ in transit. SAML/OIDC SSO, RBAC, no standing access.</w:t>
      </w: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chiv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Archivo-regular.ttf"/><Relationship Id="rId6" Type="http://schemas.openxmlformats.org/officeDocument/2006/relationships/font" Target="fonts/Archivo-bold.ttf"/><Relationship Id="rId7" Type="http://schemas.openxmlformats.org/officeDocument/2006/relationships/font" Target="fonts/Archivo-italic.ttf"/><Relationship Id="rId8" Type="http://schemas.openxmlformats.org/officeDocument/2006/relationships/font" Target="fonts/Archiv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