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10" w:line="300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smallCaps w:val="1"/>
          <w:color w:val="5446ff"/>
          <w:sz w:val="15"/>
          <w:szCs w:val="15"/>
          <w:rtl w:val="0"/>
        </w:rPr>
        <w:t xml:space="preserve">TAX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0" w:line="240" w:lineRule="auto"/>
        <w:rPr>
          <w:rFonts w:ascii="Montserrat" w:cs="Montserrat" w:eastAsia="Montserrat" w:hAnsi="Montserrat"/>
          <w:strike w:val="1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46"/>
          <w:szCs w:val="46"/>
          <w:rtl w:val="0"/>
        </w:rPr>
        <w:t xml:space="preserve">AI that understands your business and catches compliance breaks</w:t>
      </w:r>
      <w:r w:rsidDel="00000000" w:rsidR="00000000" w:rsidRPr="00000000">
        <w:rPr>
          <w:rFonts w:ascii="Archivo" w:cs="Archivo" w:eastAsia="Archivo" w:hAnsi="Archivo"/>
          <w:b w:val="1"/>
          <w:bCs w:val="1"/>
          <w:strike w:val="1"/>
          <w:color w:val="05022a"/>
          <w:sz w:val="46"/>
          <w:szCs w:val="46"/>
          <w:rtl w:val="0"/>
        </w:rPr>
        <w:t xml:space="preserve"> before they cost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300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444746"/>
          <w:sz w:val="21"/>
          <w:szCs w:val="21"/>
          <w:rtl w:val="0"/>
        </w:rPr>
        <w:t xml:space="preserve">Unlike generic AI, Clarity AI deeply understands your business, and can find gaps that typical data analytics approaches miss</w:t>
      </w:r>
      <w:r w:rsidDel="00000000" w:rsidR="00000000" w:rsidRPr="00000000">
        <w:rPr>
          <w:rtl w:val="0"/>
        </w:rPr>
      </w:r>
    </w:p>
    <w:tbl>
      <w:tblPr>
        <w:tblStyle w:val="Table1"/>
        <w:tblW w:w="2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500"/>
        <w:tblGridChange w:id="0">
          <w:tblGrid>
            <w:gridCol w:w="2500"/>
          </w:tblGrid>
        </w:tblGridChange>
      </w:tblGrid>
      <w:tr>
        <w:trPr>
          <w:cantSplit w:val="0"/>
          <w:tblHeader w:val="0"/>
        </w:trPr>
        <w:tc>
          <w:tcPr>
            <w:shd w:fill="5446ff" w:val="clear"/>
            <w:tcMar>
              <w:top w:w="170.0" w:type="dxa"/>
              <w:left w:w="130.0" w:type="dxa"/>
              <w:bottom w:w="17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00" w:lineRule="auto"/>
              <w:jc w:val="center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Book a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50" w:line="240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Montserrat" w:cs="Montserrat" w:eastAsia="Montserrat" w:hAnsi="Montserrat"/>
          <w:b w:val="1"/>
          <w:bCs w:val="1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5022a"/>
          <w:sz w:val="21"/>
          <w:szCs w:val="21"/>
          <w:rtl w:val="0"/>
        </w:rPr>
        <w:t xml:space="preserve">Real-life examples: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Montserrat" w:cs="Montserrat" w:eastAsia="Montserrat" w:hAnsi="Montserrat"/>
          <w:b w:val="1"/>
          <w:bCs w:val="1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5022a"/>
          <w:sz w:val="21"/>
          <w:szCs w:val="21"/>
          <w:rtl w:val="0"/>
        </w:rPr>
        <w:t xml:space="preserve">AI surfaced $2.31M of duplicated revenue postings a year — worth $121K of overpaid tax annually.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05022a"/>
          <w:sz w:val="21"/>
          <w:szCs w:val="21"/>
          <w:rtl w:val="0"/>
        </w:rPr>
        <w:t xml:space="preserve">The business had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5022a"/>
          <w:sz w:val="21"/>
          <w:szCs w:val="21"/>
          <w:rtl w:val="0"/>
        </w:rPr>
        <w:t xml:space="preserve">RM349K posted in the ledger against just RM184K actually invoiced</w:t>
      </w:r>
      <w:r w:rsidDel="00000000" w:rsidR="00000000" w:rsidRPr="00000000">
        <w:rPr>
          <w:rFonts w:ascii="Montserrat" w:cs="Montserrat" w:eastAsia="Montserrat" w:hAnsi="Montserrat"/>
          <w:color w:val="05022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05022a"/>
          <w:sz w:val="21"/>
          <w:szCs w:val="21"/>
          <w:rtl w:val="0"/>
        </w:rPr>
        <w:t xml:space="preserve">The difference was not large enough to stand out in an aggregate revenue review.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05022a"/>
          <w:sz w:val="21"/>
          <w:szCs w:val="21"/>
          <w:rtl w:val="0"/>
        </w:rPr>
        <w:t xml:space="preserve">But when AI matched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5022a"/>
          <w:sz w:val="21"/>
          <w:szCs w:val="21"/>
          <w:rtl w:val="0"/>
        </w:rPr>
        <w:t xml:space="preserve">every e-invoice posting back to the underlying ledger</w:t>
      </w:r>
      <w:r w:rsidDel="00000000" w:rsidR="00000000" w:rsidRPr="00000000">
        <w:rPr>
          <w:rFonts w:ascii="Montserrat" w:cs="Montserrat" w:eastAsia="Montserrat" w:hAnsi="Montserrat"/>
          <w:color w:val="05022a"/>
          <w:sz w:val="21"/>
          <w:szCs w:val="21"/>
          <w:rtl w:val="0"/>
        </w:rPr>
        <w:t xml:space="preserve">, it found the same invoice being posted twice: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5022a"/>
          <w:sz w:val="21"/>
          <w:szCs w:val="21"/>
          <w:rtl w:val="0"/>
        </w:rPr>
        <w:t xml:space="preserve">8,397 times</w:t>
      </w:r>
      <w:r w:rsidDel="00000000" w:rsidR="00000000" w:rsidRPr="00000000">
        <w:rPr>
          <w:rFonts w:ascii="Montserrat" w:cs="Montserrat" w:eastAsia="Montserrat" w:hAnsi="Montserrat"/>
          <w:color w:val="05022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05022a"/>
          <w:sz w:val="21"/>
          <w:szCs w:val="21"/>
          <w:rtl w:val="0"/>
        </w:rPr>
        <w:t xml:space="preserve">The duplicates represented just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5022a"/>
          <w:sz w:val="21"/>
          <w:szCs w:val="21"/>
          <w:rtl w:val="0"/>
        </w:rPr>
        <w:t xml:space="preserve">0.22% of monthly revenue</w:t>
      </w:r>
      <w:r w:rsidDel="00000000" w:rsidR="00000000" w:rsidRPr="00000000">
        <w:rPr>
          <w:rFonts w:ascii="Montserrat" w:cs="Montserrat" w:eastAsia="Montserrat" w:hAnsi="Montserrat"/>
          <w:color w:val="05022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05022a"/>
          <w:sz w:val="21"/>
          <w:szCs w:val="21"/>
          <w:rtl w:val="0"/>
        </w:rPr>
        <w:t xml:space="preserve">Small enough to pass an aggregate review.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Montserrat" w:cs="Montserrat" w:eastAsia="Montserrat" w:hAnsi="Montserrat"/>
          <w:b w:val="1"/>
          <w:bCs w:val="1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05022a"/>
          <w:sz w:val="21"/>
          <w:szCs w:val="21"/>
          <w:rtl w:val="0"/>
        </w:rPr>
        <w:t xml:space="preserve">But because the tax calculation followed the inflated revenue base,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5022a"/>
          <w:sz w:val="21"/>
          <w:szCs w:val="21"/>
          <w:rtl w:val="0"/>
        </w:rPr>
        <w:t xml:space="preserve">the tax followed the error every cycle.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05022a"/>
          <w:sz w:val="21"/>
          <w:szCs w:val="21"/>
          <w:rtl w:val="0"/>
        </w:rPr>
        <w:t xml:space="preserve">A tiny accounting discrepancy became a recurring tax cost.</w:t>
      </w:r>
    </w:p>
    <w:p w:rsidR="00000000" w:rsidDel="00000000" w:rsidP="00000000" w:rsidRDefault="00000000" w:rsidRPr="00000000" w14:paraId="0000000F">
      <w:pPr>
        <w:spacing w:after="360" w:line="240" w:lineRule="auto"/>
        <w:rPr>
          <w:rFonts w:ascii="Montserrat" w:cs="Montserrat" w:eastAsia="Montserrat" w:hAnsi="Montserrat"/>
          <w:b w:val="1"/>
          <w:bCs w:val="1"/>
          <w:color w:val="05022a"/>
          <w:sz w:val="21"/>
          <w:szCs w:val="21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color w:val="05022a"/>
          <w:sz w:val="21"/>
          <w:szCs w:val="21"/>
        </w:rPr>
        <w:drawing>
          <wp:inline distB="114300" distT="114300" distL="114300" distR="114300">
            <wp:extent cx="5731200" cy="275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00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30"/>
          <w:szCs w:val="30"/>
          <w:rtl w:val="0"/>
        </w:rPr>
        <w:t xml:space="preserve">Same question. Two different answers.</w:t>
      </w: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4130"/>
        <w:gridCol w:w="3725"/>
        <w:tblGridChange w:id="0">
          <w:tblGrid>
            <w:gridCol w:w="1775"/>
            <w:gridCol w:w="4130"/>
            <w:gridCol w:w="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60" w:line="240" w:lineRule="auto"/>
              <w:jc w:val="center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60" w:line="240" w:lineRule="auto"/>
              <w:jc w:val="center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5022a"/>
                <w:sz w:val="21"/>
                <w:szCs w:val="21"/>
                <w:rtl w:val="0"/>
              </w:rPr>
              <w:t xml:space="preserve">With generic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60" w:line="240" w:lineRule="auto"/>
              <w:jc w:val="center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5022a"/>
                <w:sz w:val="21"/>
                <w:szCs w:val="21"/>
                <w:rtl w:val="0"/>
              </w:rPr>
              <w:t xml:space="preserve">With Clarity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60" w:line="240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05022a"/>
                <w:sz w:val="21"/>
                <w:szCs w:val="21"/>
                <w:rtl w:val="0"/>
              </w:rPr>
              <w:t xml:space="preserve">What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05022a"/>
                <w:sz w:val="21"/>
                <w:szCs w:val="21"/>
                <w:rtl w:val="0"/>
              </w:rPr>
              <w:t xml:space="preserve"> it 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60" w:line="240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5022a"/>
                <w:sz w:val="21"/>
                <w:szCs w:val="21"/>
                <w:rtl w:val="0"/>
              </w:rPr>
              <w:t xml:space="preserve">The invoice file you upload. It never sees the document that lets the goods move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60" w:line="240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5022a"/>
                <w:sz w:val="21"/>
                <w:szCs w:val="21"/>
                <w:rtl w:val="0"/>
              </w:rPr>
              <w:t xml:space="preserve">Transactions, statutory documents and their validity windows, live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60" w:line="240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05022a"/>
                <w:sz w:val="21"/>
                <w:szCs w:val="21"/>
                <w:rtl w:val="0"/>
              </w:rPr>
              <w:t xml:space="preserve">What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05022a"/>
                <w:sz w:val="21"/>
                <w:szCs w:val="21"/>
                <w:rtl w:val="0"/>
              </w:rPr>
              <w:t xml:space="preserve"> it checks against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60" w:line="240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5022a"/>
                <w:sz w:val="21"/>
                <w:szCs w:val="21"/>
                <w:rtl w:val="0"/>
              </w:rPr>
              <w:t xml:space="preserve">Matching three columns checks format, not liability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60" w:line="240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5022a"/>
                <w:sz w:val="21"/>
                <w:szCs w:val="21"/>
                <w:rtl w:val="0"/>
              </w:rPr>
              <w:t xml:space="preserve">Every line against the rule that applies in that country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60" w:line="240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05022a"/>
                <w:sz w:val="21"/>
                <w:szCs w:val="21"/>
                <w:rtl w:val="0"/>
              </w:rPr>
              <w:t xml:space="preserve">W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05022a"/>
                <w:sz w:val="21"/>
                <w:szCs w:val="21"/>
                <w:rtl w:val="0"/>
              </w:rPr>
              <w:t xml:space="preserve">hat it carries 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60" w:line="240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5022a"/>
                <w:sz w:val="21"/>
                <w:szCs w:val="21"/>
                <w:rtl w:val="0"/>
              </w:rPr>
              <w:t xml:space="preserve">Doesn't know the position you took last year; this return can contradict 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60" w:line="240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5022a"/>
                <w:sz w:val="21"/>
                <w:szCs w:val="21"/>
                <w:rtl w:val="0"/>
              </w:rPr>
              <w:t xml:space="preserve">Filing history and the notices each position drew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360" w:line="240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05022a"/>
                <w:sz w:val="21"/>
                <w:szCs w:val="21"/>
                <w:rtl w:val="0"/>
              </w:rPr>
              <w:t xml:space="preserve">What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05022a"/>
                <w:sz w:val="21"/>
                <w:szCs w:val="21"/>
                <w:rtl w:val="0"/>
              </w:rPr>
              <w:t xml:space="preserve"> comes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60" w:line="240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5022a"/>
                <w:sz w:val="21"/>
                <w:szCs w:val="21"/>
                <w:rtl w:val="0"/>
              </w:rPr>
              <w:t xml:space="preserve">A formatted return, with no view of what was never invoiced at 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60" w:line="240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5022a"/>
                <w:sz w:val="21"/>
                <w:szCs w:val="21"/>
                <w:rtl w:val="0"/>
              </w:rPr>
              <w:t xml:space="preserve">Every exception priced by the tax genuinely at risk</w:t>
            </w:r>
          </w:p>
        </w:tc>
      </w:tr>
    </w:tbl>
    <w:p w:rsidR="00000000" w:rsidDel="00000000" w:rsidP="00000000" w:rsidRDefault="00000000" w:rsidRPr="00000000" w14:paraId="00000020">
      <w:pPr>
        <w:spacing w:after="360" w:line="240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60" w:line="240" w:lineRule="auto"/>
        <w:rPr>
          <w:rFonts w:ascii="Montserrat" w:cs="Montserrat" w:eastAsia="Montserrat" w:hAnsi="Montserrat"/>
          <w:color w:val="05022a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50" w:line="300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30"/>
          <w:szCs w:val="30"/>
          <w:rtl w:val="0"/>
        </w:rPr>
        <w:t xml:space="preserve">Ready to put AI in the hands of your finance team?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300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444746"/>
          <w:sz w:val="21"/>
          <w:szCs w:val="21"/>
          <w:rtl w:val="0"/>
        </w:rPr>
        <w:t xml:space="preserve">Trusted data is the prerequisite. More than four in five finance leaders have hit an AI hallucination, and only one in seven fully trusts an AI answer even after review.</w:t>
      </w:r>
      <w:r w:rsidDel="00000000" w:rsidR="00000000" w:rsidRPr="00000000">
        <w:rPr>
          <w:rtl w:val="0"/>
        </w:rPr>
      </w:r>
    </w:p>
    <w:tbl>
      <w:tblPr>
        <w:tblStyle w:val="Table3"/>
        <w:tblW w:w="2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500"/>
        <w:tblGridChange w:id="0">
          <w:tblGrid>
            <w:gridCol w:w="2500"/>
          </w:tblGrid>
        </w:tblGridChange>
      </w:tblGrid>
      <w:tr>
        <w:trPr>
          <w:cantSplit w:val="0"/>
          <w:tblHeader w:val="0"/>
        </w:trPr>
        <w:tc>
          <w:tcPr>
            <w:shd w:fill="5446ff" w:val="clear"/>
            <w:tcMar>
              <w:top w:w="170.0" w:type="dxa"/>
              <w:left w:w="130.0" w:type="dxa"/>
              <w:bottom w:w="17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Book a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300" w:line="240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chiv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Archivo-italic.ttf"/><Relationship Id="rId10" Type="http://schemas.openxmlformats.org/officeDocument/2006/relationships/font" Target="fonts/Archivo-bold.ttf"/><Relationship Id="rId12" Type="http://schemas.openxmlformats.org/officeDocument/2006/relationships/font" Target="fonts/Archivo-boldItalic.ttf"/><Relationship Id="rId9" Type="http://schemas.openxmlformats.org/officeDocument/2006/relationships/font" Target="fonts/Archiv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