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52"/>
          <w:szCs w:val="52"/>
          <w:rtl w:val="0"/>
        </w:rPr>
        <w:t xml:space="preserve">Built for the front desk and settlements that follow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52"/>
          <w:szCs w:val="5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444746"/>
          <w:sz w:val="24"/>
          <w:szCs w:val="24"/>
          <w:rtl w:val="0"/>
        </w:rPr>
        <w:t xml:space="preserve">Built for how travel and hospitality actually work: a single bill carrying four tax treatments, a contract that decides agent or principal, and a package taxed on the margin rather than the price</w:t>
      </w:r>
      <w:r w:rsidDel="00000000" w:rsidR="00000000" w:rsidRPr="00000000">
        <w:rPr>
          <w:rFonts w:ascii="Montserrat" w:cs="Montserrat" w:eastAsia="Montserrat" w:hAnsi="Montserrat"/>
          <w:color w:val="5b587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64" w:lineRule="auto"/>
        <w:ind w:left="200" w:firstLine="0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4e4ec" w:space="6" w:sz="6" w:val="single"/>
        </w:pBdr>
        <w:spacing w:after="200" w:before="160" w:line="264" w:lineRule="auto"/>
        <w:rPr>
          <w:rFonts w:ascii="Montserrat" w:cs="Montserrat" w:eastAsia="Montserrat" w:hAnsi="Montserrat"/>
          <w:b w:val="1"/>
          <w:bCs w:val="1"/>
          <w:color w:val="5b5870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b5870"/>
          <w:sz w:val="18"/>
          <w:szCs w:val="18"/>
          <w:rtl w:val="0"/>
        </w:rPr>
        <w:t xml:space="preserve">Trusted by </w:t>
      </w:r>
    </w:p>
    <w:p w:rsidR="00000000" w:rsidDel="00000000" w:rsidP="00000000" w:rsidRDefault="00000000" w:rsidRPr="00000000" w14:paraId="00000005">
      <w:pPr>
        <w:pBdr>
          <w:top w:color="e4e4ec" w:space="6" w:sz="6" w:val="single"/>
        </w:pBdr>
        <w:spacing w:after="200" w:before="160" w:line="264" w:lineRule="auto"/>
        <w:rPr>
          <w:rFonts w:ascii="Montserrat" w:cs="Montserrat" w:eastAsia="Montserrat" w:hAnsi="Montserrat"/>
          <w:b w:val="1"/>
          <w:bCs w:val="1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b5870"/>
          <w:sz w:val="18"/>
          <w:szCs w:val="18"/>
          <w:rtl w:val="0"/>
        </w:rPr>
        <w:t xml:space="preserve">H&amp;M · IKEA · PUMA · Adidas · Giorgio Armani · Bisleri · Carrefour · Reckitt · PepsiCo · Landmark Group · Joyalukkas · Asics · Majid Al Futtaim · Malabar · LuLu · Dolce Gabbana · Nestle · Decathlon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36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We speak the language of your existing systems.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Enterprise ERPs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Where your transactions originate.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60" w:line="264" w:lineRule="auto"/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446ff"/>
                <w:sz w:val="19"/>
                <w:szCs w:val="19"/>
                <w:rtl w:val="0"/>
              </w:rPr>
              <w:t xml:space="preserve">SAP S/4HANA · Oracle Fusion · Microsoft D365 · Oracle EBS · SAP ECC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PMS &amp; booking engines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Where the guest or passenger sees the bill.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60" w:line="264" w:lineRule="auto"/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446ff"/>
                <w:sz w:val="19"/>
                <w:szCs w:val="19"/>
                <w:rtl w:val="0"/>
              </w:rPr>
              <w:t xml:space="preserve">Opera · Protel · Mews · Cloudbeds · RMS (PMS) · Hotelkey · Any PMS via REST / SFTP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Distribution &amp; middleware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Where the booking reaches you, and the document leaves.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60" w:line="264" w:lineRule="auto"/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446ff"/>
                <w:sz w:val="19"/>
                <w:szCs w:val="19"/>
                <w:rtl w:val="0"/>
              </w:rPr>
              <w:t xml:space="preserve">SynXis · Amadeus · Sabre · M-Files · TIBCO · Unified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4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From every booking channel to one source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mallCaps w:val="1"/>
          <w:color w:val="5b5870"/>
          <w:sz w:val="17"/>
          <w:szCs w:val="17"/>
          <w:rtl w:val="0"/>
        </w:rPr>
        <w:t xml:space="preserve">DIRECT &amp;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05022a"/>
          <w:sz w:val="21"/>
          <w:szCs w:val="21"/>
        </w:rPr>
        <w:drawing>
          <wp:inline distB="114300" distT="114300" distL="114300" distR="114300">
            <wp:extent cx="5943600" cy="3873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2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mallCaps w:val="1"/>
          <w:color w:val="5b5870"/>
          <w:sz w:val="17"/>
          <w:szCs w:val="17"/>
          <w:rtl w:val="0"/>
        </w:rPr>
        <w:t xml:space="preserve">PLATFORMS &amp; 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before="360" w:line="264" w:lineRule="auto"/>
        <w:rPr>
          <w:rFonts w:ascii="Archivo" w:cs="Archivo" w:eastAsia="Archivo" w:hAnsi="Archivo"/>
          <w:b w:val="1"/>
          <w:bCs w:val="1"/>
          <w:color w:val="05022a"/>
          <w:sz w:val="36"/>
          <w:szCs w:val="36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</w:rPr>
        <w:drawing>
          <wp:inline distB="114300" distT="114300" distL="114300" distR="114300">
            <wp:extent cx="5943600" cy="4762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Global experience, mandate after mandate.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18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HOSPITALITY TECH · BELGIUM · WHITE-LABEL · 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4"/>
          <w:szCs w:val="24"/>
          <w:rtl w:val="0"/>
        </w:rPr>
        <w:t xml:space="preserve">Multiple PMS </w:t>
      </w:r>
      <w:r w:rsidDel="00000000" w:rsidR="00000000" w:rsidRPr="00000000">
        <w:rPr>
          <w:rFonts w:ascii="Montserrat" w:cs="Montserrat" w:eastAsia="Montserrat" w:hAnsi="Montserrat"/>
          <w:color w:val="05022a"/>
          <w:sz w:val="40"/>
          <w:szCs w:val="40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e-Invoicing embedded inside the client's own PMS as a native feature, delivered white-label so they onboard hotel customers and configure VAT themselves.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18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mallCaps w:val="1"/>
          <w:color w:val="5446ff"/>
          <w:sz w:val="24"/>
          <w:szCs w:val="24"/>
          <w:rtl w:val="0"/>
        </w:rPr>
        <w:t xml:space="preserve">HOSPITALITY · BELGIUM · AR + AP · 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4"/>
          <w:szCs w:val="24"/>
          <w:rtl w:val="0"/>
        </w:rPr>
        <w:t xml:space="preserve">~2,100 invoices/ month</w:t>
      </w:r>
      <w:r w:rsidDel="00000000" w:rsidR="00000000" w:rsidRPr="00000000">
        <w:rPr>
          <w:rFonts w:ascii="Montserrat" w:cs="Montserrat" w:eastAsia="Montserrat" w:hAnsi="Montserrat"/>
          <w:color w:val="05022a"/>
          <w:sz w:val="40"/>
          <w:szCs w:val="40"/>
          <w:rtl w:val="0"/>
        </w:rPr>
        <w:t xml:space="preserve">   </w:t>
      </w: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br w:type="textWrapping"/>
        <w:t xml:space="preserve">PEPPOL compliance across both AR and AP ahead of Belgium's January 2026 mandate, on one compliance layer over RMS, Oracle ERP and M-Files. </w:t>
      </w:r>
    </w:p>
    <w:p w:rsidR="00000000" w:rsidDel="00000000" w:rsidP="00000000" w:rsidRDefault="00000000" w:rsidRPr="00000000" w14:paraId="0000001C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Solving the complexity of travel and hospitality.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line="264" w:lineRule="auto"/>
        <w:rPr>
          <w:rFonts w:ascii="Montserrat" w:cs="Montserrat" w:eastAsia="Montserrat" w:hAnsi="Montserrat"/>
          <w:color w:val="5b587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Group and corporate accounts need one invoice across thousands of stays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40" w:line="264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Folio data aggregates into one summary invoice per account per period, with every stay preserved as a distinct line, meeting each country's aggregation rules without losing the audit chain.</w:t>
            </w:r>
          </w:p>
          <w:p w:rsidR="00000000" w:rsidDel="00000000" w:rsidP="00000000" w:rsidRDefault="00000000" w:rsidRPr="00000000" w14:paraId="00000020">
            <w:pPr>
              <w:spacing w:after="140" w:line="264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  <w:drawing>
                <wp:inline distB="114300" distT="114300" distL="114300" distR="114300">
                  <wp:extent cx="6800850" cy="26860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2686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A single folio can carry four different tax treatments at line 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Every posting code in your PMS is validated against the code list of the country the property sits in, with rate as well as category checked before issuance.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6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  <w:drawing>
                <wp:inline distB="114300" distT="114300" distL="114300" distR="114300">
                  <wp:extent cx="6953250" cy="28575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A no-show is taxable on a plane and not taxable in a hotel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40" w:line="264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Each retained amount is classified by what it actually is: a forfeited deposit, a fare already earned, or a fee that replaces the price, and treated per market and product.</w:t>
            </w:r>
          </w:p>
          <w:p w:rsidR="00000000" w:rsidDel="00000000" w:rsidP="00000000" w:rsidRDefault="00000000" w:rsidRPr="00000000" w14:paraId="00000027">
            <w:pPr>
              <w:spacing w:after="140" w:line="264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  <w:drawing>
                <wp:inline distB="114300" distT="114300" distL="114300" distR="114300">
                  <wp:extent cx="6800850" cy="28194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A package is taxed on your margin, not on what the traveller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The margin is computed per departure from actual bought-in cost, the scheme marker applied, and the tax line suppressed on the customer document where the scheme requires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  <w:drawing>
                <wp:inline distB="114300" distT="114300" distL="114300" distR="114300">
                  <wp:extent cx="6858000" cy="257175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571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Agent or principal decides your entire tax position before the booking confirms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40" w:line="264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The determination is held per contract and per supplier, applied at the moment of confirmation, issuing either a commission invoice or a full margin-scheme document. Versioned, so it moves when an agreement is renegotiated.</w:t>
            </w: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  <w:drawing>
                <wp:inline distB="114300" distT="114300" distL="114300" distR="114300">
                  <wp:extent cx="6762750" cy="26289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40" w:line="264" w:lineRule="auto"/>
              <w:rPr>
                <w:rFonts w:ascii="Montserrat" w:cs="Montserrat" w:eastAsia="Montserrat" w:hAnsi="Montserrat"/>
                <w:color w:val="5b587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smallCaps w:val="1"/>
                <w:color w:val="5446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before="20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05022a"/>
                <w:sz w:val="26"/>
                <w:szCs w:val="26"/>
                <w:rtl w:val="0"/>
              </w:rPr>
              <w:t xml:space="preserve">The international leg is relieved; the domestic one is not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40" w:line="264" w:lineRule="auto"/>
              <w:rPr>
                <w:rFonts w:ascii="Montserrat" w:cs="Montserrat" w:eastAsia="Montserrat" w:hAnsi="Montserrat"/>
                <w:color w:val="05022a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b5870"/>
                <w:sz w:val="21"/>
                <w:szCs w:val="21"/>
                <w:rtl w:val="0"/>
              </w:rPr>
              <w:t xml:space="preserve">A multi-sector itinerary splits by route at the point of issue. On accommodation, the property register drives the place of supply, so each hotel files where it stands.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smallCaps w:val="1"/>
                <w:color w:val="5446ff"/>
                <w:sz w:val="16"/>
                <w:szCs w:val="16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smallCaps w:val="1"/>
                <w:color w:val="5446ff"/>
                <w:sz w:val="16"/>
                <w:szCs w:val="16"/>
              </w:rPr>
              <w:drawing>
                <wp:inline distB="114300" distT="114300" distL="114300" distR="114300">
                  <wp:extent cx="6724650" cy="260985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0" cy="2609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before="36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36"/>
          <w:szCs w:val="36"/>
          <w:rtl w:val="0"/>
        </w:rPr>
        <w:t xml:space="preserve">Highest levels of security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6"/>
          <w:szCs w:val="26"/>
          <w:rtl w:val="0"/>
        </w:rPr>
        <w:t xml:space="preserve">Certifications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ISO 27001:2022 · SOC 2 Type II · ISO 22301 · GDPR. We do not self-declare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6"/>
          <w:szCs w:val="26"/>
          <w:rtl w:val="0"/>
        </w:rPr>
        <w:t xml:space="preserve">Infrastructure &amp; edge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WAF and anti-DDoS filter traffic before the VPC. SentinelOne CSPM + DSPM for anomaly detection. Private subnets, no public 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6"/>
          <w:szCs w:val="26"/>
          <w:rtl w:val="0"/>
        </w:rPr>
        <w:t xml:space="preserve">Incident response &amp;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Every activity logged and traceable via SIEM and EDR. P0 response guaranteed under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0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05022a"/>
          <w:sz w:val="26"/>
          <w:szCs w:val="26"/>
          <w:rtl w:val="0"/>
        </w:rPr>
        <w:t xml:space="preserve">Encryption &amp; access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line="264" w:lineRule="auto"/>
        <w:rPr>
          <w:rFonts w:ascii="Montserrat" w:cs="Montserrat" w:eastAsia="Montserrat" w:hAnsi="Montserrat"/>
          <w:color w:val="05022a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color w:val="5b5870"/>
          <w:sz w:val="21"/>
          <w:szCs w:val="21"/>
          <w:rtl w:val="0"/>
        </w:rPr>
        <w:t xml:space="preserve">AES-256 at rest, TLS 1.2+ in transit. SAML/OIDC SSO, RBAC, no standing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chi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rchivo-regular.ttf"/><Relationship Id="rId6" Type="http://schemas.openxmlformats.org/officeDocument/2006/relationships/font" Target="fonts/Archivo-bold.ttf"/><Relationship Id="rId7" Type="http://schemas.openxmlformats.org/officeDocument/2006/relationships/font" Target="fonts/Archivo-italic.ttf"/><Relationship Id="rId8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