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00"/>
        <w:jc w:val="right"/>
        <w:bidi w:val="1"/>
      </w:pPr>
      <w:r>
        <w:rPr>
          <w:rFonts w:ascii="Arial" w:hAnsi="Arial" w:eastAsia="Arial" w:cs="Arial"/>
          <w:b/>
          <w:i w:val="0"/>
          <w:color w:val="0B2545"/>
          <w:sz w:val="48"/>
          <w:rtl w:val="1"/>
        </w:rPr>
        <w:t>חיזוי מוקדם של הידרדרות ב־GLS</w:t>
      </w:r>
    </w:p>
    <w:p>
      <w:pPr>
        <w:spacing w:before="0" w:after="320"/>
        <w:jc w:val="right"/>
        <w:bidi w:val="1"/>
      </w:pPr>
      <w:r>
        <w:rPr>
          <w:rFonts w:ascii="Arial" w:hAnsi="Arial" w:eastAsia="Arial" w:cs="Arial"/>
          <w:b w:val="0"/>
          <w:i w:val="0"/>
          <w:color w:val="5F6B76"/>
          <w:sz w:val="23"/>
          <w:rtl w:val="1"/>
        </w:rPr>
        <w:t>דוח מסכם | ירידה יחסית של 15% ב־Mid-GLS | הביקור הראשון כבייסליין</w:t>
      </w:r>
    </w:p>
    <w:p>
      <w:pPr>
        <w:pStyle w:val="Heading1"/>
        <w:jc w:val="right"/>
        <w:keepNext/>
        <w:keepLines/>
        <w:bidi w:val="1"/>
      </w:pPr>
      <w:r>
        <w:rPr>
          <w:rFonts w:ascii="Arial" w:hAnsi="Arial" w:eastAsia="Arial" w:cs="Arial"/>
          <w:b/>
          <w:i w:val="0"/>
          <w:color w:val="2E74B5"/>
          <w:sz w:val="32"/>
          <w:rtl w:val="1"/>
        </w:rPr>
        <w:t>סיכום קצר</w:t>
      </w:r>
    </w:p>
    <w:p>
      <w:pPr>
        <w:spacing w:before="120" w:after="120" w:line="264" w:lineRule="auto"/>
        <w:jc w:val="right"/>
        <w:bidi w:val="1"/>
        <w:shd w:fill="EDF4FA"/>
      </w:pPr>
      <w:r>
        <w:rPr>
          <w:rFonts w:ascii="Arial" w:hAnsi="Arial" w:eastAsia="Arial" w:cs="Arial"/>
          <w:b w:val="0"/>
          <w:i w:val="0"/>
          <w:color w:val="000000"/>
          <w:sz w:val="22"/>
          <w:rtl w:val="1"/>
        </w:rPr>
        <w:t>בנינו מערכת שמקבלת את המידע הקיים בביקור הנוכחי ומנסה להתריע האם בביקור הבא תתרחש לראשונה ירידה יחסית של לפחות 15% ב־Mid-GLS, ביחס לביקור הראשון המשמש כבייסליין. בדקנו האם הסימן המוקדם נמצא בהבדלים בין עקומות Endo ו־Mid או בחוסר האחידות בין הסגמנטים.</w:t>
      </w:r>
    </w:p>
    <w:p>
      <w:pPr>
        <w:spacing w:before="120" w:after="120" w:line="264" w:lineRule="auto"/>
        <w:jc w:val="right"/>
        <w:bidi w:val="1"/>
        <w:shd w:fill="EDF4FA"/>
      </w:pPr>
      <w:r>
        <w:rPr>
          <w:rFonts w:ascii="Arial" w:hAnsi="Arial" w:eastAsia="Arial" w:cs="Arial"/>
          <w:b w:val="0"/>
          <w:i w:val="0"/>
          <w:color w:val="000000"/>
          <w:sz w:val="22"/>
          <w:rtl w:val="1"/>
        </w:rPr>
        <w:t>התוצאה הנקודתית הטובה ביותר התקבלה מ־CNN עם attention לסגמנטים: AUC של 0.683 ו־AP של 0.333, לעומת AUC של 0.631 ו־AP של 0.289 במודל הקליני. עם זאת, השיפור לא היה יציב ברווחי הסמך.</w:t>
      </w:r>
    </w:p>
    <w:p>
      <w:pPr>
        <w:pStyle w:val="Heading1"/>
        <w:jc w:val="right"/>
        <w:keepNext/>
        <w:keepLines/>
        <w:bidi w:val="1"/>
      </w:pPr>
      <w:r>
        <w:rPr>
          <w:rFonts w:ascii="Arial" w:hAnsi="Arial" w:eastAsia="Arial" w:cs="Arial"/>
          <w:b/>
          <w:i w:val="0"/>
          <w:color w:val="2E74B5"/>
          <w:sz w:val="32"/>
          <w:rtl w:val="1"/>
        </w:rPr>
        <w:t>1. בסיס הנתונים</w:t>
      </w:r>
    </w:p>
    <w:p>
      <w:pPr>
        <w:spacing w:before="0" w:after="120" w:line="264" w:lineRule="auto"/>
        <w:jc w:val="right"/>
        <w:bidi w:val="1"/>
      </w:pPr>
      <w:r>
        <w:rPr>
          <w:rFonts w:ascii="Arial" w:hAnsi="Arial" w:eastAsia="Arial" w:cs="Arial"/>
          <w:b w:val="0"/>
          <w:i w:val="0"/>
          <w:color w:val="000000"/>
          <w:sz w:val="22"/>
          <w:rtl w:val="1"/>
        </w:rPr>
        <w:t>בסיס הנתונים המקורי כלל:</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416 קובצי AutoStrain.</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103 מטופלים.</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400 ביקורים אמיתיים.</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297 מעברים אפשריים בין ביקור נוכחי לביקור הבא.</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עקומות Endo ו־Mid עבור 18 סגמנטים.</w:t>
      </w:r>
    </w:p>
    <w:p>
      <w:pPr>
        <w:spacing w:before="0" w:after="120" w:line="264" w:lineRule="auto"/>
        <w:jc w:val="right"/>
        <w:bidi w:val="1"/>
      </w:pPr>
      <w:r>
        <w:rPr>
          <w:rFonts w:ascii="Arial" w:hAnsi="Arial" w:eastAsia="Arial" w:cs="Arial"/>
          <w:b w:val="0"/>
          <w:i w:val="0"/>
          <w:color w:val="000000"/>
          <w:sz w:val="22"/>
          <w:rtl w:val="1"/>
        </w:rPr>
        <w:t>כאשר אותו ביקור נותח טכנית יותר מפעם אחת, האנליזות אוחדו כדי לא לספור אותו כביקור נוסף. העקומות נורמלו לאורך של 96 נקודות זמן, כדי שניתן יהיה להשוות את צורתן בין מטופלים, סגמנטים וביקורים.</w:t>
      </w:r>
    </w:p>
    <w:p>
      <w:pPr>
        <w:pStyle w:val="Heading2"/>
        <w:jc w:val="right"/>
        <w:keepNext/>
        <w:keepLines/>
        <w:bidi w:val="1"/>
      </w:pPr>
      <w:r>
        <w:rPr>
          <w:rFonts w:ascii="Arial" w:hAnsi="Arial" w:eastAsia="Arial" w:cs="Arial"/>
          <w:b/>
          <w:i w:val="0"/>
          <w:color w:val="2E74B5"/>
          <w:sz w:val="26"/>
          <w:rtl w:val="1"/>
        </w:rPr>
        <w:t>בסיס הנתונים של משימת החיזוי</w:t>
      </w:r>
    </w:p>
    <w:p>
      <w:pPr>
        <w:spacing w:before="0" w:after="120" w:line="264" w:lineRule="auto"/>
        <w:jc w:val="right"/>
        <w:bidi w:val="1"/>
      </w:pPr>
      <w:r>
        <w:rPr>
          <w:rFonts w:ascii="Arial" w:hAnsi="Arial" w:eastAsia="Arial" w:cs="Arial"/>
          <w:b w:val="0"/>
          <w:i w:val="0"/>
          <w:color w:val="000000"/>
          <w:sz w:val="22"/>
          <w:rtl w:val="1"/>
        </w:rPr>
        <w:t>לאחר הגדרת הבייסליין, הסרת המעברים שלא היו מתאימים והפסקת המעקב לאחר חציית הסף הראשונה, נשארו:</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238 מעברים בין ביקור נוכחי לביקור הבא.</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49 אירועי הידרדרות.</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189 מעברים ללא הידרדרות.</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שיעור אירועים: 20.6%.</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שיעור אי־אירועים: 79.4%.</w:t>
      </w:r>
    </w:p>
    <w:p>
      <w:pPr>
        <w:spacing w:before="0" w:after="120" w:line="264" w:lineRule="auto"/>
        <w:jc w:val="right"/>
        <w:bidi w:val="1"/>
      </w:pPr>
      <w:r>
        <w:rPr>
          <w:rFonts w:ascii="Arial" w:hAnsi="Arial" w:eastAsia="Arial" w:cs="Arial"/>
          <w:b w:val="0"/>
          <w:i w:val="0"/>
          <w:color w:val="000000"/>
          <w:sz w:val="22"/>
          <w:rtl w:val="1"/>
        </w:rPr>
        <w:t>אין בנתונים מידע על טיפול אונקולוגי, מינון תרופות, biomarkers, תסמינים או אבחנה קלינית מאומתת. לכן היעד הוא הידרדרות הדמייתית ב־GLS, ולא אבחנה מלאה של cardiotoxicity.</w:t>
      </w:r>
    </w:p>
    <w:p>
      <w:pPr>
        <w:pStyle w:val="Heading1"/>
        <w:jc w:val="right"/>
        <w:keepNext/>
        <w:keepLines/>
        <w:bidi w:val="1"/>
      </w:pPr>
      <w:r>
        <w:rPr>
          <w:rFonts w:ascii="Arial" w:hAnsi="Arial" w:eastAsia="Arial" w:cs="Arial"/>
          <w:b/>
          <w:i w:val="0"/>
          <w:color w:val="2E74B5"/>
          <w:sz w:val="32"/>
          <w:rtl w:val="1"/>
        </w:rPr>
        <w:t>2. משימת החיזוי</w:t>
      </w:r>
    </w:p>
    <w:p>
      <w:pPr>
        <w:spacing w:before="0" w:after="120" w:line="264" w:lineRule="auto"/>
        <w:jc w:val="right"/>
        <w:bidi w:val="1"/>
      </w:pPr>
      <w:r>
        <w:rPr>
          <w:rFonts w:ascii="Arial" w:hAnsi="Arial" w:eastAsia="Arial" w:cs="Arial"/>
          <w:b w:val="0"/>
          <w:i w:val="0"/>
          <w:color w:val="000000"/>
          <w:sz w:val="22"/>
          <w:rtl w:val="1"/>
        </w:rPr>
        <w:t>כל דוגמה במודל מייצגת מעבר מהביקור הנוכחי אל הביקור הבא.</w:t>
      </w:r>
    </w:p>
    <w:p>
      <w:pPr>
        <w:spacing w:before="0" w:after="120" w:line="264" w:lineRule="auto"/>
        <w:jc w:val="right"/>
        <w:bidi w:val="1"/>
      </w:pPr>
      <w:r>
        <w:rPr>
          <w:rFonts w:ascii="Arial" w:hAnsi="Arial" w:eastAsia="Arial" w:cs="Arial"/>
          <w:b w:val="0"/>
          <w:i w:val="0"/>
          <w:color w:val="000000"/>
          <w:sz w:val="22"/>
          <w:rtl w:val="1"/>
        </w:rPr>
        <w:t>המטרה היא להתריע בביקור הנוכחי שבביקור הבא תתרחש לראשונה ירידה יחסית של לפחות 15% ב־Mid-GLS. הביקור הראשון של כל מטופל שימש תמיד כבייסליין.</w:t>
      </w:r>
    </w:p>
    <w:p>
      <w:pPr>
        <w:spacing w:before="120" w:after="120"/>
        <w:jc w:val="center"/>
        <w:bidi w:val="0"/>
        <w:shd w:fill="F4F6F9"/>
      </w:pPr>
      <w:r>
        <w:rPr>
          <w:rFonts w:ascii="Arial" w:hAnsi="Arial" w:eastAsia="Arial" w:cs="Arial"/>
          <w:b/>
          <w:i w:val="0"/>
          <w:color w:val="0B2545"/>
          <w:sz w:val="22"/>
          <w:rtl w:val="0"/>
        </w:rPr>
        <w:t>(GLS at baseline - GLS at next visit) / GLS at baseline</w:t>
      </w:r>
    </w:p>
    <w:p>
      <w:pPr>
        <w:spacing w:before="0" w:after="120" w:line="264" w:lineRule="auto"/>
        <w:jc w:val="right"/>
        <w:bidi w:val="1"/>
      </w:pPr>
      <w:r>
        <w:rPr>
          <w:rFonts w:ascii="Arial" w:hAnsi="Arial" w:eastAsia="Arial" w:cs="Arial"/>
          <w:b w:val="0"/>
          <w:i w:val="0"/>
          <w:color w:val="000000"/>
          <w:sz w:val="22"/>
          <w:rtl w:val="1"/>
        </w:rPr>
        <w:t>מכיוון ש־GLS נשמר בדרך כלל כמספר שלילי, החישוב בוצע על גודל ה־GLS. ערך קטן יותר מייצג תפקוד גרוע יותר. לדוגמה, ירידה מגודל GLS של 20 בבייסליין ל־17 בביקור הבא היא ירידה יחסית של 15%.</w:t>
      </w:r>
    </w:p>
    <w:p>
      <w:pPr>
        <w:spacing w:before="0" w:after="120" w:line="264" w:lineRule="auto"/>
        <w:jc w:val="right"/>
        <w:bidi w:val="1"/>
      </w:pPr>
      <w:r>
        <w:rPr>
          <w:rFonts w:ascii="Arial" w:hAnsi="Arial" w:eastAsia="Arial" w:cs="Arial"/>
          <w:b w:val="0"/>
          <w:i w:val="0"/>
          <w:color w:val="000000"/>
          <w:sz w:val="22"/>
          <w:rtl w:val="1"/>
        </w:rPr>
        <w:t>אם מטופל הידרדר בביקור 4:</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ביקור 1 מנבא את ביקור 2 – דוגמה שלילית.</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ביקור 2 מנבא את ביקור 3 – דוגמה שלילית.</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ביקור 3 מנבא את ביקור 4 – דוגמה חיובית.</w:t>
      </w:r>
    </w:p>
    <w:p>
      <w:pPr>
        <w:spacing w:before="0" w:after="120" w:line="264" w:lineRule="auto"/>
        <w:jc w:val="right"/>
        <w:bidi w:val="1"/>
      </w:pPr>
      <w:r>
        <w:rPr>
          <w:rFonts w:ascii="Arial" w:hAnsi="Arial" w:eastAsia="Arial" w:cs="Arial"/>
          <w:b w:val="0"/>
          <w:i w:val="0"/>
          <w:color w:val="000000"/>
          <w:sz w:val="22"/>
          <w:rtl w:val="1"/>
        </w:rPr>
        <w:t>לאחר החצייה הראשונה של סף ה־15%, לא יצרנו דוגמאות נוספות עבור אותו מטופל.</w:t>
      </w:r>
    </w:p>
    <w:p>
      <w:pPr>
        <w:pStyle w:val="Heading1"/>
        <w:jc w:val="right"/>
        <w:keepNext/>
        <w:keepLines/>
        <w:bidi w:val="1"/>
      </w:pPr>
      <w:r>
        <w:rPr>
          <w:rFonts w:ascii="Arial" w:hAnsi="Arial" w:eastAsia="Arial" w:cs="Arial"/>
          <w:b/>
          <w:i w:val="0"/>
          <w:color w:val="2E74B5"/>
          <w:sz w:val="32"/>
          <w:rtl w:val="1"/>
        </w:rPr>
        <w:t>3. משפחות הפיצ'רים</w:t>
      </w:r>
    </w:p>
    <w:p>
      <w:pPr>
        <w:pStyle w:val="Heading2"/>
        <w:jc w:val="right"/>
        <w:keepNext/>
        <w:keepLines/>
        <w:bidi w:val="1"/>
      </w:pPr>
      <w:r>
        <w:rPr>
          <w:rFonts w:ascii="Arial" w:hAnsi="Arial" w:eastAsia="Arial" w:cs="Arial"/>
          <w:b/>
          <w:i w:val="0"/>
          <w:color w:val="2E74B5"/>
          <w:sz w:val="26"/>
          <w:rtl w:val="1"/>
        </w:rPr>
        <w:t>פיצ'רים קליניים – 27 פיצ'רים</w:t>
      </w:r>
    </w:p>
    <w:p>
      <w:pPr>
        <w:spacing w:before="0" w:after="120" w:line="264" w:lineRule="auto"/>
        <w:jc w:val="right"/>
        <w:bidi w:val="1"/>
      </w:pPr>
      <w:r>
        <w:rPr>
          <w:rFonts w:ascii="Arial" w:hAnsi="Arial" w:eastAsia="Arial" w:cs="Arial"/>
          <w:b w:val="0"/>
          <w:i w:val="0"/>
          <w:color w:val="000000"/>
          <w:sz w:val="22"/>
          <w:rtl w:val="1"/>
        </w:rPr>
        <w:t>אלו היוו את מודל הבסיס:</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Mid-GLS ו־Endo-GLS בבייסליין ובביקור הנוכחי.</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EF.</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שינוי יחסי לעומת הבייסליין.</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שינוי מהביקור הקודם.</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קצב השינוי לאורך זמן.</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הזמן בין הביקורים.</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מספר הביקורים הקודמים.</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הפער הגלובלי בין Endo ל־Mid.</w:t>
      </w:r>
    </w:p>
    <w:p>
      <w:pPr>
        <w:pStyle w:val="Heading2"/>
        <w:jc w:val="right"/>
        <w:keepNext/>
        <w:keepLines/>
        <w:bidi w:val="1"/>
      </w:pPr>
      <w:r>
        <w:rPr>
          <w:rFonts w:ascii="Arial" w:hAnsi="Arial" w:eastAsia="Arial" w:cs="Arial"/>
          <w:b/>
          <w:i w:val="0"/>
          <w:color w:val="2E74B5"/>
          <w:sz w:val="26"/>
          <w:rtl w:val="1"/>
        </w:rPr>
        <w:t>פיצ'רים של Endo–Mid – כ־170 פיצ'רים</w:t>
      </w:r>
    </w:p>
    <w:p>
      <w:pPr>
        <w:spacing w:before="0" w:after="120" w:line="264" w:lineRule="auto"/>
        <w:jc w:val="right"/>
        <w:bidi w:val="1"/>
      </w:pPr>
      <w:r>
        <w:rPr>
          <w:rFonts w:ascii="Arial" w:hAnsi="Arial" w:eastAsia="Arial" w:cs="Arial"/>
          <w:b w:val="0"/>
          <w:i w:val="0"/>
          <w:color w:val="000000"/>
          <w:sz w:val="22"/>
          <w:rtl w:val="1"/>
        </w:rPr>
        <w:t>פיצ'רים אלה בדקו את ההשערה שהסימן המוקדם נמצא בהבדל בין שתי שכבות השריר:</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ההפרש בעוצמת שיא הכיווץ בכל סגמנט.</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ההפרש בזמן לשיא.</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המרחק בין צורות עקומות Endo ו־Mid.</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קורלציה וקוהרנטיות בין שתי השכבות.</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Phase lag בין העקומות.</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השינוי במדדים אלו לעומת הביקור הקודם.</w:t>
      </w:r>
    </w:p>
    <w:p>
      <w:pPr>
        <w:pStyle w:val="Heading2"/>
        <w:jc w:val="right"/>
        <w:keepNext/>
        <w:keepLines/>
        <w:bidi w:val="1"/>
      </w:pPr>
      <w:r>
        <w:rPr>
          <w:rFonts w:ascii="Arial" w:hAnsi="Arial" w:eastAsia="Arial" w:cs="Arial"/>
          <w:b/>
          <w:i w:val="0"/>
          <w:color w:val="2E74B5"/>
          <w:sz w:val="26"/>
          <w:rtl w:val="1"/>
        </w:rPr>
        <w:t>שונות בין סגמנטים – כ־72 פיצ'רים</w:t>
      </w:r>
    </w:p>
    <w:p>
      <w:pPr>
        <w:spacing w:before="0" w:after="120" w:line="264" w:lineRule="auto"/>
        <w:jc w:val="right"/>
        <w:bidi w:val="1"/>
      </w:pPr>
      <w:r>
        <w:rPr>
          <w:rFonts w:ascii="Arial" w:hAnsi="Arial" w:eastAsia="Arial" w:cs="Arial"/>
          <w:b w:val="0"/>
          <w:i w:val="0"/>
          <w:color w:val="000000"/>
          <w:sz w:val="22"/>
          <w:rtl w:val="1"/>
        </w:rPr>
        <w:t>פיצ'רים אלה בדקו את ההשערה שהסימן המוקדם נמצא בחוסר אחידות בין הסגמנטים:</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פיזור עוצמת השיא בין הסגמנטים.</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פיזור הזמן לשיא.</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חוסר אחידות בצורת העקומות.</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הבדלים בין אזורים אנטומיים.</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Roughness מרחבי בין סגמנטים שכנים.</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שיעור הסגמנטים החלשים.</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השינוי בשונות לעומת הביקור הקודם.</w:t>
      </w:r>
    </w:p>
    <w:p>
      <w:pPr>
        <w:pStyle w:val="Heading2"/>
        <w:jc w:val="right"/>
        <w:keepNext/>
        <w:keepLines/>
        <w:bidi w:val="1"/>
      </w:pPr>
      <w:r>
        <w:rPr>
          <w:rFonts w:ascii="Arial" w:hAnsi="Arial" w:eastAsia="Arial" w:cs="Arial"/>
          <w:b/>
          <w:i w:val="0"/>
          <w:color w:val="2E74B5"/>
          <w:sz w:val="26"/>
          <w:rtl w:val="1"/>
        </w:rPr>
        <w:t>עקומות גולמיות</w:t>
      </w:r>
    </w:p>
    <w:p>
      <w:pPr>
        <w:spacing w:before="0" w:after="120" w:line="264" w:lineRule="auto"/>
        <w:jc w:val="right"/>
        <w:bidi w:val="1"/>
      </w:pPr>
      <w:r>
        <w:rPr>
          <w:rFonts w:ascii="Arial" w:hAnsi="Arial" w:eastAsia="Arial" w:cs="Arial"/>
          <w:b w:val="0"/>
          <w:i w:val="0"/>
          <w:color w:val="000000"/>
          <w:sz w:val="22"/>
          <w:rtl w:val="1"/>
        </w:rPr>
        <w:t>למודל העמוק הוזנו ישירות:</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18 סגמנטים כפול 96 נקודות זמן.</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עקומת Endo נוכחית.</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עקומת Mid נוכחית.</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ההפרש בין Endo ל־Mid.</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השינוי בערוצים הללו לעומת הביקור הקודם.</w:t>
      </w:r>
    </w:p>
    <w:p>
      <w:pPr>
        <w:pStyle w:val="Heading1"/>
        <w:jc w:val="right"/>
        <w:keepNext/>
        <w:keepLines/>
        <w:bidi w:val="1"/>
      </w:pPr>
      <w:r>
        <w:rPr>
          <w:rFonts w:ascii="Arial" w:hAnsi="Arial" w:eastAsia="Arial" w:cs="Arial"/>
          <w:b/>
          <w:i w:val="0"/>
          <w:color w:val="2E74B5"/>
          <w:sz w:val="32"/>
          <w:rtl w:val="1"/>
        </w:rPr>
        <w:t>4. המודלים</w:t>
      </w:r>
    </w:p>
    <w:p>
      <w:pPr>
        <w:jc w:val="right"/>
        <w:bidi w:val="1"/>
        <w:numPr>
          <w:ilvl w:val="0"/>
          <w:numId w:val="1"/>
        </w:numPr>
        <w:spacing w:before="0" w:after="160" w:line="280" w:lineRule="auto"/>
        <w:ind w:right="720" w:hanging="360" w:left="0"/>
      </w:pPr>
      <w:r>
        <w:rPr>
          <w:rFonts w:ascii="Arial" w:hAnsi="Arial" w:eastAsia="Arial" w:cs="Arial"/>
          <w:b/>
          <w:i w:val="0"/>
          <w:color w:val="000000"/>
          <w:sz w:val="22"/>
          <w:rtl w:val="1"/>
        </w:rPr>
        <w:t>Clinical ridge:</w:t>
      </w:r>
      <w:r>
        <w:rPr>
          <w:rFonts w:ascii="Arial" w:hAnsi="Arial" w:eastAsia="Arial" w:cs="Arial"/>
          <w:b w:val="0"/>
          <w:i w:val="0"/>
          <w:color w:val="000000"/>
          <w:sz w:val="22"/>
          <w:rtl w:val="1"/>
        </w:rPr>
        <w:t xml:space="preserve"> רגרסיה לוגיסטית עם L2 על הפיצ'רים הקליניים.</w:t>
      </w:r>
    </w:p>
    <w:p>
      <w:pPr>
        <w:jc w:val="right"/>
        <w:bidi w:val="1"/>
        <w:numPr>
          <w:ilvl w:val="0"/>
          <w:numId w:val="1"/>
        </w:numPr>
        <w:spacing w:before="0" w:after="160" w:line="280" w:lineRule="auto"/>
        <w:ind w:right="720" w:hanging="360" w:left="0"/>
      </w:pPr>
      <w:r>
        <w:rPr>
          <w:rFonts w:ascii="Arial" w:hAnsi="Arial" w:eastAsia="Arial" w:cs="Arial"/>
          <w:b/>
          <w:i w:val="0"/>
          <w:color w:val="000000"/>
          <w:sz w:val="22"/>
          <w:rtl w:val="1"/>
        </w:rPr>
        <w:t>Clinical + Endo–Mid sparse:</w:t>
      </w:r>
      <w:r>
        <w:rPr>
          <w:rFonts w:ascii="Arial" w:hAnsi="Arial" w:eastAsia="Arial" w:cs="Arial"/>
          <w:b w:val="0"/>
          <w:i w:val="0"/>
          <w:color w:val="000000"/>
          <w:sz w:val="22"/>
          <w:rtl w:val="1"/>
        </w:rPr>
        <w:t xml:space="preserve"> רגרסיה לוגיסטית עם L1 שהוסיפה את פיצ'רי Endo–Mid.</w:t>
      </w:r>
    </w:p>
    <w:p>
      <w:pPr>
        <w:jc w:val="right"/>
        <w:bidi w:val="1"/>
        <w:numPr>
          <w:ilvl w:val="0"/>
          <w:numId w:val="1"/>
        </w:numPr>
        <w:spacing w:before="0" w:after="160" w:line="280" w:lineRule="auto"/>
        <w:ind w:right="720" w:hanging="360" w:left="0"/>
      </w:pPr>
      <w:r>
        <w:rPr>
          <w:rFonts w:ascii="Arial" w:hAnsi="Arial" w:eastAsia="Arial" w:cs="Arial"/>
          <w:b/>
          <w:i w:val="0"/>
          <w:color w:val="000000"/>
          <w:sz w:val="22"/>
          <w:rtl w:val="1"/>
        </w:rPr>
        <w:t>Clinical + variability sparse:</w:t>
      </w:r>
      <w:r>
        <w:rPr>
          <w:rFonts w:ascii="Arial" w:hAnsi="Arial" w:eastAsia="Arial" w:cs="Arial"/>
          <w:b w:val="0"/>
          <w:i w:val="0"/>
          <w:color w:val="000000"/>
          <w:sz w:val="22"/>
          <w:rtl w:val="1"/>
        </w:rPr>
        <w:t xml:space="preserve"> רגרסיה לוגיסטית עם L1 שהוסיפה את פיצ'רי השונות.</w:t>
      </w:r>
    </w:p>
    <w:p>
      <w:pPr>
        <w:jc w:val="right"/>
        <w:bidi w:val="1"/>
        <w:numPr>
          <w:ilvl w:val="0"/>
          <w:numId w:val="1"/>
        </w:numPr>
        <w:spacing w:before="0" w:after="160" w:line="280" w:lineRule="auto"/>
        <w:ind w:right="720" w:hanging="360" w:left="0"/>
      </w:pPr>
      <w:r>
        <w:rPr>
          <w:rFonts w:ascii="Arial" w:hAnsi="Arial" w:eastAsia="Arial" w:cs="Arial"/>
          <w:b/>
          <w:i w:val="0"/>
          <w:color w:val="000000"/>
          <w:sz w:val="22"/>
          <w:rtl w:val="1"/>
        </w:rPr>
        <w:t>Combined Extra Trees:</w:t>
      </w:r>
      <w:r>
        <w:rPr>
          <w:rFonts w:ascii="Arial" w:hAnsi="Arial" w:eastAsia="Arial" w:cs="Arial"/>
          <w:b w:val="0"/>
          <w:i w:val="0"/>
          <w:color w:val="000000"/>
          <w:sz w:val="22"/>
          <w:rtl w:val="1"/>
        </w:rPr>
        <w:t xml:space="preserve"> מודל עצים לא־לינארי על כל הפיצ'רים המהונדסים.</w:t>
      </w:r>
    </w:p>
    <w:p>
      <w:pPr>
        <w:jc w:val="right"/>
        <w:bidi w:val="1"/>
        <w:numPr>
          <w:ilvl w:val="0"/>
          <w:numId w:val="1"/>
        </w:numPr>
        <w:spacing w:before="0" w:after="160" w:line="280" w:lineRule="auto"/>
        <w:ind w:right="720" w:hanging="360" w:left="0"/>
      </w:pPr>
      <w:r>
        <w:rPr>
          <w:rFonts w:ascii="Arial" w:hAnsi="Arial" w:eastAsia="Arial" w:cs="Arial"/>
          <w:b/>
          <w:i w:val="0"/>
          <w:color w:val="000000"/>
          <w:sz w:val="22"/>
          <w:rtl w:val="1"/>
        </w:rPr>
        <w:t>Uniform CNN:</w:t>
      </w:r>
      <w:r>
        <w:rPr>
          <w:rFonts w:ascii="Arial" w:hAnsi="Arial" w:eastAsia="Arial" w:cs="Arial"/>
          <w:b w:val="0"/>
          <w:i w:val="0"/>
          <w:color w:val="000000"/>
          <w:sz w:val="22"/>
          <w:rtl w:val="1"/>
        </w:rPr>
        <w:t xml:space="preserve"> רשת 1D שלמדה ישירות את העקומות ואיגמה את הסגמנטים באופן אחיד.</w:t>
      </w:r>
    </w:p>
    <w:p>
      <w:pPr>
        <w:jc w:val="right"/>
        <w:bidi w:val="1"/>
        <w:numPr>
          <w:ilvl w:val="0"/>
          <w:numId w:val="1"/>
        </w:numPr>
        <w:spacing w:before="0" w:after="160" w:line="280" w:lineRule="auto"/>
        <w:ind w:right="720" w:hanging="360" w:left="0"/>
      </w:pPr>
      <w:r>
        <w:rPr>
          <w:rFonts w:ascii="Arial" w:hAnsi="Arial" w:eastAsia="Arial" w:cs="Arial"/>
          <w:b/>
          <w:i w:val="0"/>
          <w:color w:val="000000"/>
          <w:sz w:val="22"/>
          <w:rtl w:val="1"/>
        </w:rPr>
        <w:t>Attention CNN:</w:t>
      </w:r>
      <w:r>
        <w:rPr>
          <w:rFonts w:ascii="Arial" w:hAnsi="Arial" w:eastAsia="Arial" w:cs="Arial"/>
          <w:b w:val="0"/>
          <w:i w:val="0"/>
          <w:color w:val="000000"/>
          <w:sz w:val="22"/>
          <w:rtl w:val="1"/>
        </w:rPr>
        <w:t xml:space="preserve"> אותו CNN, אך עם משקל נלמד לכל סגמנט.</w:t>
      </w:r>
    </w:p>
    <w:p>
      <w:pPr>
        <w:spacing w:before="0" w:after="120" w:line="264" w:lineRule="auto"/>
        <w:jc w:val="right"/>
        <w:bidi w:val="1"/>
      </w:pPr>
      <w:r>
        <w:rPr>
          <w:rFonts w:ascii="Arial" w:hAnsi="Arial" w:eastAsia="Arial" w:cs="Arial"/>
          <w:b w:val="0"/>
          <w:i w:val="0"/>
          <w:color w:val="000000"/>
          <w:sz w:val="22"/>
          <w:rtl w:val="1"/>
        </w:rPr>
        <w:t>המודלים הלינאריים נבחרו בגלל גודל המדגם הקטן יחסית. ה־Extra Trees נועד לבדוק קשרים ואינטראקציות לא־לינאריות, וה־CNN בדק אם ניתן ללמוד ישירות מידע מצורת העקומות.</w:t>
      </w:r>
    </w:p>
    <w:p>
      <w:pPr>
        <w:spacing w:before="0" w:after="120" w:line="264" w:lineRule="auto"/>
        <w:jc w:val="right"/>
        <w:bidi w:val="1"/>
      </w:pPr>
      <w:r>
        <w:rPr>
          <w:rFonts w:ascii="Arial" w:hAnsi="Arial" w:eastAsia="Arial" w:cs="Arial"/>
          <w:b w:val="0"/>
          <w:i w:val="0"/>
          <w:color w:val="000000"/>
          <w:sz w:val="22"/>
          <w:rtl w:val="1"/>
        </w:rPr>
        <w:t>ה־CNN אומן על NVIDIA GeForce RTX 4060 Ti.</w:t>
      </w:r>
    </w:p>
    <w:p>
      <w:pPr>
        <w:pStyle w:val="Heading1"/>
        <w:jc w:val="right"/>
        <w:keepNext/>
        <w:keepLines/>
        <w:bidi w:val="1"/>
      </w:pPr>
      <w:r>
        <w:rPr>
          <w:rFonts w:ascii="Arial" w:hAnsi="Arial" w:eastAsia="Arial" w:cs="Arial"/>
          <w:b/>
          <w:i w:val="0"/>
          <w:color w:val="2E74B5"/>
          <w:sz w:val="32"/>
          <w:rtl w:val="1"/>
        </w:rPr>
        <w:t>5. תהליך ההערכה</w:t>
      </w:r>
    </w:p>
    <w:p>
      <w:pPr>
        <w:spacing w:before="0" w:after="120" w:line="264" w:lineRule="auto"/>
        <w:jc w:val="right"/>
        <w:bidi w:val="1"/>
      </w:pPr>
      <w:r>
        <w:rPr>
          <w:rFonts w:ascii="Arial" w:hAnsi="Arial" w:eastAsia="Arial" w:cs="Arial"/>
          <w:b w:val="0"/>
          <w:i w:val="0"/>
          <w:color w:val="000000"/>
          <w:sz w:val="22"/>
          <w:rtl w:val="1"/>
        </w:rPr>
        <w:t>כל הביקורים של אותו מטופל נשמרו תמיד באותו fold. לכן המודל לא נבחן על ביקור של מטופל שכבר הופיע בנתוני האימון.</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שלוש חזרות של five-fold cross-validation.</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פיצול ברמת המטופל.</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תחזיות out-of-fold.</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Bootstrap ברמת המטופל לחישוב רווחי סמך.</w:t>
      </w:r>
    </w:p>
    <w:p>
      <w:pPr>
        <w:spacing w:before="0" w:after="120" w:line="264" w:lineRule="auto"/>
        <w:jc w:val="right"/>
        <w:bidi w:val="1"/>
      </w:pPr>
      <w:r>
        <w:rPr>
          <w:rFonts w:ascii="Arial" w:hAnsi="Arial" w:eastAsia="Arial" w:cs="Arial"/>
          <w:b w:val="0"/>
          <w:i w:val="0"/>
          <w:color w:val="000000"/>
          <w:sz w:val="22"/>
          <w:rtl w:val="1"/>
        </w:rPr>
        <w:t>המדדים המרכזיים היו:</w:t>
      </w:r>
    </w:p>
    <w:p>
      <w:pPr>
        <w:jc w:val="right"/>
        <w:bidi w:val="1"/>
        <w:numPr>
          <w:ilvl w:val="0"/>
          <w:numId w:val="1"/>
        </w:numPr>
        <w:spacing w:before="0" w:after="160" w:line="280" w:lineRule="auto"/>
        <w:ind w:right="720" w:hanging="360" w:left="0"/>
      </w:pPr>
      <w:r>
        <w:rPr>
          <w:rFonts w:ascii="Arial" w:hAnsi="Arial" w:eastAsia="Arial" w:cs="Arial"/>
          <w:b/>
          <w:i w:val="0"/>
          <w:color w:val="000000"/>
          <w:sz w:val="22"/>
          <w:rtl w:val="1"/>
        </w:rPr>
        <w:t>AUC:</w:t>
      </w:r>
      <w:r>
        <w:rPr>
          <w:rFonts w:ascii="Arial" w:hAnsi="Arial" w:eastAsia="Arial" w:cs="Arial"/>
          <w:b w:val="0"/>
          <w:i w:val="0"/>
          <w:color w:val="000000"/>
          <w:sz w:val="22"/>
          <w:rtl w:val="1"/>
        </w:rPr>
        <w:t xml:space="preserve"> היכולת לדרג אירוע בסיכון גבוה יותר מאי־אירוע. ניחוש אקראי נותן AUC של 0.5.</w:t>
      </w:r>
    </w:p>
    <w:p>
      <w:pPr>
        <w:jc w:val="right"/>
        <w:bidi w:val="1"/>
        <w:numPr>
          <w:ilvl w:val="0"/>
          <w:numId w:val="1"/>
        </w:numPr>
        <w:spacing w:before="0" w:after="160" w:line="280" w:lineRule="auto"/>
        <w:ind w:right="720" w:hanging="360" w:left="0"/>
      </w:pPr>
      <w:r>
        <w:rPr>
          <w:rFonts w:ascii="Arial" w:hAnsi="Arial" w:eastAsia="Arial" w:cs="Arial"/>
          <w:b/>
          <w:i w:val="0"/>
          <w:color w:val="000000"/>
          <w:sz w:val="22"/>
          <w:rtl w:val="1"/>
        </w:rPr>
        <w:t>AP:</w:t>
      </w:r>
      <w:r>
        <w:rPr>
          <w:rFonts w:ascii="Arial" w:hAnsi="Arial" w:eastAsia="Arial" w:cs="Arial"/>
          <w:b w:val="0"/>
          <w:i w:val="0"/>
          <w:color w:val="000000"/>
          <w:sz w:val="22"/>
          <w:rtl w:val="1"/>
        </w:rPr>
        <w:t xml:space="preserve"> איכות איתור האירועים כאשר הם פחות שכיחים. ניחוש אקראי נותן AP השווה לשכיחות האירועים, כלומר 0.206.</w:t>
      </w:r>
    </w:p>
    <w:p>
      <w:pPr>
        <w:jc w:val="right"/>
        <w:bidi w:val="1"/>
        <w:numPr>
          <w:ilvl w:val="0"/>
          <w:numId w:val="1"/>
        </w:numPr>
        <w:spacing w:before="0" w:after="160" w:line="280" w:lineRule="auto"/>
        <w:ind w:right="720" w:hanging="360" w:left="0"/>
      </w:pPr>
      <w:r>
        <w:rPr>
          <w:rFonts w:ascii="Arial" w:hAnsi="Arial" w:eastAsia="Arial" w:cs="Arial"/>
          <w:b/>
          <w:i w:val="0"/>
          <w:color w:val="000000"/>
          <w:sz w:val="22"/>
          <w:rtl w:val="1"/>
        </w:rPr>
        <w:t>Top-20% alert budget:</w:t>
      </w:r>
      <w:r>
        <w:rPr>
          <w:rFonts w:ascii="Arial" w:hAnsi="Arial" w:eastAsia="Arial" w:cs="Arial"/>
          <w:b w:val="0"/>
          <w:i w:val="0"/>
          <w:color w:val="000000"/>
          <w:sz w:val="22"/>
          <w:rtl w:val="1"/>
        </w:rPr>
        <w:t xml:space="preserve"> ביצועי המודל כאשר מתריעים רק על 20% מהביקורים בעלי ציון הסיכון הגבוה ביותר.</w:t>
      </w:r>
    </w:p>
    <w:p>
      <w:pPr>
        <w:pStyle w:val="Heading1"/>
        <w:jc w:val="right"/>
        <w:keepNext/>
        <w:keepLines/>
        <w:bidi w:val="1"/>
      </w:pPr>
      <w:r>
        <w:rPr>
          <w:rFonts w:ascii="Arial" w:hAnsi="Arial" w:eastAsia="Arial" w:cs="Arial"/>
          <w:b/>
          <w:i w:val="0"/>
          <w:color w:val="2E74B5"/>
          <w:sz w:val="32"/>
          <w:rtl w:val="1"/>
        </w:rPr>
        <w:t>6. התוצאות המרכזיות</w:t>
      </w:r>
    </w:p>
    <w:tbl>
      <w:tblPr>
        <w:tblW w:type="dxa" w:w="9360"/>
        <w:jc w:val="right"/>
        <w:tblLayout w:type="fixed"/>
        <w:tblLook w:firstColumn="1" w:firstRow="1" w:lastColumn="0" w:lastRow="0" w:noHBand="0" w:noVBand="1" w:val="04A0"/>
        <w:bidiVisual/>
        <w:tblInd w:w="120" w:type="dxa"/>
      </w:tblPr>
      <w:tblGrid>
        <w:gridCol w:w="5760"/>
        <w:gridCol w:w="1800"/>
        <w:gridCol w:w="1800"/>
      </w:tblGrid>
      <w:tr>
        <w:trPr>
          <w:tblHeader w:val="true"/>
        </w:trPr>
        <w:tc>
          <w:tcPr>
            <w:tcW w:type="dxa" w:w="5760"/>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shd w:fill="F2F4F7"/>
          </w:tcPr>
          <w:p>
            <w:pPr>
              <w:spacing w:before="0" w:after="0" w:line="252" w:lineRule="auto"/>
              <w:jc w:val="right"/>
              <w:bidi w:val="1"/>
            </w:pPr>
            <w:r>
              <w:rPr>
                <w:rFonts w:ascii="Arial" w:hAnsi="Arial" w:eastAsia="Arial" w:cs="Arial"/>
                <w:b/>
                <w:i w:val="0"/>
                <w:color w:val="0B2545"/>
                <w:sz w:val="19"/>
                <w:rtl w:val="1"/>
              </w:rPr>
              <w:t>מודל</w:t>
            </w:r>
          </w:p>
        </w:tc>
        <w:tc>
          <w:tcPr>
            <w:tcW w:type="dxa" w:w="1800"/>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shd w:fill="F2F4F7"/>
          </w:tcPr>
          <w:p>
            <w:pPr>
              <w:spacing w:before="0" w:after="0" w:line="252" w:lineRule="auto"/>
              <w:jc w:val="center"/>
              <w:bidi w:val="0"/>
            </w:pPr>
            <w:r>
              <w:rPr>
                <w:rFonts w:ascii="Arial" w:hAnsi="Arial" w:eastAsia="Arial" w:cs="Arial"/>
                <w:b/>
                <w:i w:val="0"/>
                <w:color w:val="0B2545"/>
                <w:sz w:val="19"/>
                <w:rtl w:val="0"/>
              </w:rPr>
              <w:t>AUC</w:t>
            </w:r>
          </w:p>
        </w:tc>
        <w:tc>
          <w:tcPr>
            <w:tcW w:type="dxa" w:w="1800"/>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shd w:fill="F2F4F7"/>
          </w:tcPr>
          <w:p>
            <w:pPr>
              <w:spacing w:before="0" w:after="0" w:line="252" w:lineRule="auto"/>
              <w:jc w:val="center"/>
              <w:bidi w:val="0"/>
            </w:pPr>
            <w:r>
              <w:rPr>
                <w:rFonts w:ascii="Arial" w:hAnsi="Arial" w:eastAsia="Arial" w:cs="Arial"/>
                <w:b/>
                <w:i w:val="0"/>
                <w:color w:val="0B2545"/>
                <w:sz w:val="19"/>
                <w:rtl w:val="0"/>
              </w:rPr>
              <w:t>AP</w:t>
            </w:r>
          </w:p>
        </w:tc>
      </w:tr>
      <w:tr>
        <w:tc>
          <w:tcPr>
            <w:tcW w:type="dxa" w:w="5760"/>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right"/>
              <w:bidi w:val="1"/>
            </w:pPr>
            <w:r>
              <w:rPr>
                <w:rFonts w:ascii="Arial" w:hAnsi="Arial" w:eastAsia="Arial" w:cs="Arial"/>
                <w:b w:val="0"/>
                <w:i w:val="0"/>
                <w:color w:val="000000"/>
                <w:sz w:val="19"/>
                <w:rtl w:val="1"/>
              </w:rPr>
              <w:t>ניחוש אקראי</w:t>
            </w:r>
          </w:p>
        </w:tc>
        <w:tc>
          <w:tcPr>
            <w:tcW w:type="dxa" w:w="1800"/>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center"/>
              <w:bidi w:val="0"/>
            </w:pPr>
            <w:r>
              <w:rPr>
                <w:rFonts w:ascii="Arial" w:hAnsi="Arial" w:eastAsia="Arial" w:cs="Arial"/>
                <w:b w:val="0"/>
                <w:i w:val="0"/>
                <w:color w:val="000000"/>
                <w:sz w:val="19"/>
                <w:rtl w:val="0"/>
              </w:rPr>
              <w:t>0.500</w:t>
            </w:r>
          </w:p>
        </w:tc>
        <w:tc>
          <w:tcPr>
            <w:tcW w:type="dxa" w:w="1800"/>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center"/>
              <w:bidi w:val="0"/>
            </w:pPr>
            <w:r>
              <w:rPr>
                <w:rFonts w:ascii="Arial" w:hAnsi="Arial" w:eastAsia="Arial" w:cs="Arial"/>
                <w:b w:val="0"/>
                <w:i w:val="0"/>
                <w:color w:val="000000"/>
                <w:sz w:val="19"/>
                <w:rtl w:val="0"/>
              </w:rPr>
              <w:t>0.206</w:t>
            </w:r>
          </w:p>
        </w:tc>
      </w:tr>
      <w:tr>
        <w:tc>
          <w:tcPr>
            <w:tcW w:type="dxa" w:w="5760"/>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right"/>
              <w:bidi w:val="1"/>
            </w:pPr>
            <w:r>
              <w:rPr>
                <w:rFonts w:ascii="Arial" w:hAnsi="Arial" w:eastAsia="Arial" w:cs="Arial"/>
                <w:b w:val="0"/>
                <w:i w:val="0"/>
                <w:color w:val="000000"/>
                <w:sz w:val="19"/>
                <w:rtl w:val="1"/>
              </w:rPr>
              <w:t>Clinical ridge</w:t>
            </w:r>
          </w:p>
        </w:tc>
        <w:tc>
          <w:tcPr>
            <w:tcW w:type="dxa" w:w="1800"/>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center"/>
              <w:bidi w:val="0"/>
            </w:pPr>
            <w:r>
              <w:rPr>
                <w:rFonts w:ascii="Arial" w:hAnsi="Arial" w:eastAsia="Arial" w:cs="Arial"/>
                <w:b w:val="0"/>
                <w:i w:val="0"/>
                <w:color w:val="000000"/>
                <w:sz w:val="19"/>
                <w:rtl w:val="0"/>
              </w:rPr>
              <w:t>0.631</w:t>
            </w:r>
          </w:p>
        </w:tc>
        <w:tc>
          <w:tcPr>
            <w:tcW w:type="dxa" w:w="1800"/>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center"/>
              <w:bidi w:val="0"/>
            </w:pPr>
            <w:r>
              <w:rPr>
                <w:rFonts w:ascii="Arial" w:hAnsi="Arial" w:eastAsia="Arial" w:cs="Arial"/>
                <w:b w:val="0"/>
                <w:i w:val="0"/>
                <w:color w:val="000000"/>
                <w:sz w:val="19"/>
                <w:rtl w:val="0"/>
              </w:rPr>
              <w:t>0.289</w:t>
            </w:r>
          </w:p>
        </w:tc>
      </w:tr>
      <w:tr>
        <w:tc>
          <w:tcPr>
            <w:tcW w:type="dxa" w:w="5760"/>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right"/>
              <w:bidi w:val="1"/>
            </w:pPr>
            <w:r>
              <w:rPr>
                <w:rFonts w:ascii="Arial" w:hAnsi="Arial" w:eastAsia="Arial" w:cs="Arial"/>
                <w:b w:val="0"/>
                <w:i w:val="0"/>
                <w:color w:val="000000"/>
                <w:sz w:val="19"/>
                <w:rtl w:val="1"/>
              </w:rPr>
              <w:t>Clinical + Endo–Mid</w:t>
            </w:r>
          </w:p>
        </w:tc>
        <w:tc>
          <w:tcPr>
            <w:tcW w:type="dxa" w:w="1800"/>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center"/>
              <w:bidi w:val="0"/>
            </w:pPr>
            <w:r>
              <w:rPr>
                <w:rFonts w:ascii="Arial" w:hAnsi="Arial" w:eastAsia="Arial" w:cs="Arial"/>
                <w:b w:val="0"/>
                <w:i w:val="0"/>
                <w:color w:val="000000"/>
                <w:sz w:val="19"/>
                <w:rtl w:val="0"/>
              </w:rPr>
              <w:t>0.644</w:t>
            </w:r>
          </w:p>
        </w:tc>
        <w:tc>
          <w:tcPr>
            <w:tcW w:type="dxa" w:w="1800"/>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center"/>
              <w:bidi w:val="0"/>
            </w:pPr>
            <w:r>
              <w:rPr>
                <w:rFonts w:ascii="Arial" w:hAnsi="Arial" w:eastAsia="Arial" w:cs="Arial"/>
                <w:b w:val="0"/>
                <w:i w:val="0"/>
                <w:color w:val="000000"/>
                <w:sz w:val="19"/>
                <w:rtl w:val="0"/>
              </w:rPr>
              <w:t>0.309</w:t>
            </w:r>
          </w:p>
        </w:tc>
      </w:tr>
      <w:tr>
        <w:tc>
          <w:tcPr>
            <w:tcW w:type="dxa" w:w="5760"/>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right"/>
              <w:bidi w:val="1"/>
            </w:pPr>
            <w:r>
              <w:rPr>
                <w:rFonts w:ascii="Arial" w:hAnsi="Arial" w:eastAsia="Arial" w:cs="Arial"/>
                <w:b w:val="0"/>
                <w:i w:val="0"/>
                <w:color w:val="000000"/>
                <w:sz w:val="19"/>
                <w:rtl w:val="1"/>
              </w:rPr>
              <w:t>Clinical + variability</w:t>
            </w:r>
          </w:p>
        </w:tc>
        <w:tc>
          <w:tcPr>
            <w:tcW w:type="dxa" w:w="1800"/>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center"/>
              <w:bidi w:val="0"/>
            </w:pPr>
            <w:r>
              <w:rPr>
                <w:rFonts w:ascii="Arial" w:hAnsi="Arial" w:eastAsia="Arial" w:cs="Arial"/>
                <w:b w:val="0"/>
                <w:i w:val="0"/>
                <w:color w:val="000000"/>
                <w:sz w:val="19"/>
                <w:rtl w:val="0"/>
              </w:rPr>
              <w:t>0.650</w:t>
            </w:r>
          </w:p>
        </w:tc>
        <w:tc>
          <w:tcPr>
            <w:tcW w:type="dxa" w:w="1800"/>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center"/>
              <w:bidi w:val="0"/>
            </w:pPr>
            <w:r>
              <w:rPr>
                <w:rFonts w:ascii="Arial" w:hAnsi="Arial" w:eastAsia="Arial" w:cs="Arial"/>
                <w:b w:val="0"/>
                <w:i w:val="0"/>
                <w:color w:val="000000"/>
                <w:sz w:val="19"/>
                <w:rtl w:val="0"/>
              </w:rPr>
              <w:t>0.288</w:t>
            </w:r>
          </w:p>
        </w:tc>
      </w:tr>
      <w:tr>
        <w:tc>
          <w:tcPr>
            <w:tcW w:type="dxa" w:w="5760"/>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right"/>
              <w:bidi w:val="1"/>
            </w:pPr>
            <w:r>
              <w:rPr>
                <w:rFonts w:ascii="Arial" w:hAnsi="Arial" w:eastAsia="Arial" w:cs="Arial"/>
                <w:b w:val="0"/>
                <w:i w:val="0"/>
                <w:color w:val="000000"/>
                <w:sz w:val="19"/>
                <w:rtl w:val="1"/>
              </w:rPr>
              <w:t>Combined Extra Trees</w:t>
            </w:r>
          </w:p>
        </w:tc>
        <w:tc>
          <w:tcPr>
            <w:tcW w:type="dxa" w:w="1800"/>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center"/>
              <w:bidi w:val="0"/>
            </w:pPr>
            <w:r>
              <w:rPr>
                <w:rFonts w:ascii="Arial" w:hAnsi="Arial" w:eastAsia="Arial" w:cs="Arial"/>
                <w:b w:val="0"/>
                <w:i w:val="0"/>
                <w:color w:val="000000"/>
                <w:sz w:val="19"/>
                <w:rtl w:val="0"/>
              </w:rPr>
              <w:t>0.672</w:t>
            </w:r>
          </w:p>
        </w:tc>
        <w:tc>
          <w:tcPr>
            <w:tcW w:type="dxa" w:w="1800"/>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center"/>
              <w:bidi w:val="0"/>
            </w:pPr>
            <w:r>
              <w:rPr>
                <w:rFonts w:ascii="Arial" w:hAnsi="Arial" w:eastAsia="Arial" w:cs="Arial"/>
                <w:b w:val="0"/>
                <w:i w:val="0"/>
                <w:color w:val="000000"/>
                <w:sz w:val="19"/>
                <w:rtl w:val="0"/>
              </w:rPr>
              <w:t>0.313</w:t>
            </w:r>
          </w:p>
        </w:tc>
      </w:tr>
      <w:tr>
        <w:tc>
          <w:tcPr>
            <w:tcW w:type="dxa" w:w="5760"/>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right"/>
              <w:bidi w:val="1"/>
            </w:pPr>
            <w:r>
              <w:rPr>
                <w:rFonts w:ascii="Arial" w:hAnsi="Arial" w:eastAsia="Arial" w:cs="Arial"/>
                <w:b w:val="0"/>
                <w:i w:val="0"/>
                <w:color w:val="000000"/>
                <w:sz w:val="19"/>
                <w:rtl w:val="1"/>
              </w:rPr>
              <w:t>Uniform CNN</w:t>
            </w:r>
          </w:p>
        </w:tc>
        <w:tc>
          <w:tcPr>
            <w:tcW w:type="dxa" w:w="1800"/>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center"/>
              <w:bidi w:val="0"/>
            </w:pPr>
            <w:r>
              <w:rPr>
                <w:rFonts w:ascii="Arial" w:hAnsi="Arial" w:eastAsia="Arial" w:cs="Arial"/>
                <w:b w:val="0"/>
                <w:i w:val="0"/>
                <w:color w:val="000000"/>
                <w:sz w:val="19"/>
                <w:rtl w:val="0"/>
              </w:rPr>
              <w:t>0.664</w:t>
            </w:r>
          </w:p>
        </w:tc>
        <w:tc>
          <w:tcPr>
            <w:tcW w:type="dxa" w:w="1800"/>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center"/>
              <w:bidi w:val="0"/>
            </w:pPr>
            <w:r>
              <w:rPr>
                <w:rFonts w:ascii="Arial" w:hAnsi="Arial" w:eastAsia="Arial" w:cs="Arial"/>
                <w:b w:val="0"/>
                <w:i w:val="0"/>
                <w:color w:val="000000"/>
                <w:sz w:val="19"/>
                <w:rtl w:val="0"/>
              </w:rPr>
              <w:t>0.302</w:t>
            </w:r>
          </w:p>
        </w:tc>
      </w:tr>
      <w:tr>
        <w:tc>
          <w:tcPr>
            <w:tcW w:type="dxa" w:w="5760"/>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right"/>
              <w:bidi w:val="1"/>
            </w:pPr>
            <w:r>
              <w:rPr>
                <w:rFonts w:ascii="Arial" w:hAnsi="Arial" w:eastAsia="Arial" w:cs="Arial"/>
                <w:b w:val="0"/>
                <w:i w:val="0"/>
                <w:color w:val="000000"/>
                <w:sz w:val="19"/>
                <w:rtl w:val="1"/>
              </w:rPr>
              <w:t>Attention CNN</w:t>
            </w:r>
          </w:p>
        </w:tc>
        <w:tc>
          <w:tcPr>
            <w:tcW w:type="dxa" w:w="1800"/>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center"/>
              <w:bidi w:val="0"/>
            </w:pPr>
            <w:r>
              <w:rPr>
                <w:rFonts w:ascii="Arial" w:hAnsi="Arial" w:eastAsia="Arial" w:cs="Arial"/>
                <w:b w:val="0"/>
                <w:i w:val="0"/>
                <w:color w:val="000000"/>
                <w:sz w:val="19"/>
                <w:rtl w:val="0"/>
              </w:rPr>
              <w:t>0.683</w:t>
            </w:r>
          </w:p>
        </w:tc>
        <w:tc>
          <w:tcPr>
            <w:tcW w:type="dxa" w:w="1800"/>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center"/>
              <w:bidi w:val="0"/>
            </w:pPr>
            <w:r>
              <w:rPr>
                <w:rFonts w:ascii="Arial" w:hAnsi="Arial" w:eastAsia="Arial" w:cs="Arial"/>
                <w:b w:val="0"/>
                <w:i w:val="0"/>
                <w:color w:val="000000"/>
                <w:sz w:val="19"/>
                <w:rtl w:val="0"/>
              </w:rPr>
              <w:t>0.333</w:t>
            </w:r>
          </w:p>
        </w:tc>
      </w:tr>
    </w:tbl>
    <w:p>
      <w:pPr>
        <w:spacing w:before="0" w:after="40"/>
      </w:pPr>
    </w:p>
    <w:p>
      <w:pPr>
        <w:spacing w:before="0" w:after="120" w:line="264" w:lineRule="auto"/>
        <w:jc w:val="right"/>
        <w:bidi w:val="1"/>
      </w:pPr>
      <w:r>
        <w:rPr>
          <w:rFonts w:ascii="Arial" w:hAnsi="Arial" w:eastAsia="Arial" w:cs="Arial"/>
          <w:b w:val="0"/>
          <w:i w:val="0"/>
          <w:color w:val="000000"/>
          <w:sz w:val="22"/>
          <w:rtl w:val="1"/>
        </w:rPr>
        <w:t>רווחי הסמך:</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Clinical: הגבול התחתון ל־AUC הוא 0.544 והגבול העליון 0.727; הגבול התחתון ל־AP הוא 0.214 והגבול העליון 0.435.</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Extra Trees: הגבול התחתון ל־AUC הוא 0.586 והגבול העליון 0.752; הגבול התחתון ל־AP הוא 0.228 והגבול העליון 0.453.</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Attention: הגבול התחתון ל־AUC הוא 0.607 והגבול העליון 0.756; הגבול התחתון ל־AP הוא 0.248 והגבול העליון 0.456.</w:t>
      </w:r>
    </w:p>
    <w:p>
      <w:pPr>
        <w:spacing w:before="0" w:after="120" w:line="264" w:lineRule="auto"/>
        <w:jc w:val="right"/>
        <w:bidi w:val="1"/>
      </w:pPr>
      <w:r>
        <w:rPr>
          <w:rFonts w:ascii="Arial" w:hAnsi="Arial" w:eastAsia="Arial" w:cs="Arial"/>
          <w:b w:val="0"/>
          <w:i w:val="0"/>
          <w:color w:val="000000"/>
          <w:sz w:val="22"/>
          <w:rtl w:val="1"/>
        </w:rPr>
        <w:t>Attention שיפר לעומת המודל הקליני:</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שינוי ב־AUC של ‎+0.052; הגבול התחתון של רווח הסמך הוא ‎−0.044 והגבול העליון ‎+0.139.</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שינוי ב־AP של ‎+0.043; הגבול התחתון של רווח הסמך הוא ‎−0.084 והגבול העליון ‎+0.143.</w:t>
      </w:r>
    </w:p>
    <w:p>
      <w:pPr>
        <w:spacing w:before="0" w:after="120" w:line="264" w:lineRule="auto"/>
        <w:jc w:val="right"/>
        <w:bidi w:val="1"/>
      </w:pPr>
      <w:r>
        <w:rPr>
          <w:rFonts w:ascii="Arial" w:hAnsi="Arial" w:eastAsia="Arial" w:cs="Arial"/>
          <w:b w:val="0"/>
          <w:i w:val="0"/>
          <w:color w:val="000000"/>
          <w:sz w:val="22"/>
          <w:rtl w:val="1"/>
        </w:rPr>
        <w:t>מכיוון ששני רווחי הסמך כוללים אפס, השיפור אינו יציב מספיק כדי לקבוע שה־attention טוב יותר באופן מובהק.</w:t>
      </w:r>
    </w:p>
    <w:p>
      <w:pPr>
        <w:pStyle w:val="Heading1"/>
        <w:jc w:val="right"/>
        <w:keepNext/>
        <w:keepLines/>
        <w:bidi w:val="1"/>
      </w:pPr>
      <w:r>
        <w:rPr>
          <w:rFonts w:ascii="Arial" w:hAnsi="Arial" w:eastAsia="Arial" w:cs="Arial"/>
          <w:b/>
          <w:i w:val="0"/>
          <w:color w:val="2E74B5"/>
          <w:sz w:val="32"/>
          <w:rtl w:val="1"/>
        </w:rPr>
        <w:t>7. אבלציה של משפחות הפיצ'רים</w:t>
      </w:r>
    </w:p>
    <w:p>
      <w:pPr>
        <w:spacing w:before="0" w:after="120" w:line="264" w:lineRule="auto"/>
        <w:jc w:val="right"/>
        <w:bidi w:val="1"/>
      </w:pPr>
      <w:r>
        <w:rPr>
          <w:rFonts w:ascii="Arial" w:hAnsi="Arial" w:eastAsia="Arial" w:cs="Arial"/>
          <w:b w:val="0"/>
          <w:i w:val="0"/>
          <w:color w:val="000000"/>
          <w:sz w:val="22"/>
          <w:rtl w:val="1"/>
        </w:rPr>
        <w:t>מטרת האבלציה הייתה לבדוק מה כל משפחת פיצ'רים מוסיפה מעבר למודל הקליני:</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הוספת Endo–Mid העלתה את ה־AUC מ־0.631 ל־0.644 ואת ה־AP מ־0.289 ל־0.309.</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הוספת variability העלתה את ה־AUC ל־0.650, אך ה־AP נשאר כמעט ללא שינוי: 0.288.</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שילוב כל הפיצ'רים ב־Extra Trees הגיע ל־AUC של 0.672 ול־AP של 0.313.</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CNN על עקומות גולמיות הגיע ל־AUC של 0.664 ול־AP של 0.302.</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Attention נתן את נקודת הביצוע הטובה ביותר, אך ללא שיפור יציב ברווחי הסמך.</w:t>
      </w:r>
    </w:p>
    <w:p>
      <w:pPr>
        <w:spacing w:before="0" w:after="120" w:line="264" w:lineRule="auto"/>
        <w:jc w:val="right"/>
        <w:bidi w:val="1"/>
      </w:pPr>
      <w:r>
        <w:rPr>
          <w:rFonts w:ascii="Arial" w:hAnsi="Arial" w:eastAsia="Arial" w:cs="Arial"/>
          <w:b w:val="0"/>
          <w:i w:val="0"/>
          <w:color w:val="000000"/>
          <w:sz w:val="22"/>
          <w:rtl w:val="1"/>
        </w:rPr>
        <w:t>לכן פיצ'רי Endo–Mid מראים אות מעט מבטיח יותר מפיצ'רי השונות, אך אף אחת משתי המשפחות לא הראתה תוספת יציבה.</w:t>
      </w:r>
    </w:p>
    <w:p>
      <w:pPr>
        <w:pStyle w:val="Heading1"/>
        <w:jc w:val="right"/>
        <w:keepNext/>
        <w:keepLines/>
        <w:bidi w:val="1"/>
      </w:pPr>
      <w:r>
        <w:rPr>
          <w:rFonts w:ascii="Arial" w:hAnsi="Arial" w:eastAsia="Arial" w:cs="Arial"/>
          <w:b/>
          <w:i w:val="0"/>
          <w:color w:val="2E74B5"/>
          <w:sz w:val="32"/>
          <w:rtl w:val="1"/>
        </w:rPr>
        <w:t>8. הסרת סגמנטי האפקס</w:t>
      </w:r>
    </w:p>
    <w:p>
      <w:pPr>
        <w:spacing w:before="0" w:after="120" w:line="264" w:lineRule="auto"/>
        <w:jc w:val="right"/>
        <w:bidi w:val="1"/>
      </w:pPr>
      <w:r>
        <w:rPr>
          <w:rFonts w:ascii="Arial" w:hAnsi="Arial" w:eastAsia="Arial" w:cs="Arial"/>
          <w:b w:val="0"/>
          <w:i w:val="0"/>
          <w:color w:val="000000"/>
          <w:sz w:val="22"/>
          <w:rtl w:val="1"/>
        </w:rPr>
        <w:t>הסרנו את סגמנטים 13–18 והשארנו רק את 12 הסגמנטים הבזאליים והאמצעיים.</w:t>
      </w:r>
    </w:p>
    <w:tbl>
      <w:tblPr>
        <w:tblW w:type="dxa" w:w="9360"/>
        <w:jc w:val="right"/>
        <w:tblLayout w:type="fixed"/>
        <w:tblLook w:firstColumn="1" w:firstRow="1" w:lastColumn="0" w:lastRow="0" w:noHBand="0" w:noVBand="1" w:val="04A0"/>
        <w:bidiVisual/>
        <w:tblInd w:w="120" w:type="dxa"/>
      </w:tblPr>
      <w:tblGrid>
        <w:gridCol w:w="4320"/>
        <w:gridCol w:w="2520"/>
        <w:gridCol w:w="2520"/>
      </w:tblGrid>
      <w:tr>
        <w:trPr>
          <w:tblHeader w:val="true"/>
        </w:trPr>
        <w:tc>
          <w:tcPr>
            <w:tcW w:type="dxa" w:w="4320"/>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shd w:fill="F2F4F7"/>
          </w:tcPr>
          <w:p>
            <w:pPr>
              <w:spacing w:before="0" w:after="0" w:line="252" w:lineRule="auto"/>
              <w:jc w:val="right"/>
              <w:bidi w:val="1"/>
            </w:pPr>
            <w:r>
              <w:rPr>
                <w:rFonts w:ascii="Arial" w:hAnsi="Arial" w:eastAsia="Arial" w:cs="Arial"/>
                <w:b/>
                <w:i w:val="0"/>
                <w:color w:val="0B2545"/>
                <w:sz w:val="19"/>
                <w:rtl w:val="1"/>
              </w:rPr>
              <w:t>מודל</w:t>
            </w:r>
          </w:p>
        </w:tc>
        <w:tc>
          <w:tcPr>
            <w:tcW w:type="dxa" w:w="2520"/>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shd w:fill="F2F4F7"/>
          </w:tcPr>
          <w:p>
            <w:pPr>
              <w:spacing w:before="0" w:after="0" w:line="252" w:lineRule="auto"/>
              <w:jc w:val="center"/>
              <w:bidi w:val="0"/>
            </w:pPr>
            <w:r>
              <w:rPr>
                <w:rFonts w:ascii="Arial" w:hAnsi="Arial" w:eastAsia="Arial" w:cs="Arial"/>
                <w:b/>
                <w:i w:val="0"/>
                <w:color w:val="0B2545"/>
                <w:sz w:val="19"/>
                <w:rtl w:val="0"/>
              </w:rPr>
              <w:t>כל 18 הסגמנטים</w:t>
            </w:r>
          </w:p>
        </w:tc>
        <w:tc>
          <w:tcPr>
            <w:tcW w:type="dxa" w:w="2520"/>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shd w:fill="F2F4F7"/>
          </w:tcPr>
          <w:p>
            <w:pPr>
              <w:spacing w:before="0" w:after="0" w:line="252" w:lineRule="auto"/>
              <w:jc w:val="center"/>
              <w:bidi w:val="0"/>
            </w:pPr>
            <w:r>
              <w:rPr>
                <w:rFonts w:ascii="Arial" w:hAnsi="Arial" w:eastAsia="Arial" w:cs="Arial"/>
                <w:b/>
                <w:i w:val="0"/>
                <w:color w:val="0B2545"/>
                <w:sz w:val="19"/>
                <w:rtl w:val="0"/>
              </w:rPr>
              <w:t>ללא אפקס</w:t>
            </w:r>
          </w:p>
        </w:tc>
      </w:tr>
      <w:tr>
        <w:tc>
          <w:tcPr>
            <w:tcW w:type="dxa" w:w="4320"/>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right"/>
              <w:bidi w:val="1"/>
            </w:pPr>
            <w:r>
              <w:rPr>
                <w:rFonts w:ascii="Arial" w:hAnsi="Arial" w:eastAsia="Arial" w:cs="Arial"/>
                <w:b w:val="0"/>
                <w:i w:val="0"/>
                <w:color w:val="000000"/>
                <w:sz w:val="19"/>
                <w:rtl w:val="1"/>
              </w:rPr>
              <w:t>Endo–Mid</w:t>
            </w:r>
          </w:p>
        </w:tc>
        <w:tc>
          <w:tcPr>
            <w:tcW w:type="dxa" w:w="2520"/>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center"/>
              <w:bidi w:val="0"/>
            </w:pPr>
            <w:r>
              <w:rPr>
                <w:rFonts w:ascii="Arial" w:hAnsi="Arial" w:eastAsia="Arial" w:cs="Arial"/>
                <w:b w:val="0"/>
                <w:i w:val="0"/>
                <w:color w:val="000000"/>
                <w:sz w:val="19"/>
                <w:rtl w:val="0"/>
              </w:rPr>
              <w:t>0.644 / 0.309</w:t>
            </w:r>
          </w:p>
        </w:tc>
        <w:tc>
          <w:tcPr>
            <w:tcW w:type="dxa" w:w="2520"/>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center"/>
              <w:bidi w:val="0"/>
            </w:pPr>
            <w:r>
              <w:rPr>
                <w:rFonts w:ascii="Arial" w:hAnsi="Arial" w:eastAsia="Arial" w:cs="Arial"/>
                <w:b w:val="0"/>
                <w:i w:val="0"/>
                <w:color w:val="000000"/>
                <w:sz w:val="19"/>
                <w:rtl w:val="0"/>
              </w:rPr>
              <w:t>0.618 / 0.290</w:t>
            </w:r>
          </w:p>
        </w:tc>
      </w:tr>
      <w:tr>
        <w:tc>
          <w:tcPr>
            <w:tcW w:type="dxa" w:w="4320"/>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right"/>
              <w:bidi w:val="1"/>
            </w:pPr>
            <w:r>
              <w:rPr>
                <w:rFonts w:ascii="Arial" w:hAnsi="Arial" w:eastAsia="Arial" w:cs="Arial"/>
                <w:b w:val="0"/>
                <w:i w:val="0"/>
                <w:color w:val="000000"/>
                <w:sz w:val="19"/>
                <w:rtl w:val="1"/>
              </w:rPr>
              <w:t>Variability</w:t>
            </w:r>
          </w:p>
        </w:tc>
        <w:tc>
          <w:tcPr>
            <w:tcW w:type="dxa" w:w="2520"/>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center"/>
              <w:bidi w:val="0"/>
            </w:pPr>
            <w:r>
              <w:rPr>
                <w:rFonts w:ascii="Arial" w:hAnsi="Arial" w:eastAsia="Arial" w:cs="Arial"/>
                <w:b w:val="0"/>
                <w:i w:val="0"/>
                <w:color w:val="000000"/>
                <w:sz w:val="19"/>
                <w:rtl w:val="0"/>
              </w:rPr>
              <w:t>0.650 / 0.288</w:t>
            </w:r>
          </w:p>
        </w:tc>
        <w:tc>
          <w:tcPr>
            <w:tcW w:type="dxa" w:w="2520"/>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center"/>
              <w:bidi w:val="0"/>
            </w:pPr>
            <w:r>
              <w:rPr>
                <w:rFonts w:ascii="Arial" w:hAnsi="Arial" w:eastAsia="Arial" w:cs="Arial"/>
                <w:b w:val="0"/>
                <w:i w:val="0"/>
                <w:color w:val="000000"/>
                <w:sz w:val="19"/>
                <w:rtl w:val="0"/>
              </w:rPr>
              <w:t>0.610 / 0.253</w:t>
            </w:r>
          </w:p>
        </w:tc>
      </w:tr>
      <w:tr>
        <w:tc>
          <w:tcPr>
            <w:tcW w:type="dxa" w:w="4320"/>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right"/>
              <w:bidi w:val="1"/>
            </w:pPr>
            <w:r>
              <w:rPr>
                <w:rFonts w:ascii="Arial" w:hAnsi="Arial" w:eastAsia="Arial" w:cs="Arial"/>
                <w:b w:val="0"/>
                <w:i w:val="0"/>
                <w:color w:val="000000"/>
                <w:sz w:val="19"/>
                <w:rtl w:val="1"/>
              </w:rPr>
              <w:t>Extra Trees</w:t>
            </w:r>
          </w:p>
        </w:tc>
        <w:tc>
          <w:tcPr>
            <w:tcW w:type="dxa" w:w="2520"/>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center"/>
              <w:bidi w:val="0"/>
            </w:pPr>
            <w:r>
              <w:rPr>
                <w:rFonts w:ascii="Arial" w:hAnsi="Arial" w:eastAsia="Arial" w:cs="Arial"/>
                <w:b w:val="0"/>
                <w:i w:val="0"/>
                <w:color w:val="000000"/>
                <w:sz w:val="19"/>
                <w:rtl w:val="0"/>
              </w:rPr>
              <w:t>0.672 / 0.313</w:t>
            </w:r>
          </w:p>
        </w:tc>
        <w:tc>
          <w:tcPr>
            <w:tcW w:type="dxa" w:w="2520"/>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center"/>
              <w:bidi w:val="0"/>
            </w:pPr>
            <w:r>
              <w:rPr>
                <w:rFonts w:ascii="Arial" w:hAnsi="Arial" w:eastAsia="Arial" w:cs="Arial"/>
                <w:b w:val="0"/>
                <w:i w:val="0"/>
                <w:color w:val="000000"/>
                <w:sz w:val="19"/>
                <w:rtl w:val="0"/>
              </w:rPr>
              <w:t>0.611 / 0.286</w:t>
            </w:r>
          </w:p>
        </w:tc>
      </w:tr>
      <w:tr>
        <w:tc>
          <w:tcPr>
            <w:tcW w:type="dxa" w:w="4320"/>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right"/>
              <w:bidi w:val="1"/>
            </w:pPr>
            <w:r>
              <w:rPr>
                <w:rFonts w:ascii="Arial" w:hAnsi="Arial" w:eastAsia="Arial" w:cs="Arial"/>
                <w:b w:val="0"/>
                <w:i w:val="0"/>
                <w:color w:val="000000"/>
                <w:sz w:val="19"/>
                <w:rtl w:val="1"/>
              </w:rPr>
              <w:t>CNN</w:t>
            </w:r>
          </w:p>
        </w:tc>
        <w:tc>
          <w:tcPr>
            <w:tcW w:type="dxa" w:w="2520"/>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center"/>
              <w:bidi w:val="0"/>
            </w:pPr>
            <w:r>
              <w:rPr>
                <w:rFonts w:ascii="Arial" w:hAnsi="Arial" w:eastAsia="Arial" w:cs="Arial"/>
                <w:b w:val="0"/>
                <w:i w:val="0"/>
                <w:color w:val="000000"/>
                <w:sz w:val="19"/>
                <w:rtl w:val="0"/>
              </w:rPr>
              <w:t>0.664 / 0.302</w:t>
            </w:r>
          </w:p>
        </w:tc>
        <w:tc>
          <w:tcPr>
            <w:tcW w:type="dxa" w:w="2520"/>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center"/>
              <w:bidi w:val="0"/>
            </w:pPr>
            <w:r>
              <w:rPr>
                <w:rFonts w:ascii="Arial" w:hAnsi="Arial" w:eastAsia="Arial" w:cs="Arial"/>
                <w:b w:val="0"/>
                <w:i w:val="0"/>
                <w:color w:val="000000"/>
                <w:sz w:val="19"/>
                <w:rtl w:val="0"/>
              </w:rPr>
              <w:t>0.556 / 0.233</w:t>
            </w:r>
          </w:p>
        </w:tc>
      </w:tr>
    </w:tbl>
    <w:p>
      <w:pPr>
        <w:spacing w:before="0" w:after="40"/>
      </w:pPr>
    </w:p>
    <w:p>
      <w:pPr>
        <w:spacing w:before="0" w:after="120" w:line="264" w:lineRule="auto"/>
        <w:jc w:val="right"/>
        <w:bidi w:val="1"/>
      </w:pPr>
      <w:r>
        <w:rPr>
          <w:rFonts w:ascii="Arial" w:hAnsi="Arial" w:eastAsia="Arial" w:cs="Arial"/>
          <w:b w:val="0"/>
          <w:i w:val="0"/>
          <w:color w:val="000000"/>
          <w:sz w:val="22"/>
          <w:rtl w:val="1"/>
        </w:rPr>
        <w:t>המספרים בכל תא הם AUC/AP.</w:t>
      </w:r>
    </w:p>
    <w:p>
      <w:pPr>
        <w:spacing w:before="0" w:after="120" w:line="264" w:lineRule="auto"/>
        <w:jc w:val="right"/>
        <w:bidi w:val="1"/>
      </w:pPr>
      <w:r>
        <w:rPr>
          <w:rFonts w:ascii="Arial" w:hAnsi="Arial" w:eastAsia="Arial" w:cs="Arial"/>
          <w:b w:val="0"/>
          <w:i w:val="0"/>
          <w:color w:val="000000"/>
          <w:sz w:val="22"/>
          <w:rtl w:val="1"/>
        </w:rPr>
        <w:t>בניסוי מבוקר שבו רק הסגמנטים בקלט השתנו וכל שאר ה־CNN נשאר קבוע:</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כל 18 הסגמנטים: AUC ‏0.619, AP ‏0.271.</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ללא אפקס: AUC ‏0.616, AP ‏0.264.</w:t>
      </w:r>
    </w:p>
    <w:p>
      <w:pPr>
        <w:spacing w:before="0" w:after="120" w:line="264" w:lineRule="auto"/>
        <w:jc w:val="right"/>
        <w:bidi w:val="1"/>
      </w:pPr>
      <w:r>
        <w:rPr>
          <w:rFonts w:ascii="Arial" w:hAnsi="Arial" w:eastAsia="Arial" w:cs="Arial"/>
          <w:b w:val="0"/>
          <w:i w:val="0"/>
          <w:color w:val="000000"/>
          <w:sz w:val="22"/>
          <w:rtl w:val="1"/>
        </w:rPr>
        <w:t>לכן הסרת האפקס לא הועילה. בניסוי המבוקר היא הייתה כמעט ניטרלית, ובאימון המלא היא הורידה את הביצועים. ייתכן שסגמנטי האפקס מכילים מידע שימושי ולא רק רעש.</w:t>
      </w:r>
    </w:p>
    <w:p>
      <w:pPr>
        <w:pStyle w:val="Heading1"/>
        <w:jc w:val="right"/>
        <w:keepNext/>
        <w:keepLines/>
        <w:bidi w:val="1"/>
      </w:pPr>
      <w:r>
        <w:rPr>
          <w:rFonts w:ascii="Arial" w:hAnsi="Arial" w:eastAsia="Arial" w:cs="Arial"/>
          <w:b/>
          <w:i w:val="0"/>
          <w:color w:val="2E74B5"/>
          <w:sz w:val="32"/>
          <w:rtl w:val="1"/>
        </w:rPr>
        <w:t>9. Attention לסגמנטים</w:t>
      </w:r>
    </w:p>
    <w:p>
      <w:pPr>
        <w:spacing w:before="0" w:after="120" w:line="264" w:lineRule="auto"/>
        <w:jc w:val="right"/>
        <w:bidi w:val="1"/>
      </w:pPr>
      <w:r>
        <w:rPr>
          <w:rFonts w:ascii="Arial" w:hAnsi="Arial" w:eastAsia="Arial" w:cs="Arial"/>
          <w:b w:val="0"/>
          <w:i w:val="0"/>
          <w:color w:val="000000"/>
          <w:sz w:val="22"/>
          <w:rtl w:val="1"/>
        </w:rPr>
        <w:t>ב־CNN האחיד כל הסגמנטים תרמו באופן דומה. במודל attention למדנו משקל נפרד לכל סגמנט.</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Uniform CNN: ‏16,746 פרמטרים.</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Attention CNN: ‏17,491 פרמטרים.</w:t>
      </w:r>
    </w:p>
    <w:p>
      <w:pPr>
        <w:spacing w:before="0" w:after="120" w:line="264" w:lineRule="auto"/>
        <w:jc w:val="right"/>
        <w:bidi w:val="1"/>
      </w:pPr>
      <w:r>
        <w:rPr>
          <w:rFonts w:ascii="Arial" w:hAnsi="Arial" w:eastAsia="Arial" w:cs="Arial"/>
          <w:b w:val="0"/>
          <w:i w:val="0"/>
          <w:color w:val="000000"/>
          <w:sz w:val="22"/>
          <w:rtl w:val="1"/>
        </w:rPr>
        <w:t>משקל אחיד ל־18 סגמנטים הוא 0.0556. המשקלים הגבוהים ביותר שנלמדו היו:</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Mid inferoseptal: ‏0.0601.</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Apical anterolateral: ‏0.0600.</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Apical inferior: ‏0.0595.</w:t>
      </w:r>
    </w:p>
    <w:p>
      <w:pPr>
        <w:spacing w:before="0" w:after="120" w:line="264" w:lineRule="auto"/>
        <w:jc w:val="right"/>
        <w:bidi w:val="1"/>
      </w:pPr>
      <w:r>
        <w:rPr>
          <w:rFonts w:ascii="Arial" w:hAnsi="Arial" w:eastAsia="Arial" w:cs="Arial"/>
          <w:b w:val="0"/>
          <w:i w:val="0"/>
          <w:color w:val="000000"/>
          <w:sz w:val="22"/>
          <w:rtl w:val="1"/>
        </w:rPr>
        <w:t>המשקלים נשארו קרובים מאוד למשקל האחיד, ולא נמצא הבדל יציב במשקלים בין אירועים לאי־אירועים. לכן השיפור הנקודתי כנראה נובע מכוונון עדין של תרומת הסגמנטים, ולא מזיהוי של אזור אנטומי מסוים שמנבא הידרדרות.</w:t>
      </w:r>
    </w:p>
    <w:p>
      <w:pPr>
        <w:pStyle w:val="Heading1"/>
        <w:jc w:val="right"/>
        <w:keepNext/>
        <w:keepLines/>
        <w:bidi w:val="1"/>
      </w:pPr>
      <w:r>
        <w:rPr>
          <w:rFonts w:ascii="Arial" w:hAnsi="Arial" w:eastAsia="Arial" w:cs="Arial"/>
          <w:b/>
          <w:i w:val="0"/>
          <w:color w:val="2E74B5"/>
          <w:sz w:val="32"/>
          <w:rtl w:val="1"/>
        </w:rPr>
        <w:t>10. ניתוח שגיאות ומטריצת בלבול</w:t>
      </w:r>
    </w:p>
    <w:p>
      <w:pPr>
        <w:spacing w:before="0" w:after="120" w:line="264" w:lineRule="auto"/>
        <w:jc w:val="right"/>
        <w:bidi w:val="1"/>
      </w:pPr>
      <w:r>
        <w:rPr>
          <w:rFonts w:ascii="Arial" w:hAnsi="Arial" w:eastAsia="Arial" w:cs="Arial"/>
          <w:b w:val="0"/>
          <w:i w:val="0"/>
          <w:color w:val="000000"/>
          <w:sz w:val="22"/>
          <w:rtl w:val="1"/>
        </w:rPr>
        <w:t>ה־confusion matrix תלויה בנקודת ההפעלה. כאן בחרנו להתריע על 20% מהמעברים בעלי ציון הסיכון הגבוה ביותר: 48 התרעות מתוך 238 מעברים.</w:t>
      </w:r>
    </w:p>
    <w:p>
      <w:pPr>
        <w:pStyle w:val="Heading2"/>
        <w:jc w:val="right"/>
        <w:keepNext/>
        <w:keepLines/>
        <w:bidi w:val="1"/>
      </w:pPr>
      <w:r>
        <w:rPr>
          <w:rFonts w:ascii="Arial" w:hAnsi="Arial" w:eastAsia="Arial" w:cs="Arial"/>
          <w:b/>
          <w:i w:val="0"/>
          <w:color w:val="2E74B5"/>
          <w:sz w:val="26"/>
          <w:rtl w:val="1"/>
        </w:rPr>
        <w:t>Attention CNN</w:t>
      </w:r>
    </w:p>
    <w:tbl>
      <w:tblPr>
        <w:tblW w:type="dxa" w:w="9360"/>
        <w:jc w:val="right"/>
        <w:tblLayout w:type="fixed"/>
        <w:tblLook w:firstColumn="1" w:firstRow="1" w:lastColumn="0" w:lastRow="0" w:noHBand="0" w:noVBand="1" w:val="04A0"/>
        <w:bidiVisual/>
        <w:tblInd w:w="120" w:type="dxa"/>
      </w:tblPr>
      <w:tblGrid>
        <w:gridCol w:w="3600"/>
        <w:gridCol w:w="2088"/>
        <w:gridCol w:w="2088"/>
        <w:gridCol w:w="1584"/>
      </w:tblGrid>
      <w:tr>
        <w:trPr>
          <w:tblHeader w:val="true"/>
        </w:trPr>
        <w:tc>
          <w:tcPr>
            <w:tcW w:type="dxa" w:w="3600"/>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shd w:fill="F2F4F7"/>
          </w:tcPr>
          <w:p>
            <w:pPr>
              <w:spacing w:before="0" w:after="0" w:line="252" w:lineRule="auto"/>
              <w:jc w:val="right"/>
              <w:bidi w:val="1"/>
            </w:pPr>
            <w:r>
              <w:rPr>
                <w:rFonts w:ascii="Arial" w:hAnsi="Arial" w:eastAsia="Arial" w:cs="Arial"/>
                <w:b/>
                <w:i w:val="0"/>
                <w:color w:val="0B2545"/>
                <w:sz w:val="18"/>
                <w:rtl w:val="1"/>
              </w:rPr>
              <w:t>מצב אמיתי</w:t>
            </w:r>
          </w:p>
        </w:tc>
        <w:tc>
          <w:tcPr>
            <w:tcW w:type="dxa" w:w="2088"/>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shd w:fill="F2F4F7"/>
          </w:tcPr>
          <w:p>
            <w:pPr>
              <w:spacing w:before="0" w:after="0" w:line="252" w:lineRule="auto"/>
              <w:jc w:val="center"/>
              <w:bidi w:val="0"/>
            </w:pPr>
            <w:r>
              <w:rPr>
                <w:rFonts w:ascii="Arial" w:hAnsi="Arial" w:eastAsia="Arial" w:cs="Arial"/>
                <w:b/>
                <w:i w:val="0"/>
                <w:color w:val="0B2545"/>
                <w:sz w:val="18"/>
                <w:rtl w:val="0"/>
              </w:rPr>
              <w:t>ניתנה התרעה</w:t>
            </w:r>
          </w:p>
        </w:tc>
        <w:tc>
          <w:tcPr>
            <w:tcW w:type="dxa" w:w="2088"/>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shd w:fill="F2F4F7"/>
          </w:tcPr>
          <w:p>
            <w:pPr>
              <w:spacing w:before="0" w:after="0" w:line="252" w:lineRule="auto"/>
              <w:jc w:val="center"/>
              <w:bidi w:val="0"/>
            </w:pPr>
            <w:r>
              <w:rPr>
                <w:rFonts w:ascii="Arial" w:hAnsi="Arial" w:eastAsia="Arial" w:cs="Arial"/>
                <w:b/>
                <w:i w:val="0"/>
                <w:color w:val="0B2545"/>
                <w:sz w:val="18"/>
                <w:rtl w:val="0"/>
              </w:rPr>
              <w:t>לא ניתנה התרעה</w:t>
            </w:r>
          </w:p>
        </w:tc>
        <w:tc>
          <w:tcPr>
            <w:tcW w:type="dxa" w:w="1584"/>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shd w:fill="F2F4F7"/>
          </w:tcPr>
          <w:p>
            <w:pPr>
              <w:spacing w:before="0" w:after="0" w:line="252" w:lineRule="auto"/>
              <w:jc w:val="center"/>
              <w:bidi w:val="0"/>
            </w:pPr>
            <w:r>
              <w:rPr>
                <w:rFonts w:ascii="Arial" w:hAnsi="Arial" w:eastAsia="Arial" w:cs="Arial"/>
                <w:b/>
                <w:i w:val="0"/>
                <w:color w:val="0B2545"/>
                <w:sz w:val="18"/>
                <w:rtl w:val="0"/>
              </w:rPr>
              <w:t>סך הכול</w:t>
            </w:r>
          </w:p>
        </w:tc>
      </w:tr>
      <w:tr>
        <w:tc>
          <w:tcPr>
            <w:tcW w:type="dxa" w:w="3600"/>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right"/>
              <w:bidi w:val="1"/>
            </w:pPr>
            <w:r>
              <w:rPr>
                <w:rFonts w:ascii="Arial" w:hAnsi="Arial" w:eastAsia="Arial" w:cs="Arial"/>
                <w:b w:val="0"/>
                <w:i w:val="0"/>
                <w:color w:val="000000"/>
                <w:sz w:val="18"/>
                <w:rtl w:val="1"/>
              </w:rPr>
              <w:t>הידרדרות בביקור הבא</w:t>
            </w:r>
          </w:p>
        </w:tc>
        <w:tc>
          <w:tcPr>
            <w:tcW w:type="dxa" w:w="2088"/>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center"/>
              <w:bidi w:val="0"/>
            </w:pPr>
            <w:r>
              <w:rPr>
                <w:rFonts w:ascii="Arial" w:hAnsi="Arial" w:eastAsia="Arial" w:cs="Arial"/>
                <w:b w:val="0"/>
                <w:i w:val="0"/>
                <w:color w:val="000000"/>
                <w:sz w:val="18"/>
                <w:rtl w:val="0"/>
              </w:rPr>
              <w:t>13 – TP</w:t>
            </w:r>
          </w:p>
        </w:tc>
        <w:tc>
          <w:tcPr>
            <w:tcW w:type="dxa" w:w="2088"/>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center"/>
              <w:bidi w:val="0"/>
            </w:pPr>
            <w:r>
              <w:rPr>
                <w:rFonts w:ascii="Arial" w:hAnsi="Arial" w:eastAsia="Arial" w:cs="Arial"/>
                <w:b w:val="0"/>
                <w:i w:val="0"/>
                <w:color w:val="000000"/>
                <w:sz w:val="18"/>
                <w:rtl w:val="0"/>
              </w:rPr>
              <w:t>36 – FN</w:t>
            </w:r>
          </w:p>
        </w:tc>
        <w:tc>
          <w:tcPr>
            <w:tcW w:type="dxa" w:w="1584"/>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center"/>
              <w:bidi w:val="0"/>
            </w:pPr>
            <w:r>
              <w:rPr>
                <w:rFonts w:ascii="Arial" w:hAnsi="Arial" w:eastAsia="Arial" w:cs="Arial"/>
                <w:b w:val="0"/>
                <w:i w:val="0"/>
                <w:color w:val="000000"/>
                <w:sz w:val="18"/>
                <w:rtl w:val="0"/>
              </w:rPr>
              <w:t>49</w:t>
            </w:r>
          </w:p>
        </w:tc>
      </w:tr>
      <w:tr>
        <w:tc>
          <w:tcPr>
            <w:tcW w:type="dxa" w:w="3600"/>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right"/>
              <w:bidi w:val="1"/>
            </w:pPr>
            <w:r>
              <w:rPr>
                <w:rFonts w:ascii="Arial" w:hAnsi="Arial" w:eastAsia="Arial" w:cs="Arial"/>
                <w:b w:val="0"/>
                <w:i w:val="0"/>
                <w:color w:val="000000"/>
                <w:sz w:val="18"/>
                <w:rtl w:val="1"/>
              </w:rPr>
              <w:t>ללא הידרדרות</w:t>
            </w:r>
          </w:p>
        </w:tc>
        <w:tc>
          <w:tcPr>
            <w:tcW w:type="dxa" w:w="2088"/>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center"/>
              <w:bidi w:val="0"/>
            </w:pPr>
            <w:r>
              <w:rPr>
                <w:rFonts w:ascii="Arial" w:hAnsi="Arial" w:eastAsia="Arial" w:cs="Arial"/>
                <w:b w:val="0"/>
                <w:i w:val="0"/>
                <w:color w:val="000000"/>
                <w:sz w:val="18"/>
                <w:rtl w:val="0"/>
              </w:rPr>
              <w:t>35 – FP</w:t>
            </w:r>
          </w:p>
        </w:tc>
        <w:tc>
          <w:tcPr>
            <w:tcW w:type="dxa" w:w="2088"/>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center"/>
              <w:bidi w:val="0"/>
            </w:pPr>
            <w:r>
              <w:rPr>
                <w:rFonts w:ascii="Arial" w:hAnsi="Arial" w:eastAsia="Arial" w:cs="Arial"/>
                <w:b w:val="0"/>
                <w:i w:val="0"/>
                <w:color w:val="000000"/>
                <w:sz w:val="18"/>
                <w:rtl w:val="0"/>
              </w:rPr>
              <w:t>154 – TN</w:t>
            </w:r>
          </w:p>
        </w:tc>
        <w:tc>
          <w:tcPr>
            <w:tcW w:type="dxa" w:w="1584"/>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center"/>
              <w:bidi w:val="0"/>
            </w:pPr>
            <w:r>
              <w:rPr>
                <w:rFonts w:ascii="Arial" w:hAnsi="Arial" w:eastAsia="Arial" w:cs="Arial"/>
                <w:b w:val="0"/>
                <w:i w:val="0"/>
                <w:color w:val="000000"/>
                <w:sz w:val="18"/>
                <w:rtl w:val="0"/>
              </w:rPr>
              <w:t>189</w:t>
            </w:r>
          </w:p>
        </w:tc>
      </w:tr>
      <w:tr>
        <w:tc>
          <w:tcPr>
            <w:tcW w:type="dxa" w:w="3600"/>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right"/>
              <w:bidi w:val="1"/>
            </w:pPr>
            <w:r>
              <w:rPr>
                <w:rFonts w:ascii="Arial" w:hAnsi="Arial" w:eastAsia="Arial" w:cs="Arial"/>
                <w:b w:val="0"/>
                <w:i w:val="0"/>
                <w:color w:val="000000"/>
                <w:sz w:val="18"/>
                <w:rtl w:val="1"/>
              </w:rPr>
              <w:t>סך הכול</w:t>
            </w:r>
          </w:p>
        </w:tc>
        <w:tc>
          <w:tcPr>
            <w:tcW w:type="dxa" w:w="2088"/>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center"/>
              <w:bidi w:val="0"/>
            </w:pPr>
            <w:r>
              <w:rPr>
                <w:rFonts w:ascii="Arial" w:hAnsi="Arial" w:eastAsia="Arial" w:cs="Arial"/>
                <w:b w:val="0"/>
                <w:i w:val="0"/>
                <w:color w:val="000000"/>
                <w:sz w:val="18"/>
                <w:rtl w:val="0"/>
              </w:rPr>
              <w:t>48</w:t>
            </w:r>
          </w:p>
        </w:tc>
        <w:tc>
          <w:tcPr>
            <w:tcW w:type="dxa" w:w="2088"/>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center"/>
              <w:bidi w:val="0"/>
            </w:pPr>
            <w:r>
              <w:rPr>
                <w:rFonts w:ascii="Arial" w:hAnsi="Arial" w:eastAsia="Arial" w:cs="Arial"/>
                <w:b w:val="0"/>
                <w:i w:val="0"/>
                <w:color w:val="000000"/>
                <w:sz w:val="18"/>
                <w:rtl w:val="0"/>
              </w:rPr>
              <w:t>190</w:t>
            </w:r>
          </w:p>
        </w:tc>
        <w:tc>
          <w:tcPr>
            <w:tcW w:type="dxa" w:w="1584"/>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center"/>
              <w:bidi w:val="0"/>
            </w:pPr>
            <w:r>
              <w:rPr>
                <w:rFonts w:ascii="Arial" w:hAnsi="Arial" w:eastAsia="Arial" w:cs="Arial"/>
                <w:b w:val="0"/>
                <w:i w:val="0"/>
                <w:color w:val="000000"/>
                <w:sz w:val="18"/>
                <w:rtl w:val="0"/>
              </w:rPr>
              <w:t>238</w:t>
            </w:r>
          </w:p>
        </w:tc>
      </w:tr>
    </w:tbl>
    <w:p>
      <w:pPr>
        <w:spacing w:before="0" w:after="40"/>
      </w:pP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רגישות: 13 מתוך 49, שהם 26.5%.</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Precision: ‏13 מתוך 48, שהם 27.1%.</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ספציפיות: 154 מתוך 189, שהם 81.5%.</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שיעור False Positives: ‏18.5%.</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דיוק כולל: 167 מתוך 238, שהם 70.2%.</w:t>
      </w:r>
    </w:p>
    <w:p>
      <w:pPr>
        <w:spacing w:before="0" w:after="120" w:line="264" w:lineRule="auto"/>
        <w:jc w:val="right"/>
        <w:bidi w:val="1"/>
      </w:pPr>
      <w:r>
        <w:rPr>
          <w:rFonts w:ascii="Arial" w:hAnsi="Arial" w:eastAsia="Arial" w:cs="Arial"/>
          <w:b w:val="0"/>
          <w:i w:val="0"/>
          <w:color w:val="000000"/>
          <w:sz w:val="22"/>
          <w:rtl w:val="1"/>
        </w:rPr>
        <w:t>כלומר, מתוך 49 ההידרדרויות המודל זיהה 13 ביקור אחד מראש והחמיץ 36. מתוך 48 ההתרעות, 13 היו נכונות.</w:t>
      </w:r>
    </w:p>
    <w:p>
      <w:pPr>
        <w:pStyle w:val="Heading2"/>
        <w:jc w:val="right"/>
        <w:keepNext/>
        <w:keepLines/>
        <w:bidi w:val="1"/>
      </w:pPr>
      <w:r>
        <w:rPr>
          <w:rFonts w:ascii="Arial" w:hAnsi="Arial" w:eastAsia="Arial" w:cs="Arial"/>
          <w:b/>
          <w:i w:val="0"/>
          <w:color w:val="2E74B5"/>
          <w:sz w:val="26"/>
          <w:rtl w:val="1"/>
        </w:rPr>
        <w:t>המודל הקליני באותו תקציב התרעות</w:t>
      </w:r>
    </w:p>
    <w:tbl>
      <w:tblPr>
        <w:tblW w:type="dxa" w:w="9360"/>
        <w:jc w:val="right"/>
        <w:tblLayout w:type="fixed"/>
        <w:tblLook w:firstColumn="1" w:firstRow="1" w:lastColumn="0" w:lastRow="0" w:noHBand="0" w:noVBand="1" w:val="04A0"/>
        <w:bidiVisual/>
        <w:tblInd w:w="120" w:type="dxa"/>
      </w:tblPr>
      <w:tblGrid>
        <w:gridCol w:w="3600"/>
        <w:gridCol w:w="2088"/>
        <w:gridCol w:w="2088"/>
        <w:gridCol w:w="1584"/>
      </w:tblGrid>
      <w:tr>
        <w:trPr>
          <w:tblHeader w:val="true"/>
        </w:trPr>
        <w:tc>
          <w:tcPr>
            <w:tcW w:type="dxa" w:w="3600"/>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shd w:fill="F2F4F7"/>
          </w:tcPr>
          <w:p>
            <w:pPr>
              <w:spacing w:before="0" w:after="0" w:line="252" w:lineRule="auto"/>
              <w:jc w:val="right"/>
              <w:bidi w:val="1"/>
            </w:pPr>
            <w:r>
              <w:rPr>
                <w:rFonts w:ascii="Arial" w:hAnsi="Arial" w:eastAsia="Arial" w:cs="Arial"/>
                <w:b/>
                <w:i w:val="0"/>
                <w:color w:val="0B2545"/>
                <w:sz w:val="18"/>
                <w:rtl w:val="1"/>
              </w:rPr>
              <w:t>מצב אמיתי</w:t>
            </w:r>
          </w:p>
        </w:tc>
        <w:tc>
          <w:tcPr>
            <w:tcW w:type="dxa" w:w="2088"/>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shd w:fill="F2F4F7"/>
          </w:tcPr>
          <w:p>
            <w:pPr>
              <w:spacing w:before="0" w:after="0" w:line="252" w:lineRule="auto"/>
              <w:jc w:val="center"/>
              <w:bidi w:val="0"/>
            </w:pPr>
            <w:r>
              <w:rPr>
                <w:rFonts w:ascii="Arial" w:hAnsi="Arial" w:eastAsia="Arial" w:cs="Arial"/>
                <w:b/>
                <w:i w:val="0"/>
                <w:color w:val="0B2545"/>
                <w:sz w:val="18"/>
                <w:rtl w:val="0"/>
              </w:rPr>
              <w:t>ניתנה התרעה</w:t>
            </w:r>
          </w:p>
        </w:tc>
        <w:tc>
          <w:tcPr>
            <w:tcW w:type="dxa" w:w="2088"/>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shd w:fill="F2F4F7"/>
          </w:tcPr>
          <w:p>
            <w:pPr>
              <w:spacing w:before="0" w:after="0" w:line="252" w:lineRule="auto"/>
              <w:jc w:val="center"/>
              <w:bidi w:val="0"/>
            </w:pPr>
            <w:r>
              <w:rPr>
                <w:rFonts w:ascii="Arial" w:hAnsi="Arial" w:eastAsia="Arial" w:cs="Arial"/>
                <w:b/>
                <w:i w:val="0"/>
                <w:color w:val="0B2545"/>
                <w:sz w:val="18"/>
                <w:rtl w:val="0"/>
              </w:rPr>
              <w:t>לא ניתנה התרעה</w:t>
            </w:r>
          </w:p>
        </w:tc>
        <w:tc>
          <w:tcPr>
            <w:tcW w:type="dxa" w:w="1584"/>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shd w:fill="F2F4F7"/>
          </w:tcPr>
          <w:p>
            <w:pPr>
              <w:spacing w:before="0" w:after="0" w:line="252" w:lineRule="auto"/>
              <w:jc w:val="center"/>
              <w:bidi w:val="0"/>
            </w:pPr>
            <w:r>
              <w:rPr>
                <w:rFonts w:ascii="Arial" w:hAnsi="Arial" w:eastAsia="Arial" w:cs="Arial"/>
                <w:b/>
                <w:i w:val="0"/>
                <w:color w:val="0B2545"/>
                <w:sz w:val="18"/>
                <w:rtl w:val="0"/>
              </w:rPr>
              <w:t>סך הכול</w:t>
            </w:r>
          </w:p>
        </w:tc>
      </w:tr>
      <w:tr>
        <w:tc>
          <w:tcPr>
            <w:tcW w:type="dxa" w:w="3600"/>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right"/>
              <w:bidi w:val="1"/>
            </w:pPr>
            <w:r>
              <w:rPr>
                <w:rFonts w:ascii="Arial" w:hAnsi="Arial" w:eastAsia="Arial" w:cs="Arial"/>
                <w:b w:val="0"/>
                <w:i w:val="0"/>
                <w:color w:val="000000"/>
                <w:sz w:val="18"/>
                <w:rtl w:val="1"/>
              </w:rPr>
              <w:t>הידרדרות בביקור הבא</w:t>
            </w:r>
          </w:p>
        </w:tc>
        <w:tc>
          <w:tcPr>
            <w:tcW w:type="dxa" w:w="2088"/>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center"/>
              <w:bidi w:val="0"/>
            </w:pPr>
            <w:r>
              <w:rPr>
                <w:rFonts w:ascii="Arial" w:hAnsi="Arial" w:eastAsia="Arial" w:cs="Arial"/>
                <w:b w:val="0"/>
                <w:i w:val="0"/>
                <w:color w:val="000000"/>
                <w:sz w:val="18"/>
                <w:rtl w:val="0"/>
              </w:rPr>
              <w:t>16 – TP</w:t>
            </w:r>
          </w:p>
        </w:tc>
        <w:tc>
          <w:tcPr>
            <w:tcW w:type="dxa" w:w="2088"/>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center"/>
              <w:bidi w:val="0"/>
            </w:pPr>
            <w:r>
              <w:rPr>
                <w:rFonts w:ascii="Arial" w:hAnsi="Arial" w:eastAsia="Arial" w:cs="Arial"/>
                <w:b w:val="0"/>
                <w:i w:val="0"/>
                <w:color w:val="000000"/>
                <w:sz w:val="18"/>
                <w:rtl w:val="0"/>
              </w:rPr>
              <w:t>33 – FN</w:t>
            </w:r>
          </w:p>
        </w:tc>
        <w:tc>
          <w:tcPr>
            <w:tcW w:type="dxa" w:w="1584"/>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center"/>
              <w:bidi w:val="0"/>
            </w:pPr>
            <w:r>
              <w:rPr>
                <w:rFonts w:ascii="Arial" w:hAnsi="Arial" w:eastAsia="Arial" w:cs="Arial"/>
                <w:b w:val="0"/>
                <w:i w:val="0"/>
                <w:color w:val="000000"/>
                <w:sz w:val="18"/>
                <w:rtl w:val="0"/>
              </w:rPr>
              <w:t>49</w:t>
            </w:r>
          </w:p>
        </w:tc>
      </w:tr>
      <w:tr>
        <w:tc>
          <w:tcPr>
            <w:tcW w:type="dxa" w:w="3600"/>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right"/>
              <w:bidi w:val="1"/>
            </w:pPr>
            <w:r>
              <w:rPr>
                <w:rFonts w:ascii="Arial" w:hAnsi="Arial" w:eastAsia="Arial" w:cs="Arial"/>
                <w:b w:val="0"/>
                <w:i w:val="0"/>
                <w:color w:val="000000"/>
                <w:sz w:val="18"/>
                <w:rtl w:val="1"/>
              </w:rPr>
              <w:t>ללא הידרדרות</w:t>
            </w:r>
          </w:p>
        </w:tc>
        <w:tc>
          <w:tcPr>
            <w:tcW w:type="dxa" w:w="2088"/>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center"/>
              <w:bidi w:val="0"/>
            </w:pPr>
            <w:r>
              <w:rPr>
                <w:rFonts w:ascii="Arial" w:hAnsi="Arial" w:eastAsia="Arial" w:cs="Arial"/>
                <w:b w:val="0"/>
                <w:i w:val="0"/>
                <w:color w:val="000000"/>
                <w:sz w:val="18"/>
                <w:rtl w:val="0"/>
              </w:rPr>
              <w:t>32 – FP</w:t>
            </w:r>
          </w:p>
        </w:tc>
        <w:tc>
          <w:tcPr>
            <w:tcW w:type="dxa" w:w="2088"/>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center"/>
              <w:bidi w:val="0"/>
            </w:pPr>
            <w:r>
              <w:rPr>
                <w:rFonts w:ascii="Arial" w:hAnsi="Arial" w:eastAsia="Arial" w:cs="Arial"/>
                <w:b w:val="0"/>
                <w:i w:val="0"/>
                <w:color w:val="000000"/>
                <w:sz w:val="18"/>
                <w:rtl w:val="0"/>
              </w:rPr>
              <w:t>157 – TN</w:t>
            </w:r>
          </w:p>
        </w:tc>
        <w:tc>
          <w:tcPr>
            <w:tcW w:type="dxa" w:w="1584"/>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center"/>
              <w:bidi w:val="0"/>
            </w:pPr>
            <w:r>
              <w:rPr>
                <w:rFonts w:ascii="Arial" w:hAnsi="Arial" w:eastAsia="Arial" w:cs="Arial"/>
                <w:b w:val="0"/>
                <w:i w:val="0"/>
                <w:color w:val="000000"/>
                <w:sz w:val="18"/>
                <w:rtl w:val="0"/>
              </w:rPr>
              <w:t>189</w:t>
            </w:r>
          </w:p>
        </w:tc>
      </w:tr>
      <w:tr>
        <w:tc>
          <w:tcPr>
            <w:tcW w:type="dxa" w:w="3600"/>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right"/>
              <w:bidi w:val="1"/>
            </w:pPr>
            <w:r>
              <w:rPr>
                <w:rFonts w:ascii="Arial" w:hAnsi="Arial" w:eastAsia="Arial" w:cs="Arial"/>
                <w:b w:val="0"/>
                <w:i w:val="0"/>
                <w:color w:val="000000"/>
                <w:sz w:val="18"/>
                <w:rtl w:val="1"/>
              </w:rPr>
              <w:t>סך הכול</w:t>
            </w:r>
          </w:p>
        </w:tc>
        <w:tc>
          <w:tcPr>
            <w:tcW w:type="dxa" w:w="2088"/>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center"/>
              <w:bidi w:val="0"/>
            </w:pPr>
            <w:r>
              <w:rPr>
                <w:rFonts w:ascii="Arial" w:hAnsi="Arial" w:eastAsia="Arial" w:cs="Arial"/>
                <w:b w:val="0"/>
                <w:i w:val="0"/>
                <w:color w:val="000000"/>
                <w:sz w:val="18"/>
                <w:rtl w:val="0"/>
              </w:rPr>
              <w:t>48</w:t>
            </w:r>
          </w:p>
        </w:tc>
        <w:tc>
          <w:tcPr>
            <w:tcW w:type="dxa" w:w="2088"/>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center"/>
              <w:bidi w:val="0"/>
            </w:pPr>
            <w:r>
              <w:rPr>
                <w:rFonts w:ascii="Arial" w:hAnsi="Arial" w:eastAsia="Arial" w:cs="Arial"/>
                <w:b w:val="0"/>
                <w:i w:val="0"/>
                <w:color w:val="000000"/>
                <w:sz w:val="18"/>
                <w:rtl w:val="0"/>
              </w:rPr>
              <w:t>190</w:t>
            </w:r>
          </w:p>
        </w:tc>
        <w:tc>
          <w:tcPr>
            <w:tcW w:type="dxa" w:w="1584"/>
            <w:vAlign w:val="center"/>
            <w:tcMar>
              <w:top w:w="80" w:type="dxa"/>
              <w:start w:w="120" w:type="dxa"/>
              <w:bottom w:w="80" w:type="dxa"/>
              <w:end w:w="120" w:type="dxa"/>
            </w:tcMar>
            <w:tcBorders>
              <w:top w:val="single" w:sz="6" w:color="B7C4CF"/>
              <w:start w:val="single" w:sz="6" w:color="B7C4CF"/>
              <w:bottom w:val="single" w:sz="6" w:color="B7C4CF"/>
              <w:end w:val="single" w:sz="6" w:color="B7C4CF"/>
              <w:insideH w:val="single" w:sz="6" w:color="B7C4CF"/>
              <w:insideV w:val="single" w:sz="6" w:color="B7C4CF"/>
            </w:tcBorders>
          </w:tcPr>
          <w:p>
            <w:pPr>
              <w:spacing w:before="0" w:after="0" w:line="252" w:lineRule="auto"/>
              <w:jc w:val="center"/>
              <w:bidi w:val="0"/>
            </w:pPr>
            <w:r>
              <w:rPr>
                <w:rFonts w:ascii="Arial" w:hAnsi="Arial" w:eastAsia="Arial" w:cs="Arial"/>
                <w:b w:val="0"/>
                <w:i w:val="0"/>
                <w:color w:val="000000"/>
                <w:sz w:val="18"/>
                <w:rtl w:val="0"/>
              </w:rPr>
              <w:t>238</w:t>
            </w:r>
          </w:p>
        </w:tc>
      </w:tr>
    </w:tbl>
    <w:p>
      <w:pPr>
        <w:spacing w:before="0" w:after="40"/>
      </w:pP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רגישות: 32.7%.</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Precision: ‏33.3%.</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ספציפיות: 83.1%.</w:t>
      </w:r>
    </w:p>
    <w:p>
      <w:pPr>
        <w:spacing w:before="0" w:after="120" w:line="264" w:lineRule="auto"/>
        <w:jc w:val="right"/>
        <w:bidi w:val="1"/>
      </w:pPr>
      <w:r>
        <w:rPr>
          <w:rFonts w:ascii="Arial" w:hAnsi="Arial" w:eastAsia="Arial" w:cs="Arial"/>
          <w:b w:val="0"/>
          <w:i w:val="0"/>
          <w:color w:val="000000"/>
          <w:sz w:val="22"/>
          <w:rtl w:val="1"/>
        </w:rPr>
        <w:t>למרות של־attention היה AUC ו־AP כלליים טובים יותר, בנקודת ההפעלה של 20% התרעות המודל הקליני זיהה יותר אירועים ויצר פחות התרעות שווא. אין בכך סתירה: AUC ו־AP מסכמים את ביצועי הדירוג על פני נקודות חיתוך רבות, בעוד ש־confusion matrix מתארת נקודת חיתוך אחת.</w:t>
      </w:r>
    </w:p>
    <w:p>
      <w:pPr>
        <w:pStyle w:val="Heading2"/>
        <w:jc w:val="right"/>
        <w:keepNext/>
        <w:keepLines/>
        <w:bidi w:val="1"/>
      </w:pPr>
      <w:r>
        <w:rPr>
          <w:rFonts w:ascii="Arial" w:hAnsi="Arial" w:eastAsia="Arial" w:cs="Arial"/>
          <w:b/>
          <w:i w:val="0"/>
          <w:color w:val="2E74B5"/>
          <w:sz w:val="26"/>
          <w:rtl w:val="1"/>
        </w:rPr>
        <w:t>דפוסי השגיאה</w:t>
      </w:r>
    </w:p>
    <w:p>
      <w:pPr>
        <w:jc w:val="right"/>
        <w:bidi w:val="1"/>
        <w:numPr>
          <w:ilvl w:val="0"/>
          <w:numId w:val="1"/>
        </w:numPr>
        <w:spacing w:before="0" w:after="160" w:line="280" w:lineRule="auto"/>
        <w:ind w:right="720" w:hanging="360" w:left="0"/>
      </w:pPr>
      <w:r>
        <w:rPr>
          <w:rFonts w:ascii="Arial" w:hAnsi="Arial" w:eastAsia="Arial" w:cs="Arial"/>
          <w:b/>
          <w:i w:val="0"/>
          <w:color w:val="000000"/>
          <w:sz w:val="22"/>
          <w:rtl w:val="1"/>
        </w:rPr>
        <w:t>False Positives:</w:t>
      </w:r>
      <w:r>
        <w:rPr>
          <w:rFonts w:ascii="Arial" w:hAnsi="Arial" w:eastAsia="Arial" w:cs="Arial"/>
          <w:b w:val="0"/>
          <w:i w:val="0"/>
          <w:color w:val="000000"/>
          <w:sz w:val="22"/>
          <w:rtl w:val="1"/>
        </w:rPr>
        <w:t xml:space="preserve"> בדרך כלל מטופלים שכבר היו קרובים לסף בביקור הנוכחי, אך השינוי לא נמשך או לא חצה את הסף בביקור הבא. המודל מתקשה להבדיל בין תנודה זמנית לבין הידרדרות מתמשכת.</w:t>
      </w:r>
    </w:p>
    <w:p>
      <w:pPr>
        <w:jc w:val="right"/>
        <w:bidi w:val="1"/>
        <w:numPr>
          <w:ilvl w:val="0"/>
          <w:numId w:val="1"/>
        </w:numPr>
        <w:spacing w:before="0" w:after="160" w:line="280" w:lineRule="auto"/>
        <w:ind w:right="720" w:hanging="360" w:left="0"/>
      </w:pPr>
      <w:r>
        <w:rPr>
          <w:rFonts w:ascii="Arial" w:hAnsi="Arial" w:eastAsia="Arial" w:cs="Arial"/>
          <w:b/>
          <w:i w:val="0"/>
          <w:color w:val="000000"/>
          <w:sz w:val="22"/>
          <w:rtl w:val="1"/>
        </w:rPr>
        <w:t>False Negatives:</w:t>
      </w:r>
      <w:r>
        <w:rPr>
          <w:rFonts w:ascii="Arial" w:hAnsi="Arial" w:eastAsia="Arial" w:cs="Arial"/>
          <w:b w:val="0"/>
          <w:i w:val="0"/>
          <w:color w:val="000000"/>
          <w:sz w:val="22"/>
          <w:rtl w:val="1"/>
        </w:rPr>
        <w:t xml:space="preserve"> בדרך כלל הידרדרויות פתאומיות. הירידה שכבר הייתה קיימת בביקור ההתרעה הייתה חציונית של 6.6%, לעומת 10.0% בקרב האירועים שהמודל זיהה.</w:t>
      </w:r>
    </w:p>
    <w:p>
      <w:pPr>
        <w:spacing w:before="0" w:after="120" w:line="264" w:lineRule="auto"/>
        <w:jc w:val="right"/>
        <w:bidi w:val="1"/>
      </w:pPr>
      <w:r>
        <w:rPr>
          <w:rFonts w:ascii="Arial" w:hAnsi="Arial" w:eastAsia="Arial" w:cs="Arial"/>
          <w:b w:val="0"/>
          <w:i w:val="0"/>
          <w:color w:val="000000"/>
          <w:sz w:val="22"/>
          <w:rtl w:val="1"/>
        </w:rPr>
        <w:t>המודל היה חלש יותר:</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כאשר ניסה לחזות ישירות מהביקור הראשון: AUC ‏0.607.</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כאשר ה־GLS בבייסליין היה 18 ומעלה: AUC ‏0.559.</w:t>
      </w:r>
    </w:p>
    <w:p>
      <w:pPr>
        <w:jc w:val="right"/>
        <w:bidi w:val="1"/>
        <w:numPr>
          <w:ilvl w:val="0"/>
          <w:numId w:val="1"/>
        </w:numPr>
        <w:spacing w:before="0" w:after="160" w:line="280" w:lineRule="auto"/>
        <w:ind w:right="720" w:hanging="360" w:left="0"/>
      </w:pPr>
      <w:r>
        <w:rPr>
          <w:rFonts w:ascii="Arial" w:hAnsi="Arial" w:eastAsia="Arial" w:cs="Arial"/>
          <w:b w:val="0"/>
          <w:i w:val="0"/>
          <w:color w:val="000000"/>
          <w:sz w:val="22"/>
          <w:rtl w:val="1"/>
        </w:rPr>
        <w:t>בקבוצת הביניים של פער Endo–Mid: AUC ‏0.444.</w:t>
      </w:r>
    </w:p>
    <w:p>
      <w:pPr>
        <w:spacing w:before="0" w:after="120" w:line="264" w:lineRule="auto"/>
        <w:jc w:val="right"/>
        <w:bidi w:val="1"/>
      </w:pPr>
      <w:r>
        <w:rPr>
          <w:rFonts w:ascii="Arial" w:hAnsi="Arial" w:eastAsia="Arial" w:cs="Arial"/>
          <w:b w:val="0"/>
          <w:i w:val="0"/>
          <w:color w:val="000000"/>
          <w:sz w:val="22"/>
          <w:rtl w:val="1"/>
        </w:rPr>
        <w:t>לעומת זאת, כאשר כבר הייתה היסטוריה לאחר הביקור הראשון, ה־AUC עלה ל־0.713. הדבר מרמז שהמודל זקוק למסלול קודם כדי לזהות שינוי מוקדם. תוצאות תתי־הקבוצות הן חקירתיות בלבד, משום שבכל קבוצה היו מעט מטופלים ואירועים.</w:t>
      </w:r>
    </w:p>
    <w:p>
      <w:pPr>
        <w:pStyle w:val="Heading1"/>
        <w:jc w:val="right"/>
        <w:keepNext/>
        <w:keepLines/>
        <w:bidi w:val="1"/>
      </w:pPr>
      <w:r>
        <w:rPr>
          <w:rFonts w:ascii="Arial" w:hAnsi="Arial" w:eastAsia="Arial" w:cs="Arial"/>
          <w:b/>
          <w:i w:val="0"/>
          <w:color w:val="2E74B5"/>
          <w:sz w:val="32"/>
          <w:rtl w:val="1"/>
        </w:rPr>
        <w:t>11. מסקנות</w:t>
      </w:r>
    </w:p>
    <w:p>
      <w:pPr>
        <w:jc w:val="right"/>
        <w:bidi w:val="1"/>
        <w:numPr>
          <w:ilvl w:val="0"/>
          <w:numId w:val="5"/>
        </w:numPr>
        <w:spacing w:before="0" w:after="160" w:line="280" w:lineRule="auto"/>
        <w:ind w:right="720" w:hanging="360" w:left="0"/>
      </w:pPr>
      <w:r>
        <w:rPr>
          <w:rFonts w:ascii="Arial" w:hAnsi="Arial" w:eastAsia="Arial" w:cs="Arial"/>
          <w:b w:val="0"/>
          <w:i w:val="0"/>
          <w:color w:val="000000"/>
          <w:sz w:val="22"/>
          <w:rtl w:val="1"/>
        </w:rPr>
        <w:t>המודלים מנבאים טוב יותר מאקראי, אך הביצועים עדיין בינוניים.</w:t>
      </w:r>
    </w:p>
    <w:p>
      <w:pPr>
        <w:jc w:val="right"/>
        <w:bidi w:val="1"/>
        <w:numPr>
          <w:ilvl w:val="0"/>
          <w:numId w:val="5"/>
        </w:numPr>
        <w:spacing w:before="0" w:after="160" w:line="280" w:lineRule="auto"/>
        <w:ind w:right="720" w:hanging="360" w:left="0"/>
      </w:pPr>
      <w:r>
        <w:rPr>
          <w:rFonts w:ascii="Arial" w:hAnsi="Arial" w:eastAsia="Arial" w:cs="Arial"/>
          <w:b w:val="0"/>
          <w:i w:val="0"/>
          <w:color w:val="000000"/>
          <w:sz w:val="22"/>
          <w:rtl w:val="1"/>
        </w:rPr>
        <w:t>המודל הקליני הגיע ל־AUC של 0.631 ול־AP של 0.289.</w:t>
      </w:r>
    </w:p>
    <w:p>
      <w:pPr>
        <w:jc w:val="right"/>
        <w:bidi w:val="1"/>
        <w:numPr>
          <w:ilvl w:val="0"/>
          <w:numId w:val="5"/>
        </w:numPr>
        <w:spacing w:before="0" w:after="160" w:line="280" w:lineRule="auto"/>
        <w:ind w:right="720" w:hanging="360" w:left="0"/>
      </w:pPr>
      <w:r>
        <w:rPr>
          <w:rFonts w:ascii="Arial" w:hAnsi="Arial" w:eastAsia="Arial" w:cs="Arial"/>
          <w:b w:val="0"/>
          <w:i w:val="0"/>
          <w:color w:val="000000"/>
          <w:sz w:val="22"/>
          <w:rtl w:val="1"/>
        </w:rPr>
        <w:t>פיצ'רי Endo–Mid הראו תוספת קטנה: AUC של 0.644 ו־AP של 0.309.</w:t>
      </w:r>
    </w:p>
    <w:p>
      <w:pPr>
        <w:jc w:val="right"/>
        <w:bidi w:val="1"/>
        <w:numPr>
          <w:ilvl w:val="0"/>
          <w:numId w:val="5"/>
        </w:numPr>
        <w:spacing w:before="0" w:after="160" w:line="280" w:lineRule="auto"/>
        <w:ind w:right="720" w:hanging="360" w:left="0"/>
      </w:pPr>
      <w:r>
        <w:rPr>
          <w:rFonts w:ascii="Arial" w:hAnsi="Arial" w:eastAsia="Arial" w:cs="Arial"/>
          <w:b w:val="0"/>
          <w:i w:val="0"/>
          <w:color w:val="000000"/>
          <w:sz w:val="22"/>
          <w:rtl w:val="1"/>
        </w:rPr>
        <w:t>פיצ'רי השונות בין הסגמנטים לא שיפרו את ה־AP מעבר למודל הקליני.</w:t>
      </w:r>
    </w:p>
    <w:p>
      <w:pPr>
        <w:jc w:val="right"/>
        <w:bidi w:val="1"/>
        <w:numPr>
          <w:ilvl w:val="0"/>
          <w:numId w:val="5"/>
        </w:numPr>
        <w:spacing w:before="0" w:after="160" w:line="280" w:lineRule="auto"/>
        <w:ind w:right="720" w:hanging="360" w:left="0"/>
      </w:pPr>
      <w:r>
        <w:rPr>
          <w:rFonts w:ascii="Arial" w:hAnsi="Arial" w:eastAsia="Arial" w:cs="Arial"/>
          <w:b w:val="0"/>
          <w:i w:val="0"/>
          <w:color w:val="000000"/>
          <w:sz w:val="22"/>
          <w:rtl w:val="1"/>
        </w:rPr>
        <w:t>Extra Trees הגיע ל־AUC של 0.672 ול־AP של 0.313.</w:t>
      </w:r>
    </w:p>
    <w:p>
      <w:pPr>
        <w:jc w:val="right"/>
        <w:bidi w:val="1"/>
        <w:numPr>
          <w:ilvl w:val="0"/>
          <w:numId w:val="5"/>
        </w:numPr>
        <w:spacing w:before="0" w:after="160" w:line="280" w:lineRule="auto"/>
        <w:ind w:right="720" w:hanging="360" w:left="0"/>
      </w:pPr>
      <w:r>
        <w:rPr>
          <w:rFonts w:ascii="Arial" w:hAnsi="Arial" w:eastAsia="Arial" w:cs="Arial"/>
          <w:b w:val="0"/>
          <w:i w:val="0"/>
          <w:color w:val="000000"/>
          <w:sz w:val="22"/>
          <w:rtl w:val="1"/>
        </w:rPr>
        <w:t>Attention נתן את התוצאה הנקודתית הטובה ביותר, AUC של 0.683 ו־AP של 0.333, אך השיפור לא היה יציב ברווחי הסמך.</w:t>
      </w:r>
    </w:p>
    <w:p>
      <w:pPr>
        <w:jc w:val="right"/>
        <w:bidi w:val="1"/>
        <w:numPr>
          <w:ilvl w:val="0"/>
          <w:numId w:val="5"/>
        </w:numPr>
        <w:spacing w:before="0" w:after="160" w:line="280" w:lineRule="auto"/>
        <w:ind w:right="720" w:hanging="360" w:left="0"/>
      </w:pPr>
      <w:r>
        <w:rPr>
          <w:rFonts w:ascii="Arial" w:hAnsi="Arial" w:eastAsia="Arial" w:cs="Arial"/>
          <w:b w:val="0"/>
          <w:i w:val="0"/>
          <w:color w:val="000000"/>
          <w:sz w:val="22"/>
          <w:rtl w:val="1"/>
        </w:rPr>
        <w:t>משקלי ה־attention נשארו כמעט אחידים, ולכן לא זוהה סגמנט אנטומי מסוים שאחראי לחיזוי.</w:t>
      </w:r>
    </w:p>
    <w:p>
      <w:pPr>
        <w:jc w:val="right"/>
        <w:bidi w:val="1"/>
        <w:numPr>
          <w:ilvl w:val="0"/>
          <w:numId w:val="5"/>
        </w:numPr>
        <w:spacing w:before="0" w:after="160" w:line="280" w:lineRule="auto"/>
        <w:ind w:right="720" w:hanging="360" w:left="0"/>
      </w:pPr>
      <w:r>
        <w:rPr>
          <w:rFonts w:ascii="Arial" w:hAnsi="Arial" w:eastAsia="Arial" w:cs="Arial"/>
          <w:b w:val="0"/>
          <w:i w:val="0"/>
          <w:color w:val="000000"/>
          <w:sz w:val="22"/>
          <w:rtl w:val="1"/>
        </w:rPr>
        <w:t>הסרת סגמנטי האפקס לא שיפרה את המודל.</w:t>
      </w:r>
    </w:p>
    <w:p>
      <w:pPr>
        <w:jc w:val="right"/>
        <w:bidi w:val="1"/>
        <w:numPr>
          <w:ilvl w:val="0"/>
          <w:numId w:val="5"/>
        </w:numPr>
        <w:spacing w:before="0" w:after="160" w:line="280" w:lineRule="auto"/>
        <w:ind w:right="720" w:hanging="360" w:left="0"/>
      </w:pPr>
      <w:r>
        <w:rPr>
          <w:rFonts w:ascii="Arial" w:hAnsi="Arial" w:eastAsia="Arial" w:cs="Arial"/>
          <w:b w:val="0"/>
          <w:i w:val="0"/>
          <w:color w:val="000000"/>
          <w:sz w:val="22"/>
          <w:rtl w:val="1"/>
        </w:rPr>
        <w:t>בנקודת הפעלה של 20% התרעות, המודל הקליני היה טוב יותר מה־attention מבחינת רגישות ו־precision.</w:t>
      </w:r>
    </w:p>
    <w:p>
      <w:pPr>
        <w:jc w:val="right"/>
        <w:bidi w:val="1"/>
        <w:numPr>
          <w:ilvl w:val="0"/>
          <w:numId w:val="5"/>
        </w:numPr>
        <w:spacing w:before="0" w:after="160" w:line="280" w:lineRule="auto"/>
        <w:ind w:right="720" w:hanging="360" w:left="0"/>
      </w:pPr>
      <w:r>
        <w:rPr>
          <w:rFonts w:ascii="Arial" w:hAnsi="Arial" w:eastAsia="Arial" w:cs="Arial"/>
          <w:b w:val="0"/>
          <w:i w:val="0"/>
          <w:color w:val="000000"/>
          <w:sz w:val="22"/>
          <w:rtl w:val="1"/>
        </w:rPr>
        <w:t>קיימת אינדיקציה חלשה לטובת הבדלי Endo–Mid, אך שתי ההשערות עדיין לא הוכחו.</w:t>
      </w:r>
    </w:p>
    <w:p>
      <w:pPr>
        <w:spacing w:before="120" w:after="120" w:line="264" w:lineRule="auto"/>
        <w:jc w:val="right"/>
        <w:bidi w:val="1"/>
        <w:shd w:fill="EDF4FA"/>
      </w:pPr>
      <w:r>
        <w:rPr>
          <w:rFonts w:ascii="Arial" w:hAnsi="Arial" w:eastAsia="Arial" w:cs="Arial"/>
          <w:b w:val="0"/>
          <w:i w:val="0"/>
          <w:color w:val="000000"/>
          <w:sz w:val="22"/>
          <w:rtl w:val="1"/>
        </w:rPr>
        <w:t>בנינו מערכת שמנסה להתריע ביקור אחד לפני ירידה יחסית של 15% ב־Mid-GLS, כאשר הביקור הראשון משמש כבייסליין. בדקנו מידע קליני, הבדלים בין שכבות Endo ו־Mid, שונות בין סגמנטים ועקומות גולמיות. מודל attention השיג את התוצאה הנקודתית הטובה ביותר, אך לא הראה שיפור יציב לעומת המודל הקליני. לכן קיים אות מוקדם אפשרי בעקומות, אך עדיין אין ראיה מספקת לערך מוסף קליני אמין.</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Arial" w:hAnsi="Arial" w:eastAsia="Arial" w:cs="Arial"/>
        <w:b w:val="0"/>
        <w:i w:val="0"/>
        <w:color w:val="5F6B76"/>
        <w:sz w:val="18"/>
        <w:rtl w:val="1"/>
      </w:rPr>
      <w:t xml:space="preserve">עמוד </w:t>
    </w:r>
    <w:r>
      <w:rPr>
        <w:rFonts w:ascii="Arial" w:hAnsi="Arial" w:eastAsia="Arial" w:cs="Arial"/>
        <w:b w:val="0"/>
        <w:i w:val="0"/>
        <w:color w:val="5F6B76"/>
        <w:sz w:val="18"/>
        <w:rtl w:val="0"/>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bidi w:val="1"/>
    </w:pPr>
    <w:r>
      <w:rPr>
        <w:rFonts w:ascii="Arial" w:hAnsi="Arial" w:eastAsia="Arial" w:cs="Arial"/>
        <w:b/>
        <w:i w:val="0"/>
        <w:color w:val="5F6B76"/>
        <w:sz w:val="18"/>
        <w:rtl w:val="1"/>
      </w:rPr>
      <w:t>דוח חיזוי מוקדם של הידרדרות ב־GLS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keepLines/>
      <w:bidi w:val="1"/>
      <w:spacing w:before="0" w:after="120" w:line="264" w:lineRule="auto"/>
      <w:jc w:val="right"/>
    </w:pPr>
    <w:rPr>
      <w:rFonts w:ascii="Arial" w:hAnsi="Arial" w:eastAsia="Arial" w:cs="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bidi w:val="1"/>
      <w:jc w:val="right"/>
    </w:pPr>
    <w:rPr>
      <w:rFonts w:asciiTheme="majorHAnsi" w:eastAsiaTheme="majorEastAsia" w:hAnsiTheme="majorHAnsi" w:cstheme="majorBidi" w:ascii="Arial" w:hAnsi="Arial" w:eastAsia="Arial" w:cs="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bidi w:val="1"/>
      <w:jc w:val="right"/>
    </w:pPr>
    <w:rPr>
      <w:rFonts w:asciiTheme="majorHAnsi" w:eastAsiaTheme="majorEastAsia" w:hAnsiTheme="majorHAnsi" w:cstheme="majorBidi" w:ascii="Arial" w:hAnsi="Arial" w:eastAsia="Arial" w:cs="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bidi w:val="1"/>
      <w:jc w:val="right"/>
    </w:pPr>
    <w:rPr>
      <w:rFonts w:asciiTheme="majorHAnsi" w:eastAsiaTheme="majorEastAsia" w:hAnsiTheme="majorHAnsi" w:cstheme="majorBidi" w:ascii="Arial" w:hAnsi="Arial" w:eastAsia="Arial" w:cs="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חיזוי מוקדם של הידרדרות ב־GLS</dc:title>
  <dc:subject>דוח מסכם לחיזוי ירידה יחסית של 15% ב־Mid-GLS</dc:subject>
  <dc:creator>Codex</dc:creator>
  <cp:keywords>GLS, cardiotoxicity, Endo-Mid, attention, early detection</cp:keywords>
  <dc:description>generated by python-docx</dc:description>
  <cp:lastModifiedBy/>
  <cp:revision>1</cp:revision>
  <dcterms:created xsi:type="dcterms:W3CDTF">2013-12-23T23:15:00Z</dcterms:created>
  <dcterms:modified xsi:type="dcterms:W3CDTF">2013-12-23T23:15:00Z</dcterms:modified>
  <cp:category/>
</cp:coreProperties>
</file>