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6716F" w:rsidRDefault="00D951C5">
      <w:pPr>
        <w:pStyle w:val="Ttulo1"/>
      </w:pPr>
      <w:r>
        <w:t>Parte 8. Actividad de Integración (Análisis de Cambio en la Arquitectura)</w:t>
      </w:r>
    </w:p>
    <w:p w14:paraId="00000002" w14:textId="77777777" w:rsidR="00A6716F" w:rsidRDefault="00D951C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</w:pPr>
      <w:r>
        <w:t xml:space="preserve">Ante el requerimiento institucional de incorporar un </w:t>
      </w:r>
      <w:r w:rsidRPr="00D951C5">
        <w:t>Módulo de PQRS</w:t>
      </w:r>
      <w:r>
        <w:t xml:space="preserve"> y un </w:t>
      </w:r>
      <w:r w:rsidRPr="00D951C5">
        <w:t>Sistema de Notificaciones por Correo Electrónico</w:t>
      </w:r>
      <w:r>
        <w:t xml:space="preserve"> en la segunda fase, se presenta el análisis de impacto y adaptabilidad de la arquitectura propuesta:</w:t>
      </w:r>
    </w:p>
    <w:p w14:paraId="00000003" w14:textId="77777777" w:rsidR="00A6716F" w:rsidRDefault="00D951C5">
      <w:pPr>
        <w:pStyle w:val="Ttulo2"/>
        <w:spacing w:before="0"/>
      </w:pPr>
      <w:r>
        <w:t xml:space="preserve">1. </w:t>
      </w:r>
      <w:r>
        <w:t>¿Qué componentes nuevos se necesitan?</w:t>
      </w:r>
    </w:p>
    <w:p w14:paraId="00000004" w14:textId="77777777" w:rsidR="00A6716F" w:rsidRDefault="00D951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Módulo de PQRS (Peticiones, Quejas, Reclamos y Sugerencias):</w:t>
      </w:r>
      <w:r>
        <w:t xml:space="preserve"> Encargado de la lógica de negocio exclusiva para el </w:t>
      </w:r>
      <w:r>
        <w:t>registro, categorización, asignación a funcionarios y seguimiento de casos de PQRS.</w:t>
      </w:r>
    </w:p>
    <w:p w14:paraId="00000005" w14:textId="77777777" w:rsidR="00A6716F" w:rsidRDefault="00D951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 xml:space="preserve">Proveedor / Adaptador de Correo Electrónico (Email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 xml:space="preserve"> / SMTP </w:t>
      </w:r>
      <w:proofErr w:type="spellStart"/>
      <w:r>
        <w:rPr>
          <w:b/>
          <w:bCs/>
        </w:rPr>
        <w:t>Adapter</w:t>
      </w:r>
      <w:proofErr w:type="spellEnd"/>
      <w:r>
        <w:rPr>
          <w:b/>
          <w:bCs/>
        </w:rPr>
        <w:t>):</w:t>
      </w:r>
      <w:r>
        <w:t xml:space="preserve"> Un componente especializado dentro o conectado al módulo de Notificaciones para gestion</w:t>
      </w:r>
      <w:r>
        <w:t xml:space="preserve">ar el formateo de plantillas HTML y la conexión con servidores de correo (como SMTP, </w:t>
      </w:r>
      <w:proofErr w:type="spellStart"/>
      <w:r>
        <w:t>SendGrid</w:t>
      </w:r>
      <w:proofErr w:type="spellEnd"/>
      <w:r>
        <w:t xml:space="preserve"> o </w:t>
      </w:r>
      <w:proofErr w:type="spellStart"/>
      <w:r>
        <w:t>PHPMailer</w:t>
      </w:r>
      <w:proofErr w:type="spellEnd"/>
      <w:r>
        <w:t>).</w:t>
      </w:r>
    </w:p>
    <w:p w14:paraId="00000006" w14:textId="77777777" w:rsidR="00A6716F" w:rsidRDefault="00D951C5">
      <w:pPr>
        <w:pStyle w:val="Ttulo2"/>
      </w:pPr>
      <w:r>
        <w:t>2. ¿Qué componentes existentes deben modificarse?</w:t>
      </w:r>
    </w:p>
    <w:p w14:paraId="00000007" w14:textId="77777777" w:rsidR="00A6716F" w:rsidRDefault="00D951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Módulo de Notificaciones:</w:t>
      </w:r>
      <w:r>
        <w:t xml:space="preserve"> No requiere reescribir su lógica previa, pero se debe extender agregando el canal de envío por correo electrónico (implementando la interfaz de notificaciones para soportar este nuevo medio).</w:t>
      </w:r>
    </w:p>
    <w:p w14:paraId="00000008" w14:textId="77777777" w:rsidR="00A6716F" w:rsidRDefault="00D951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Controladores y Vistas de la Interfaz:</w:t>
      </w:r>
      <w:r>
        <w:t xml:space="preserve"> Agregar únicamente las n</w:t>
      </w:r>
      <w:r>
        <w:t>uevas pantallas (vistas) y rutas de control necesarias para que el usuario pueda interactuar con el formulario de PQRS.</w:t>
      </w:r>
    </w:p>
    <w:p w14:paraId="00000009" w14:textId="77777777" w:rsidR="00A6716F" w:rsidRDefault="00D951C5">
      <w:pPr>
        <w:pStyle w:val="Ttulo2"/>
      </w:pPr>
      <w:r>
        <w:t>3. ¿Qué componentes pueden reutilizarse?</w:t>
      </w:r>
    </w:p>
    <w:p w14:paraId="0000000A" w14:textId="77777777" w:rsidR="00A6716F" w:rsidRDefault="00D951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Autenticación y Seguridad:</w:t>
      </w:r>
      <w:r>
        <w:t xml:space="preserve"> Reutilizable al 100%. Mantiene el control de acceso, inicio de sesió</w:t>
      </w:r>
      <w:r>
        <w:t>n y validación de roles sin requerir modificaciones.</w:t>
      </w:r>
    </w:p>
    <w:p w14:paraId="0000000B" w14:textId="77777777" w:rsidR="00A6716F" w:rsidRDefault="00D951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Gestión de Usuarios:</w:t>
      </w:r>
      <w:r>
        <w:t xml:space="preserve"> Reutilizable al 100%. Proporciona la información del estudiante o funcionario que radica la PQRS.</w:t>
      </w:r>
    </w:p>
    <w:p w14:paraId="0000000C" w14:textId="77777777" w:rsidR="00A6716F" w:rsidRDefault="00D951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Historial y Auditoría:</w:t>
      </w:r>
      <w:r>
        <w:t xml:space="preserve"> Reutilizable al 100%. Sirve para registrar la trazabilidad de</w:t>
      </w:r>
      <w:r>
        <w:t xml:space="preserve"> estados y respuestas de las PQRS exactamente igual que con las solicitudes académicas.</w:t>
      </w:r>
    </w:p>
    <w:p w14:paraId="0000000D" w14:textId="77777777" w:rsidR="00A6716F" w:rsidRDefault="00D951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Persistencia de Datos:</w:t>
      </w:r>
      <w:r>
        <w:t xml:space="preserve"> Reutilizable al 100%. El repositorio genérico se usa para realizar las operaciones CRUD en las nuevas tablas de la base de datos sin cambiar su c</w:t>
      </w:r>
      <w:r>
        <w:t>ódigo base.</w:t>
      </w:r>
    </w:p>
    <w:p w14:paraId="0000000E" w14:textId="77777777" w:rsidR="00A6716F" w:rsidRDefault="00D951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lastRenderedPageBreak/>
        <w:t>Reportes y Estadísticas:</w:t>
      </w:r>
      <w:r>
        <w:t xml:space="preserve"> Reutilizable en su estructura base para incluir la consolidación de métricas de PQRS.</w:t>
      </w:r>
    </w:p>
    <w:p w14:paraId="0000000F" w14:textId="77777777" w:rsidR="00A6716F" w:rsidRDefault="00D951C5">
      <w:pPr>
        <w:pStyle w:val="Ttulo2"/>
      </w:pPr>
      <w:r>
        <w:t>4. ¿La arquitectura propuesta soporta fácilmente este cambio?</w:t>
      </w:r>
    </w:p>
    <w:p w14:paraId="00000010" w14:textId="77777777" w:rsidR="00A6716F" w:rsidRDefault="00D951C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</w:pPr>
      <w:r>
        <w:rPr>
          <w:b/>
          <w:bCs/>
        </w:rPr>
        <w:t>Sí, totalmente.</w:t>
      </w:r>
      <w:r>
        <w:t xml:space="preserve"> Al estar basada en una arquitectura en capas con el patrón MVC y módulos desacoplados mediante interfaces, la inclusión de un nuevo módulo (PQRS) se realiza mediante un proceso de </w:t>
      </w:r>
      <w:r>
        <w:rPr>
          <w:b/>
          <w:bCs/>
        </w:rPr>
        <w:t>extensión modular</w:t>
      </w:r>
      <w:r>
        <w:t>. La estructura no se quiebra ni requiere reestructurar lo</w:t>
      </w:r>
      <w:r>
        <w:t>s componentes existentes.</w:t>
      </w:r>
    </w:p>
    <w:p w14:paraId="00000011" w14:textId="77777777" w:rsidR="00A6716F" w:rsidRDefault="00D951C5">
      <w:pPr>
        <w:pStyle w:val="Ttulo2"/>
        <w:spacing w:before="0"/>
      </w:pPr>
      <w:r>
        <w:t>5. ¿Se está cumpliendo el principio Open/</w:t>
      </w:r>
      <w:proofErr w:type="spellStart"/>
      <w:r>
        <w:t>Closed</w:t>
      </w:r>
      <w:proofErr w:type="spellEnd"/>
      <w:r>
        <w:t xml:space="preserve"> (Abierto/Cerrado)?</w:t>
      </w:r>
    </w:p>
    <w:p w14:paraId="00000012" w14:textId="77777777" w:rsidR="00A6716F" w:rsidRDefault="00D951C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</w:pPr>
      <w:r w:rsidRPr="00D951C5">
        <w:t>Sí, se cumple estrictamente</w:t>
      </w:r>
      <w:r>
        <w:rPr>
          <w:b/>
          <w:bCs/>
        </w:rPr>
        <w:t>.</w:t>
      </w:r>
      <w:r>
        <w:t xml:space="preserve"> El principio Open/</w:t>
      </w:r>
      <w:proofErr w:type="spellStart"/>
      <w:r>
        <w:t>Closed</w:t>
      </w:r>
      <w:proofErr w:type="spellEnd"/>
      <w:r>
        <w:t xml:space="preserve"> establece que las entidades de software deben estar </w:t>
      </w:r>
      <w:r>
        <w:rPr>
          <w:i/>
          <w:iCs/>
        </w:rPr>
        <w:t xml:space="preserve">abiertas a la </w:t>
      </w:r>
      <w:proofErr w:type="gramStart"/>
      <w:r>
        <w:rPr>
          <w:i/>
          <w:iCs/>
        </w:rPr>
        <w:t>extensión</w:t>
      </w:r>
      <w:proofErr w:type="gramEnd"/>
      <w:r>
        <w:rPr>
          <w:i/>
          <w:iCs/>
        </w:rPr>
        <w:t xml:space="preserve"> pero cerradas a la modificación</w:t>
      </w:r>
      <w:r>
        <w:t xml:space="preserve">. </w:t>
      </w:r>
      <w:r>
        <w:t xml:space="preserve">Para agregar PQRS y notificaciones por correo, se </w:t>
      </w:r>
      <w:r w:rsidRPr="00D951C5">
        <w:t>extiende</w:t>
      </w:r>
      <w:r>
        <w:t xml:space="preserve"> el sistema agregando nuevas clases y módulos que implementan las interfaces existentes (</w:t>
      </w:r>
      <w:proofErr w:type="spellStart"/>
      <w:r>
        <w:t>INotificationService</w:t>
      </w:r>
      <w:proofErr w:type="spellEnd"/>
      <w:r>
        <w:t xml:space="preserve">, </w:t>
      </w:r>
      <w:proofErr w:type="spellStart"/>
      <w:r>
        <w:t>IRepository</w:t>
      </w:r>
      <w:proofErr w:type="spellEnd"/>
      <w:r>
        <w:t xml:space="preserve">), sin necesidad de </w:t>
      </w:r>
      <w:r w:rsidRPr="00D951C5">
        <w:t>modificar</w:t>
      </w:r>
      <w:r>
        <w:t xml:space="preserve"> ni alterar el código fuente funcional de los m</w:t>
      </w:r>
      <w:r>
        <w:t>ódulos ya desarrollados (Autenticación, Registro o Solicitudes Académicas).</w:t>
      </w:r>
    </w:p>
    <w:p w14:paraId="00000013" w14:textId="77777777" w:rsidR="00A6716F" w:rsidRDefault="00D951C5">
      <w:pPr>
        <w:pStyle w:val="Ttulo2"/>
        <w:spacing w:before="0"/>
      </w:pPr>
      <w:r>
        <w:t>6. ¿Existe demasiado acoplamiento?</w:t>
      </w:r>
    </w:p>
    <w:p w14:paraId="00000014" w14:textId="77777777" w:rsidR="00A6716F" w:rsidRDefault="00D951C5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</w:pPr>
      <w:r w:rsidRPr="00D951C5">
        <w:t>No, no existe demasiado acoplamiento; el acoplamiento es bajo</w:t>
      </w:r>
      <w:r>
        <w:rPr>
          <w:b/>
          <w:bCs/>
        </w:rPr>
        <w:t>.</w:t>
      </w:r>
      <w:r>
        <w:t xml:space="preserve"> Cada componente interactúa a través de interfaces y eventos. El módulo de PQRS o e</w:t>
      </w:r>
      <w:r>
        <w:t>l de Solicitudes simplemente notifican que ocurrió un evento ("PQRS Radicada" o "Solicitud Creada") y el componente de Notificaciones lo procesa de manera independiente sin que los módulos principales conozcan los detalles técnicos del envío del correo.</w:t>
      </w:r>
    </w:p>
    <w:p w14:paraId="00000015" w14:textId="77777777" w:rsidR="00A6716F" w:rsidRDefault="00D951C5">
      <w:pPr>
        <w:pStyle w:val="Ttulo2"/>
        <w:spacing w:before="0"/>
      </w:pPr>
      <w:r>
        <w:t>7.</w:t>
      </w:r>
      <w:r>
        <w:t xml:space="preserve"> ¿Cómo modificarían el diagrama de arquitectura?</w:t>
      </w:r>
    </w:p>
    <w:p w14:paraId="00000016" w14:textId="77777777" w:rsidR="00A6716F" w:rsidRDefault="00D9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 la Capa de Lógica de Negocio / Módulos:</w:t>
      </w:r>
      <w:r>
        <w:t xml:space="preserve"> Se añade un bloque paralelo a </w:t>
      </w:r>
      <w:r>
        <w:rPr>
          <w:i/>
          <w:iCs/>
        </w:rPr>
        <w:t>Solicitudes Académicas</w:t>
      </w:r>
      <w:r>
        <w:t xml:space="preserve"> denominado </w:t>
      </w:r>
      <w:r>
        <w:rPr>
          <w:b/>
          <w:bCs/>
        </w:rPr>
        <w:t>Módulo de PQRS</w:t>
      </w:r>
      <w:r>
        <w:t>.</w:t>
      </w:r>
    </w:p>
    <w:p w14:paraId="00000017" w14:textId="77777777" w:rsidR="00A6716F" w:rsidRDefault="00D9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 el Módulo de Notificaciones:</w:t>
      </w:r>
      <w:r>
        <w:t xml:space="preserve"> Se añade una </w:t>
      </w:r>
      <w:proofErr w:type="spellStart"/>
      <w:r>
        <w:t>sub-capa</w:t>
      </w:r>
      <w:proofErr w:type="spellEnd"/>
      <w:r>
        <w:t xml:space="preserve"> o adaptador para el </w:t>
      </w:r>
      <w:r>
        <w:rPr>
          <w:b/>
          <w:bCs/>
        </w:rPr>
        <w:t>Servicio d</w:t>
      </w:r>
      <w:r>
        <w:rPr>
          <w:b/>
          <w:bCs/>
        </w:rPr>
        <w:t xml:space="preserve">e Correo (SMTP / Email 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>)</w:t>
      </w:r>
      <w:r>
        <w:t>.</w:t>
      </w:r>
    </w:p>
    <w:p w14:paraId="00000018" w14:textId="77777777" w:rsidR="00A6716F" w:rsidRDefault="00D9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 la Capa de Presentación (Vistas/Controladores):</w:t>
      </w:r>
      <w:r>
        <w:t xml:space="preserve"> Se agrega el controlador </w:t>
      </w:r>
      <w:proofErr w:type="spellStart"/>
      <w:r>
        <w:t>PQRSController</w:t>
      </w:r>
      <w:proofErr w:type="spellEnd"/>
      <w:r>
        <w:t xml:space="preserve"> y sus respectivas vistas asociadas (</w:t>
      </w:r>
      <w:proofErr w:type="spellStart"/>
      <w:r>
        <w:t>CrearPQRS</w:t>
      </w:r>
      <w:proofErr w:type="spellEnd"/>
      <w:r>
        <w:t xml:space="preserve">, </w:t>
      </w:r>
      <w:proofErr w:type="spellStart"/>
      <w:r>
        <w:t>ConsultarPQRS</w:t>
      </w:r>
      <w:proofErr w:type="spellEnd"/>
      <w:r>
        <w:t>).</w:t>
      </w:r>
    </w:p>
    <w:p w14:paraId="00000019" w14:textId="77777777" w:rsidR="00A6716F" w:rsidRDefault="00D9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b/>
          <w:bCs/>
        </w:rPr>
        <w:t>En la Base de Datos:</w:t>
      </w:r>
      <w:r>
        <w:t xml:space="preserve"> Se conectan las nuevas entidades relacionales (PQRS, </w:t>
      </w:r>
      <w:proofErr w:type="spellStart"/>
      <w:r>
        <w:t>TipoPQRS</w:t>
      </w:r>
      <w:proofErr w:type="spellEnd"/>
      <w:r>
        <w:t xml:space="preserve">, </w:t>
      </w:r>
      <w:proofErr w:type="spellStart"/>
      <w:r>
        <w:t>RespuestaPQRS</w:t>
      </w:r>
      <w:proofErr w:type="spellEnd"/>
      <w:r>
        <w:t>) a la capa de Persistencia existente.</w:t>
      </w:r>
    </w:p>
    <w:sectPr w:rsidR="00A6716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C8A36CF-7680-45CE-B18F-77D8976D1E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316796-324C-40CE-AFA4-42A381004E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9F1C75-71AA-43FC-B47D-85E317EAC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44AD"/>
    <w:multiLevelType w:val="multilevel"/>
    <w:tmpl w:val="E13C7E72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2D409B"/>
    <w:multiLevelType w:val="multilevel"/>
    <w:tmpl w:val="6E4E0942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EA661D"/>
    <w:multiLevelType w:val="multilevel"/>
    <w:tmpl w:val="87C886BE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3E3C3A"/>
    <w:multiLevelType w:val="multilevel"/>
    <w:tmpl w:val="658416CC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16F"/>
    <w:rsid w:val="00A6716F"/>
    <w:rsid w:val="00D9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D463A7-6226-4499-8028-B9199220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611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jabervargas1726@gmail.com</cp:lastModifiedBy>
  <cp:revision>2</cp:revision>
  <dcterms:created xsi:type="dcterms:W3CDTF">2026-09-04T22:46:00Z</dcterms:created>
  <dcterms:modified xsi:type="dcterms:W3CDTF">2026-09-04T22:47:00Z</dcterms:modified>
</cp:coreProperties>
</file>