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Requisitos: Agente de IA para Gestión de Inventario</w:t>
      </w:r>
    </w:p>
    <w:p>
      <w:pPr>
        <w:pStyle w:val="Heading1"/>
      </w:pPr>
      <w:r>
        <w:t>1. Descripción del Problema</w:t>
      </w:r>
    </w:p>
    <w:p>
      <w:r>
        <w:t>En Imperio Motos SAS, el manejo del inventario de cascos, repuestos y accesorios para motocicletas presenta inconsistencias significativas debido a la multiplicidad de proveedores. Un mismo producto físico suele registrarse múltiples veces con nombres, códigos o descripciones diferentes según el origen del pedido. Por ejemplo, un artículo puede aparecer simultáneamente como “Manilar rojo”, “Grip rojo” o “Manilares rojos”, lo que lleva al sistema a tratarlos como productos distintos, generando duplicidad de SKUs y desórdenes en el stock real.</w:t>
      </w:r>
    </w:p>
    <w:p>
      <w:r>
        <w:t>Para solucionar esta problemática sin interrumpir las operaciones de ventas diurnas, se propone la implementación de un agente de IA estructurado en un entorno agéntico. Esta solución tecnológica está diseñada para integrarse estratégicamente con la metodología de inventario cíclico ejecutada durante las jornadas nocturnas. El agente tendrá la capacidad de analizar autónomamente los registros de la base de datos, comparar características detalladas (nombres, categorías, códigos de barras y proveedores) y calcular niveles de similitud semántica. A partir de este razonamiento, el sistema emitirá reportes con posibles duplicados para la validación humana final. De este modo, la IA no solo extrae información, sino que actúa como una herramienta activa que apoya la depuración eficiente del catálogo de la empresa.</w:t>
      </w:r>
    </w:p>
    <w:p>
      <w:pPr>
        <w:pStyle w:val="Heading1"/>
      </w:pPr>
      <w:r>
        <w:t>2. Matriz de Requisitos Funcionales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ID</w:t>
            </w:r>
          </w:p>
        </w:tc>
        <w:tc>
          <w:tcPr>
            <w:tcW w:type="dxa" w:w="2160"/>
            <w:shd w:val="clear" w:color="auto" w:fill="D9D9D9"/>
          </w:tcPr>
          <w:p>
            <w:r>
              <w:rPr>
                <w:b/>
              </w:rPr>
              <w:t>Nombre</w:t>
            </w:r>
          </w:p>
        </w:tc>
        <w:tc>
          <w:tcPr>
            <w:tcW w:type="dxa" w:w="2160"/>
            <w:shd w:val="clear" w:color="auto" w:fill="D9D9D9"/>
          </w:tcPr>
          <w:p>
            <w:r>
              <w:rPr>
                <w:b/>
              </w:rPr>
              <w:t>Descripción</w:t>
            </w:r>
          </w:p>
        </w:tc>
        <w:tc>
          <w:tcPr>
            <w:tcW w:type="dxa" w:w="2160"/>
            <w:shd w:val="clear" w:color="auto" w:fill="D9D9D9"/>
          </w:tcPr>
          <w:p>
            <w:r>
              <w:rPr>
                <w:b/>
              </w:rPr>
              <w:t>Prioridad</w:t>
            </w:r>
          </w:p>
        </w:tc>
      </w:tr>
      <w:tr>
        <w:tc>
          <w:tcPr>
            <w:tcW w:type="dxa" w:w="2160"/>
          </w:tcPr>
          <w:p>
            <w:r>
              <w:t>RF-01</w:t>
            </w:r>
          </w:p>
        </w:tc>
        <w:tc>
          <w:tcPr>
            <w:tcW w:type="dxa" w:w="2160"/>
          </w:tcPr>
          <w:p>
            <w:r>
              <w:t>Extracción de Datos del Inventario</w:t>
            </w:r>
          </w:p>
        </w:tc>
        <w:tc>
          <w:tcPr>
            <w:tcW w:type="dxa" w:w="2160"/>
          </w:tcPr>
          <w:p>
            <w:r>
              <w:t>El agente debe conectarse a la base de datos para extraer y leer los registros actuales del catálogo, incluyendo descripciones y metadatos del proveedor.</w:t>
            </w:r>
          </w:p>
        </w:tc>
        <w:tc>
          <w:tcPr>
            <w:tcW w:type="dxa" w:w="2160"/>
          </w:tcPr>
          <w:p>
            <w:r>
              <w:t>Alta</w:t>
            </w:r>
          </w:p>
        </w:tc>
      </w:tr>
      <w:tr>
        <w:tc>
          <w:tcPr>
            <w:tcW w:type="dxa" w:w="2160"/>
          </w:tcPr>
          <w:p>
            <w:r>
              <w:t>RF-02</w:t>
            </w:r>
          </w:p>
        </w:tc>
        <w:tc>
          <w:tcPr>
            <w:tcW w:type="dxa" w:w="2160"/>
          </w:tcPr>
          <w:p>
            <w:r>
              <w:t>Análisis NLP y Similitud Semántica</w:t>
            </w:r>
          </w:p>
        </w:tc>
        <w:tc>
          <w:tcPr>
            <w:tcW w:type="dxa" w:w="2160"/>
          </w:tcPr>
          <w:p>
            <w:r>
              <w:t>El sistema debe procesar nombres y descripciones utilizando Procesamiento de Lenguaje Natural (NLP) para identificar coincidencias conceptuales (ej. “Grip” vs “Manilar”).</w:t>
            </w:r>
          </w:p>
        </w:tc>
        <w:tc>
          <w:tcPr>
            <w:tcW w:type="dxa" w:w="2160"/>
          </w:tcPr>
          <w:p>
            <w:r>
              <w:t>Alta</w:t>
            </w:r>
          </w:p>
        </w:tc>
      </w:tr>
      <w:tr>
        <w:tc>
          <w:tcPr>
            <w:tcW w:type="dxa" w:w="2160"/>
          </w:tcPr>
          <w:p>
            <w:r>
              <w:t>RF-03</w:t>
            </w:r>
          </w:p>
        </w:tc>
        <w:tc>
          <w:tcPr>
            <w:tcW w:type="dxa" w:w="2160"/>
          </w:tcPr>
          <w:p>
            <w:r>
              <w:t>Evaluación Multidimensional</w:t>
            </w:r>
          </w:p>
        </w:tc>
        <w:tc>
          <w:tcPr>
            <w:tcW w:type="dxa" w:w="2160"/>
          </w:tcPr>
          <w:p>
            <w:r>
              <w:t>El agente debe cruzar información adicional como categorías, códigos alfanuméricos y marcas para aumentar la precisión de las coincidencias detectadas.</w:t>
            </w:r>
          </w:p>
        </w:tc>
        <w:tc>
          <w:tcPr>
            <w:tcW w:type="dxa" w:w="2160"/>
          </w:tcPr>
          <w:p>
            <w:r>
              <w:t>Alta</w:t>
            </w:r>
          </w:p>
        </w:tc>
      </w:tr>
      <w:tr>
        <w:tc>
          <w:tcPr>
            <w:tcW w:type="dxa" w:w="2160"/>
          </w:tcPr>
          <w:p>
            <w:r>
              <w:t>RF-04</w:t>
            </w:r>
          </w:p>
        </w:tc>
        <w:tc>
          <w:tcPr>
            <w:tcW w:type="dxa" w:w="2160"/>
          </w:tcPr>
          <w:p>
            <w:r>
              <w:t>Clasificación por Nivel de Confianza</w:t>
            </w:r>
          </w:p>
        </w:tc>
        <w:tc>
          <w:tcPr>
            <w:tcW w:type="dxa" w:w="2160"/>
          </w:tcPr>
          <w:p>
            <w:r>
              <w:t>El algoritmo debe etiquetar las agrupaciones de posibles duplicados con un porcentaje de similitud o nivel de confianza (Alto, Medio, Bajo).</w:t>
            </w:r>
          </w:p>
        </w:tc>
        <w:tc>
          <w:tcPr>
            <w:tcW w:type="dxa" w:w="2160"/>
          </w:tcPr>
          <w:p>
            <w:r>
              <w:t>Alta</w:t>
            </w:r>
          </w:p>
        </w:tc>
      </w:tr>
      <w:tr>
        <w:tc>
          <w:tcPr>
            <w:tcW w:type="dxa" w:w="2160"/>
          </w:tcPr>
          <w:p>
            <w:r>
              <w:t>RF-05</w:t>
            </w:r>
          </w:p>
        </w:tc>
        <w:tc>
          <w:tcPr>
            <w:tcW w:type="dxa" w:w="2160"/>
          </w:tcPr>
          <w:p>
            <w:r>
              <w:t>Generación de Reportes para Inventario Cíclico</w:t>
            </w:r>
          </w:p>
        </w:tc>
        <w:tc>
          <w:tcPr>
            <w:tcW w:type="dxa" w:w="2160"/>
          </w:tcPr>
          <w:p>
            <w:r>
              <w:t>El agente debe consolidar los hallazgos en un reporte estructurado y exportable, preparado para ser utilizado en las validaciones físicas de la jornada nocturna.</w:t>
            </w:r>
          </w:p>
        </w:tc>
        <w:tc>
          <w:tcPr>
            <w:tcW w:type="dxa" w:w="2160"/>
          </w:tcPr>
          <w:p>
            <w:r>
              <w:t>Alta</w:t>
            </w:r>
          </w:p>
        </w:tc>
      </w:tr>
      <w:tr>
        <w:tc>
          <w:tcPr>
            <w:tcW w:type="dxa" w:w="2160"/>
          </w:tcPr>
          <w:p>
            <w:r>
              <w:t>RF-06</w:t>
            </w:r>
          </w:p>
        </w:tc>
        <w:tc>
          <w:tcPr>
            <w:tcW w:type="dxa" w:w="2160"/>
          </w:tcPr>
          <w:p>
            <w:r>
              <w:t>Interfaz de Resolución (Human-in-the-Loop)</w:t>
            </w:r>
          </w:p>
        </w:tc>
        <w:tc>
          <w:tcPr>
            <w:tcW w:type="dxa" w:w="2160"/>
          </w:tcPr>
          <w:p>
            <w:r>
              <w:t>Proveer una vista o panel donde el personal autorizado pueda aprobar (fusionar SKUs) o rechazar los duplicados sugeridos por el agente.</w:t>
            </w:r>
          </w:p>
        </w:tc>
        <w:tc>
          <w:tcPr>
            <w:tcW w:type="dxa" w:w="2160"/>
          </w:tcPr>
          <w:p>
            <w:r>
              <w:t>Media</w:t>
            </w:r>
          </w:p>
        </w:tc>
      </w:tr>
      <w:tr>
        <w:tc>
          <w:tcPr>
            <w:tcW w:type="dxa" w:w="2160"/>
          </w:tcPr>
          <w:p>
            <w:r>
              <w:t>RF-07</w:t>
            </w:r>
          </w:p>
        </w:tc>
        <w:tc>
          <w:tcPr>
            <w:tcW w:type="dxa" w:w="2160"/>
          </w:tcPr>
          <w:p>
            <w:r>
              <w:t>Uso de Herramientas Agénticas</w:t>
            </w:r>
          </w:p>
        </w:tc>
        <w:tc>
          <w:tcPr>
            <w:tcW w:type="dxa" w:w="2160"/>
          </w:tcPr>
          <w:p>
            <w:r>
              <w:t>El agente debe tener la capacidad de invocar scripts y herramientas de búsqueda específicas para realizar consultas dinámicas cuando encuentre registros ambiguos.</w:t>
            </w:r>
          </w:p>
        </w:tc>
        <w:tc>
          <w:tcPr>
            <w:tcW w:type="dxa" w:w="2160"/>
          </w:tcPr>
          <w:p>
            <w:r>
              <w:t>Media</w:t>
            </w:r>
          </w:p>
        </w:tc>
      </w:tr>
    </w:tbl>
    <w:p/>
    <w:p>
      <w:pPr>
        <w:pStyle w:val="Heading1"/>
      </w:pPr>
      <w:r>
        <w:t>3. Matriz de Requisitos No Funcionales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ID</w:t>
            </w:r>
          </w:p>
        </w:tc>
        <w:tc>
          <w:tcPr>
            <w:tcW w:type="dxa" w:w="2160"/>
            <w:shd w:val="clear" w:color="auto" w:fill="D9D9D9"/>
          </w:tcPr>
          <w:p>
            <w:r>
              <w:rPr>
                <w:b/>
              </w:rPr>
              <w:t>Nombre</w:t>
            </w:r>
          </w:p>
        </w:tc>
        <w:tc>
          <w:tcPr>
            <w:tcW w:type="dxa" w:w="2160"/>
            <w:shd w:val="clear" w:color="auto" w:fill="D9D9D9"/>
          </w:tcPr>
          <w:p>
            <w:r>
              <w:rPr>
                <w:b/>
              </w:rPr>
              <w:t>Descripción</w:t>
            </w:r>
          </w:p>
        </w:tc>
        <w:tc>
          <w:tcPr>
            <w:tcW w:type="dxa" w:w="2160"/>
            <w:shd w:val="clear" w:color="auto" w:fill="D9D9D9"/>
          </w:tcPr>
          <w:p>
            <w:r>
              <w:rPr>
                <w:b/>
              </w:rPr>
              <w:t>Tipo</w:t>
            </w:r>
          </w:p>
        </w:tc>
      </w:tr>
      <w:tr>
        <w:tc>
          <w:tcPr>
            <w:tcW w:type="dxa" w:w="2160"/>
          </w:tcPr>
          <w:p>
            <w:r>
              <w:t>RNF-01</w:t>
            </w:r>
          </w:p>
        </w:tc>
        <w:tc>
          <w:tcPr>
            <w:tcW w:type="dxa" w:w="2160"/>
          </w:tcPr>
          <w:p>
            <w:r>
              <w:t>Procesamiento en Lotes (Jornada Nocturna)</w:t>
            </w:r>
          </w:p>
        </w:tc>
        <w:tc>
          <w:tcPr>
            <w:tcW w:type="dxa" w:w="2160"/>
          </w:tcPr>
          <w:p>
            <w:r>
              <w:t>El análisis masivo debe ejecutarse en segundo plano (batch), preferiblemente optimizado para el turno de noche, asegurando que no se bloqueen las tablas de la base de datos durante el horario comercial diurno.</w:t>
            </w:r>
          </w:p>
        </w:tc>
        <w:tc>
          <w:tcPr>
            <w:tcW w:type="dxa" w:w="2160"/>
          </w:tcPr>
          <w:p>
            <w:r>
              <w:t>Rendimiento</w:t>
            </w:r>
          </w:p>
        </w:tc>
      </w:tr>
      <w:tr>
        <w:tc>
          <w:tcPr>
            <w:tcW w:type="dxa" w:w="2160"/>
          </w:tcPr>
          <w:p>
            <w:r>
              <w:t>RNF-02</w:t>
            </w:r>
          </w:p>
        </w:tc>
        <w:tc>
          <w:tcPr>
            <w:tcW w:type="dxa" w:w="2160"/>
          </w:tcPr>
          <w:p>
            <w:r>
              <w:t>Precisión de Detección</w:t>
            </w:r>
          </w:p>
        </w:tc>
        <w:tc>
          <w:tcPr>
            <w:tcW w:type="dxa" w:w="2160"/>
          </w:tcPr>
          <w:p>
            <w:r>
              <w:t>El modelo debe estar calibrado para minimizar los falsos positivos (inferior al 5%), evitando agrupar repuestos que, aunque tengan nombres similares, pertenezcan a modelos de motocicletas distintos.</w:t>
            </w:r>
          </w:p>
        </w:tc>
        <w:tc>
          <w:tcPr>
            <w:tcW w:type="dxa" w:w="2160"/>
          </w:tcPr>
          <w:p>
            <w:r>
              <w:t>Precisión</w:t>
            </w:r>
          </w:p>
        </w:tc>
      </w:tr>
      <w:tr>
        <w:tc>
          <w:tcPr>
            <w:tcW w:type="dxa" w:w="2160"/>
          </w:tcPr>
          <w:p>
            <w:r>
              <w:t>RNF-03</w:t>
            </w:r>
          </w:p>
        </w:tc>
        <w:tc>
          <w:tcPr>
            <w:tcW w:type="dxa" w:w="2160"/>
          </w:tcPr>
          <w:p>
            <w:r>
              <w:t>Escalabilidad</w:t>
            </w:r>
          </w:p>
        </w:tc>
        <w:tc>
          <w:tcPr>
            <w:tcW w:type="dxa" w:w="2160"/>
          </w:tcPr>
          <w:p>
            <w:r>
              <w:t>El entorno debe estar preparado para escalar horizontalmente, soportando la integración de nuevos proveedores y el crecimiento continuo del catálogo de Imperio Motos SAS.</w:t>
            </w:r>
          </w:p>
        </w:tc>
        <w:tc>
          <w:tcPr>
            <w:tcW w:type="dxa" w:w="2160"/>
          </w:tcPr>
          <w:p>
            <w:r>
              <w:t>Escalabilidad</w:t>
            </w:r>
          </w:p>
        </w:tc>
      </w:tr>
      <w:tr>
        <w:tc>
          <w:tcPr>
            <w:tcW w:type="dxa" w:w="2160"/>
          </w:tcPr>
          <w:p>
            <w:r>
              <w:t>RNF-04</w:t>
            </w:r>
          </w:p>
        </w:tc>
        <w:tc>
          <w:tcPr>
            <w:tcW w:type="dxa" w:w="2160"/>
          </w:tcPr>
          <w:p>
            <w:r>
              <w:t>Privilegios de Acceso Seguros</w:t>
            </w:r>
          </w:p>
        </w:tc>
        <w:tc>
          <w:tcPr>
            <w:tcW w:type="dxa" w:w="2160"/>
          </w:tcPr>
          <w:p>
            <w:r>
              <w:t>El agente autónomo debe operar estrictamente bajo permisos de solo lectura (Read-Only) en la base de datos principal. Las escrituras (fusiones de SKUs) solo se realizarán tras la validación de un usuario autenticado.</w:t>
            </w:r>
          </w:p>
        </w:tc>
        <w:tc>
          <w:tcPr>
            <w:tcW w:type="dxa" w:w="2160"/>
          </w:tcPr>
          <w:p>
            <w:r>
              <w:t>Seguridad</w:t>
            </w:r>
          </w:p>
        </w:tc>
      </w:tr>
      <w:tr>
        <w:tc>
          <w:tcPr>
            <w:tcW w:type="dxa" w:w="2160"/>
          </w:tcPr>
          <w:p>
            <w:r>
              <w:t>RNF-05</w:t>
            </w:r>
          </w:p>
        </w:tc>
        <w:tc>
          <w:tcPr>
            <w:tcW w:type="dxa" w:w="2160"/>
          </w:tcPr>
          <w:p>
            <w:r>
              <w:t>Trazabilidad y Auditoría</w:t>
            </w:r>
          </w:p>
        </w:tc>
        <w:tc>
          <w:tcPr>
            <w:tcW w:type="dxa" w:w="2160"/>
          </w:tcPr>
          <w:p>
            <w:r>
              <w:t>Todas las inferencias del agente, herramientas consultadas y acciones de los usuarios deben quedar documentadas en un log de eventos para auditorías de inventario.</w:t>
            </w:r>
          </w:p>
        </w:tc>
        <w:tc>
          <w:tcPr>
            <w:tcW w:type="dxa" w:w="2160"/>
          </w:tcPr>
          <w:p>
            <w:r>
              <w:t>Operatividad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