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E1603">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File:M.2 and mSATA SSDs comparison.jpg" w:history="1">
        <w:r>
          <w:rPr>
            <w:rStyle w:val="Hyperlink"/>
          </w:rPr>
          <w:t xml:space="preserve">thumb|upright=1.4|right|A size comparison of an mSATA </w:t>
        </w:r>
      </w:hyperlink>
      <w:hyperlink r:id="rId7" w:tooltip="Solid-state drive" w:history="1">
        <w:r>
          <w:rPr>
            <w:rStyle w:val="Hyperlink"/>
          </w:rPr>
          <w:t>SSD</w:t>
        </w:r>
      </w:hyperlink>
      <w:r>
        <w:t xml:space="preserve"> (left) and an M.2 2242 SSD (ri</w:t>
      </w:r>
      <w:r>
        <w:t xml:space="preserve">ght) </w:t>
      </w:r>
    </w:p>
    <w:p w:rsidR="00000000" w:rsidRDefault="004E1603">
      <w:pPr>
        <w:pStyle w:val="NormalWeb"/>
      </w:pPr>
      <w:r>
        <w:rPr>
          <w:b/>
          <w:bCs/>
        </w:rPr>
        <w:t>M.2</w:t>
      </w:r>
      <w:r>
        <w:t xml:space="preserve">, formerly known as the </w:t>
      </w:r>
      <w:r>
        <w:rPr>
          <w:b/>
          <w:bCs/>
        </w:rPr>
        <w:t>Next Generation Form Factor</w:t>
      </w:r>
      <w:r>
        <w:t xml:space="preserve"> (</w:t>
      </w:r>
      <w:r>
        <w:rPr>
          <w:b/>
          <w:bCs/>
        </w:rPr>
        <w:t>NGFF</w:t>
      </w:r>
      <w:r>
        <w:t xml:space="preserve">), is a specification for internally mounted computer </w:t>
      </w:r>
      <w:hyperlink r:id="rId8" w:tooltip="Expansion card" w:history="1">
        <w:r>
          <w:rPr>
            <w:rStyle w:val="Hyperlink"/>
          </w:rPr>
          <w:t>expansion cards</w:t>
        </w:r>
      </w:hyperlink>
      <w:r>
        <w:t xml:space="preserve"> and associated connectors. It replaces the </w:t>
      </w:r>
      <w:hyperlink r:id="rId9" w:tooltip="MSATA" w:history="1">
        <w:r>
          <w:rPr>
            <w:rStyle w:val="Hyperlink"/>
          </w:rPr>
          <w:t>mSATA</w:t>
        </w:r>
      </w:hyperlink>
      <w:r>
        <w:t xml:space="preserve"> standard, which uses the </w:t>
      </w:r>
      <w:hyperlink r:id="rId10" w:tooltip="PCI Express Mini Card" w:history="1">
        <w:r>
          <w:rPr>
            <w:rStyle w:val="Hyperlink"/>
          </w:rPr>
          <w:t>PCI Express Mini Card</w:t>
        </w:r>
      </w:hyperlink>
      <w:r>
        <w:t xml:space="preserve"> physical card layout and connectors. M.2's more flexible physical specification allows different module widths an</w:t>
      </w:r>
      <w:r>
        <w:t xml:space="preserve">d lengths, and, paired with the availability of more advanced </w:t>
      </w:r>
      <w:hyperlink r:id="rId11" w:tooltip="Interface (computing)" w:history="1">
        <w:r>
          <w:rPr>
            <w:rStyle w:val="Hyperlink"/>
          </w:rPr>
          <w:t>interfacing</w:t>
        </w:r>
      </w:hyperlink>
      <w:r>
        <w:t xml:space="preserve"> features, makes the M.2 more suitable than mSATA for </w:t>
      </w:r>
      <w:hyperlink r:id="rId12" w:tooltip="Solid-state storage" w:history="1">
        <w:r>
          <w:rPr>
            <w:rStyle w:val="Hyperlink"/>
          </w:rPr>
          <w:t>solid-state storage</w:t>
        </w:r>
      </w:hyperlink>
      <w:r>
        <w:t xml:space="preserve"> applications in general and particularly for the use in small devices such as </w:t>
      </w:r>
      <w:hyperlink r:id="rId13" w:tooltip="Ultrabook" w:history="1">
        <w:r>
          <w:rPr>
            <w:rStyle w:val="Hyperlink"/>
          </w:rPr>
          <w:t>ultrabooks</w:t>
        </w:r>
      </w:hyperlink>
      <w:r>
        <w:t xml:space="preserve"> or </w:t>
      </w:r>
      <w:hyperlink r:id="rId14" w:tooltip="Tablet computer" w:history="1">
        <w:r>
          <w:rPr>
            <w:rStyle w:val="Hyperlink"/>
          </w:rPr>
          <w:t>tablets</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hyperlink r:id="rId15" w:tooltip="Computer bus" w:history="1">
        <w:r>
          <w:rPr>
            <w:rStyle w:val="Hyperlink"/>
          </w:rPr>
          <w:t>Computer bus</w:t>
        </w:r>
      </w:hyperlink>
      <w:r>
        <w:t xml:space="preserve"> interfaces provided through the M.2 connector are </w:t>
      </w:r>
      <w:hyperlink r:id="rId16" w:tooltip="PCI Express 3.0" w:history="1">
        <w:r>
          <w:rPr>
            <w:rStyle w:val="Hyperlink"/>
          </w:rPr>
          <w:t>PCI Express 3.0</w:t>
        </w:r>
      </w:hyperlink>
      <w:r>
        <w:t xml:space="preserve"> (up to four </w:t>
      </w:r>
      <w:hyperlink r:id="rId17" w:tooltip="PCI Express lane" w:history="1">
        <w:r>
          <w:rPr>
            <w:rStyle w:val="Hyperlink"/>
          </w:rPr>
          <w:t>lanes</w:t>
        </w:r>
      </w:hyperlink>
      <w:r>
        <w:t xml:space="preserve">), </w:t>
      </w:r>
      <w:hyperlink r:id="rId18" w:tooltip="Serial ATA 3.0" w:history="1">
        <w:r>
          <w:rPr>
            <w:rStyle w:val="Hyperlink"/>
          </w:rPr>
          <w:t>Serial ATA 3.0</w:t>
        </w:r>
      </w:hyperlink>
      <w:r>
        <w:t xml:space="preserve">, and </w:t>
      </w:r>
      <w:hyperlink r:id="rId19" w:tooltip="USB 3.0" w:history="1">
        <w:r>
          <w:rPr>
            <w:rStyle w:val="Hyperlink"/>
          </w:rPr>
          <w:t>USB 3.0</w:t>
        </w:r>
      </w:hyperlink>
      <w:r>
        <w:t xml:space="preserve"> </w:t>
      </w:r>
      <w:r>
        <w:t>(a single logical port for each of the latter two). It is up to the manufacturer of the M.2 host or device to select which interfaces are to be supported, depending on the desired level of host support and device type. The M.2 connector has different keyin</w:t>
      </w:r>
      <w:r>
        <w:t>g notches that denote various purposes and capabilities of M.2 hosts and modules, preventing plugging of M.2 modules into feature-incompatible host connectors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4" w:history="1">
        <w:r>
          <w:rPr>
            <w:rStyle w:val="Hyperlink"/>
            <w:vertAlign w:val="superscript"/>
          </w:rPr>
          <w:t>[4]</w:t>
        </w:r>
      </w:hyperlink>
      <w:r>
        <w:t xml:space="preserve"> In addition to supporting legacy </w:t>
      </w:r>
      <w:hyperlink r:id="rId20" w:tooltip="Advanced Host Controller Interface" w:history="1">
        <w:r>
          <w:rPr>
            <w:rStyle w:val="Hyperlink"/>
          </w:rPr>
          <w:t>Advanced Host Controller Interface</w:t>
        </w:r>
      </w:hyperlink>
      <w:r>
        <w:t xml:space="preserve"> (AHCI) at the logical interface level, M.2 specification also supports </w:t>
      </w:r>
      <w:hyperlink r:id="rId21" w:tooltip="NVM Express" w:history="1">
        <w:r>
          <w:rPr>
            <w:rStyle w:val="Hyperlink"/>
          </w:rPr>
          <w:t>NVM Express</w:t>
        </w:r>
      </w:hyperlink>
      <w:r>
        <w:t xml:space="preserve"> (NVMe) as the logical device interface for M.2 PCI Express </w:t>
      </w:r>
      <w:hyperlink r:id="rId22" w:tooltip="Solid-state drive" w:history="1">
        <w:r>
          <w:rPr>
            <w:rStyle w:val="Hyperlink"/>
          </w:rPr>
          <w:t>SSDs</w:t>
        </w:r>
      </w:hyperlink>
      <w:r>
        <w:t>. While the support for AHCI ensures software-level backward compatibili</w:t>
      </w:r>
      <w:r>
        <w:t xml:space="preserve">ty with legacy SATA devices and legacy </w:t>
      </w:r>
      <w:hyperlink r:id="rId23" w:tooltip="Operating system" w:history="1">
        <w:r>
          <w:rPr>
            <w:rStyle w:val="Hyperlink"/>
          </w:rPr>
          <w:t>operating systems</w:t>
        </w:r>
      </w:hyperlink>
      <w:r>
        <w:t xml:space="preserve">, NVM Express is designed to fully utilize the capability of high-speed PCI Express storage devices to perform many </w:t>
      </w:r>
      <w:hyperlink r:id="rId24" w:tooltip="I/O" w:history="1">
        <w:r>
          <w:rPr>
            <w:rStyle w:val="Hyperlink"/>
          </w:rPr>
          <w:t>I/O</w:t>
        </w:r>
      </w:hyperlink>
      <w:r>
        <w:t xml:space="preserve"> operations </w:t>
      </w:r>
      <w:hyperlink r:id="rId25" w:tooltip="Parallelism (computing)" w:history="1">
        <w:r>
          <w:rPr>
            <w:rStyle w:val="Hyperlink"/>
          </w:rPr>
          <w:t>in parallel</w:t>
        </w:r>
      </w:hyperlink>
      <w:r>
        <w:t>.</w:t>
      </w:r>
      <w:hyperlink w:anchor="cite_note-1" w:history="1">
        <w:r>
          <w:rPr>
            <w:rStyle w:val="Hyperlink"/>
            <w:vertAlign w:val="superscript"/>
          </w:rPr>
          <w:t>[1]</w:t>
        </w:r>
      </w:hyperlink>
      <w:hyperlink r:id="rId26" w:tooltip="Template:Rp" w:history="1">
        <w:r>
          <w:rPr>
            <w:rStyle w:val="Hyperlink"/>
          </w:rPr>
          <w:t>Template:Rp</w:t>
        </w:r>
      </w:hyperlink>
      <w:hyperlink w:anchor="cite_note-5" w:history="1">
        <w:r>
          <w:rPr>
            <w:rStyle w:val="Hyperlink"/>
            <w:vertAlign w:val="superscript"/>
          </w:rPr>
          <w:t>[5]</w:t>
        </w:r>
      </w:hyperlink>
      <w:r>
        <w:t xml:space="preserve"> </w:t>
      </w:r>
    </w:p>
    <w:p w:rsidR="00000000" w:rsidRDefault="004E1603">
      <w:pPr>
        <w:pStyle w:val="Heading2"/>
        <w:divId w:val="1005009430"/>
        <w:rPr>
          <w:rFonts w:eastAsia="Times New Roman"/>
        </w:rPr>
      </w:pPr>
      <w:r>
        <w:rPr>
          <w:rFonts w:eastAsia="Times New Roman"/>
        </w:rPr>
        <w:t>Cont</w:t>
      </w:r>
      <w:r>
        <w:rPr>
          <w:rFonts w:eastAsia="Times New Roman"/>
        </w:rPr>
        <w:t>ents</w:t>
      </w:r>
    </w:p>
    <w:p w:rsidR="00000000" w:rsidRDefault="004E1603">
      <w:pPr>
        <w:numPr>
          <w:ilvl w:val="0"/>
          <w:numId w:val="1"/>
        </w:numPr>
        <w:spacing w:before="100" w:beforeAutospacing="1" w:after="100" w:afterAutospacing="1"/>
        <w:divId w:val="13054300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Features" w:history="1">
        <w:r>
          <w:rPr>
            <w:rStyle w:val="Hyperlink"/>
            <w:rFonts w:eastAsia="Times New Roman"/>
          </w:rPr>
          <w:t>edit</w:t>
        </w:r>
      </w:hyperlink>
      <w:r>
        <w:rPr>
          <w:rStyle w:val="mw-editsection-bracket"/>
          <w:rFonts w:eastAsia="Times New Roman"/>
        </w:rPr>
        <w:t>]</w:t>
      </w:r>
    </w:p>
    <w:p w:rsidR="00000000" w:rsidRDefault="004E1603">
      <w:pPr>
        <w:numPr>
          <w:ilvl w:val="0"/>
          <w:numId w:val="1"/>
        </w:numPr>
        <w:spacing w:before="100" w:beforeAutospacing="1" w:after="100" w:afterAutospacing="1"/>
        <w:divId w:val="13054300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{{Anchor|FORM-FACTORS|KEYING}}Form factors and keyin</w:t>
        </w:r>
        <w:r>
          <w:rPr>
            <w:rStyle w:val="mw-headline"/>
            <w:rFonts w:eastAsia="Times New Roman"/>
            <w:color w:val="0000FF"/>
            <w:u w:val="single"/>
          </w:rPr>
          <w:t>g</w:t>
        </w:r>
        <w:r>
          <w:rPr>
            <w:rStyle w:val="mw-editsection-bracket"/>
            <w:rFonts w:eastAsia="Times New Roman"/>
            <w:color w:val="0000FF"/>
            <w:u w:val="single"/>
          </w:rPr>
          <w:t>[</w:t>
        </w:r>
      </w:hyperlink>
      <w:hyperlink r:id="rId28" w:tooltip="Edit section: {{Anchor|FORM-FACTORS|KEYING}}Form factors and keying" w:history="1">
        <w:r>
          <w:rPr>
            <w:rStyle w:val="Hyperlink"/>
            <w:rFonts w:eastAsia="Times New Roman"/>
          </w:rPr>
          <w:t>edit</w:t>
        </w:r>
      </w:hyperlink>
      <w:r>
        <w:rPr>
          <w:rStyle w:val="mw-editsection-bracket"/>
          <w:rFonts w:eastAsia="Times New Roman"/>
        </w:rPr>
        <w:t>]</w:t>
      </w:r>
    </w:p>
    <w:p w:rsidR="00000000" w:rsidRDefault="004E1603">
      <w:pPr>
        <w:numPr>
          <w:ilvl w:val="0"/>
          <w:numId w:val="1"/>
        </w:numPr>
        <w:spacing w:before="100" w:beforeAutospacing="1" w:after="100" w:afterAutospacing="1"/>
        <w:divId w:val="13054300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9" w:tooltip="Edit section: See also" w:history="1">
        <w:r>
          <w:rPr>
            <w:rStyle w:val="Hyperlink"/>
            <w:rFonts w:eastAsia="Times New Roman"/>
          </w:rPr>
          <w:t>edit</w:t>
        </w:r>
      </w:hyperlink>
      <w:r>
        <w:rPr>
          <w:rStyle w:val="mw-editsection-bracket"/>
          <w:rFonts w:eastAsia="Times New Roman"/>
        </w:rPr>
        <w:t>]</w:t>
      </w:r>
    </w:p>
    <w:p w:rsidR="00000000" w:rsidRDefault="004E1603">
      <w:pPr>
        <w:numPr>
          <w:ilvl w:val="0"/>
          <w:numId w:val="1"/>
        </w:numPr>
        <w:spacing w:before="100" w:beforeAutospacing="1" w:after="100" w:afterAutospacing="1"/>
        <w:divId w:val="13054300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eferences" w:history="1">
        <w:r>
          <w:rPr>
            <w:rStyle w:val="Hyperlink"/>
            <w:rFonts w:eastAsia="Times New Roman"/>
          </w:rPr>
          <w:t>edit</w:t>
        </w:r>
      </w:hyperlink>
      <w:r>
        <w:rPr>
          <w:rStyle w:val="mw-editsection-bracket"/>
          <w:rFonts w:eastAsia="Times New Roman"/>
        </w:rPr>
        <w:t>]</w:t>
      </w:r>
    </w:p>
    <w:p w:rsidR="00000000" w:rsidRDefault="004E1603">
      <w:pPr>
        <w:numPr>
          <w:ilvl w:val="0"/>
          <w:numId w:val="1"/>
        </w:numPr>
        <w:spacing w:before="100" w:beforeAutospacing="1" w:after="100" w:afterAutospacing="1"/>
        <w:divId w:val="13054300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xternal links" w:history="1">
        <w:r>
          <w:rPr>
            <w:rStyle w:val="Hyperlink"/>
            <w:rFonts w:eastAsia="Times New Roman"/>
          </w:rPr>
          <w:t>edit</w:t>
        </w:r>
      </w:hyperlink>
      <w:r>
        <w:rPr>
          <w:rStyle w:val="mw-editsection-bracket"/>
          <w:rFonts w:eastAsia="Times New Roman"/>
        </w:rPr>
        <w:t>]</w:t>
      </w:r>
    </w:p>
    <w:p w:rsidR="00000000" w:rsidRDefault="004E1603">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32" w:tooltip="Edit section: Features" w:history="1">
        <w:r>
          <w:rPr>
            <w:rStyle w:val="Hyperlink"/>
            <w:rFonts w:eastAsia="Times New Roman"/>
          </w:rPr>
          <w:t>edit</w:t>
        </w:r>
      </w:hyperlink>
      <w:r>
        <w:rPr>
          <w:rStyle w:val="mw-editsection-bracket"/>
          <w:rFonts w:eastAsia="Times New Roman"/>
        </w:rPr>
        <w:t>]</w:t>
      </w:r>
    </w:p>
    <w:p w:rsidR="00000000" w:rsidRDefault="004E1603">
      <w:pPr>
        <w:pStyle w:val="NormalWeb"/>
      </w:pPr>
      <w:hyperlink r:id="rId33" w:tooltip="File:SATA Express interface.svg" w:history="1">
        <w:r>
          <w:rPr>
            <w:rStyle w:val="Hyperlink"/>
          </w:rPr>
          <w:t xml:space="preserve">thumb|right|upright=1.9|A high-level overview of the </w:t>
        </w:r>
      </w:hyperlink>
      <w:hyperlink r:id="rId34" w:tooltip="SATA Express" w:history="1">
        <w:r>
          <w:rPr>
            <w:rStyle w:val="Hyperlink"/>
          </w:rPr>
          <w:t>SATA Express</w:t>
        </w:r>
      </w:hyperlink>
      <w:r>
        <w:t xml:space="preserve"> software architecture, which also applies to M.2</w:t>
      </w:r>
      <w:r>
        <w:t>.</w:t>
      </w:r>
      <w:hyperlink w:anchor="cite_note-1" w:history="1">
        <w:r>
          <w:rPr>
            <w:rStyle w:val="Hyperlink"/>
            <w:vertAlign w:val="superscript"/>
          </w:rPr>
          <w:t>[1]</w:t>
        </w:r>
      </w:hyperlink>
      <w:hyperlink r:id="rId35" w:tooltip="Template:Rp" w:history="1">
        <w:r>
          <w:rPr>
            <w:rStyle w:val="Hyperlink"/>
          </w:rPr>
          <w:t>Template:Rp</w:t>
        </w:r>
      </w:hyperlink>
      <w:r>
        <w:t xml:space="preserve"> It supports both legacy SATA and PCI Express storage devices, with </w:t>
      </w:r>
      <w:hyperlink r:id="rId36" w:tooltip="AHCI" w:history="1">
        <w:r>
          <w:rPr>
            <w:rStyle w:val="Hyperlink"/>
          </w:rPr>
          <w:t>AHCI</w:t>
        </w:r>
      </w:hyperlink>
      <w:r>
        <w:t xml:space="preserve"> and </w:t>
      </w:r>
      <w:hyperlink r:id="rId37" w:tooltip="NVMe" w:history="1">
        <w:r>
          <w:rPr>
            <w:rStyle w:val="Hyperlink"/>
          </w:rPr>
          <w:t>NVMe</w:t>
        </w:r>
      </w:hyperlink>
      <w:r>
        <w:t xml:space="preserve"> as the logical device interfaces</w:t>
      </w:r>
      <w:r>
        <w:t>.</w:t>
      </w:r>
      <w:hyperlink w:anchor="cite_note-5" w:history="1">
        <w:r>
          <w:rPr>
            <w:rStyle w:val="Hyperlink"/>
            <w:vertAlign w:val="superscript"/>
          </w:rPr>
          <w:t>[5]</w:t>
        </w:r>
      </w:hyperlink>
      <w:hyperlink r:id="rId38" w:tooltip="Template:Rp" w:history="1">
        <w:r>
          <w:rPr>
            <w:rStyle w:val="Hyperlink"/>
          </w:rPr>
          <w:t>Template:Rp</w:t>
        </w:r>
      </w:hyperlink>
      <w:r>
        <w:t xml:space="preserve"> </w:t>
      </w:r>
    </w:p>
    <w:p w:rsidR="00000000" w:rsidRDefault="004E1603">
      <w:pPr>
        <w:pStyle w:val="NormalWeb"/>
      </w:pPr>
      <w:hyperlink r:id="rId39" w:tooltip="Bus (computing)" w:history="1">
        <w:r>
          <w:rPr>
            <w:rStyle w:val="Hyperlink"/>
          </w:rPr>
          <w:t>Buses</w:t>
        </w:r>
      </w:hyperlink>
      <w:r>
        <w:t xml:space="preserve"> exposed through the M.2 connector are </w:t>
      </w:r>
      <w:hyperlink r:id="rId40" w:tooltip="PCI Express" w:history="1">
        <w:r>
          <w:rPr>
            <w:rStyle w:val="Hyperlink"/>
          </w:rPr>
          <w:t>PCI Express</w:t>
        </w:r>
      </w:hyperlink>
      <w:r>
        <w:t xml:space="preserve"> 3.0, </w:t>
      </w:r>
      <w:hyperlink r:id="rId41" w:tooltip="Serial ATA" w:history="1">
        <w:r>
          <w:rPr>
            <w:rStyle w:val="Hyperlink"/>
          </w:rPr>
          <w:t>Serial ATA</w:t>
        </w:r>
      </w:hyperlink>
      <w:r>
        <w:t xml:space="preserve"> (SATA) 3.0 and </w:t>
      </w:r>
      <w:hyperlink r:id="rId42" w:tooltip="USB" w:history="1">
        <w:r>
          <w:rPr>
            <w:rStyle w:val="Hyperlink"/>
          </w:rPr>
          <w:t>USB</w:t>
        </w:r>
      </w:hyperlink>
      <w:r>
        <w:t xml:space="preserve"> 3.0, which is </w:t>
      </w:r>
      <w:hyperlink r:id="rId43" w:tooltip="Backward compatible" w:history="1">
        <w:r>
          <w:rPr>
            <w:rStyle w:val="Hyperlink"/>
          </w:rPr>
          <w:t>backward compatible</w:t>
        </w:r>
      </w:hyperlink>
      <w:r>
        <w:t xml:space="preserve"> with USB 2.0. As a result, M.2 modules can integrate multiple functions, includin</w:t>
      </w:r>
      <w:r>
        <w:t xml:space="preserve">g the following device classes: </w:t>
      </w:r>
      <w:hyperlink r:id="rId44" w:tooltip="Wi-Fi" w:history="1">
        <w:r>
          <w:rPr>
            <w:rStyle w:val="Hyperlink"/>
          </w:rPr>
          <w:t>Wi-Fi</w:t>
        </w:r>
      </w:hyperlink>
      <w:r>
        <w:t xml:space="preserve">, </w:t>
      </w:r>
      <w:hyperlink r:id="rId45" w:tooltip="Bluetooth" w:history="1">
        <w:r>
          <w:rPr>
            <w:rStyle w:val="Hyperlink"/>
          </w:rPr>
          <w:t>Bluetooth</w:t>
        </w:r>
      </w:hyperlink>
      <w:r>
        <w:t xml:space="preserve">, </w:t>
      </w:r>
      <w:hyperlink r:id="rId46" w:tooltip="Satellite navigation" w:history="1">
        <w:r>
          <w:rPr>
            <w:rStyle w:val="Hyperlink"/>
          </w:rPr>
          <w:t>satellite navigation</w:t>
        </w:r>
      </w:hyperlink>
      <w:r>
        <w:t xml:space="preserve">, </w:t>
      </w:r>
      <w:hyperlink r:id="rId47" w:tooltip="Near field communication" w:history="1">
        <w:r>
          <w:rPr>
            <w:rStyle w:val="Hyperlink"/>
          </w:rPr>
          <w:t>near field communication</w:t>
        </w:r>
      </w:hyperlink>
      <w:r>
        <w:t xml:space="preserve"> (NFC), </w:t>
      </w:r>
      <w:hyperlink r:id="rId48" w:tooltip="Digital radio" w:history="1">
        <w:r>
          <w:rPr>
            <w:rStyle w:val="Hyperlink"/>
          </w:rPr>
          <w:t>digital radio</w:t>
        </w:r>
      </w:hyperlink>
      <w:r>
        <w:t xml:space="preserve">, </w:t>
      </w:r>
      <w:hyperlink r:id="rId49" w:tooltip="Wireless Gigabit Alliance" w:history="1">
        <w:r>
          <w:rPr>
            <w:rStyle w:val="Hyperlink"/>
          </w:rPr>
          <w:t>Wireless Gigabit Alliance</w:t>
        </w:r>
      </w:hyperlink>
      <w:r>
        <w:t xml:space="preserve"> </w:t>
      </w:r>
      <w:r>
        <w:t xml:space="preserve">(WiGig), </w:t>
      </w:r>
      <w:hyperlink r:id="rId50" w:tooltip="Wireless WAN" w:history="1">
        <w:r>
          <w:rPr>
            <w:rStyle w:val="Hyperlink"/>
          </w:rPr>
          <w:t>wireless WAN</w:t>
        </w:r>
      </w:hyperlink>
      <w:r>
        <w:t xml:space="preserve"> (WWAN), and </w:t>
      </w:r>
      <w:hyperlink r:id="rId51" w:tooltip="Solid-state drive" w:history="1">
        <w:r>
          <w:rPr>
            <w:rStyle w:val="Hyperlink"/>
          </w:rPr>
          <w:t>solid-state drives</w:t>
        </w:r>
      </w:hyperlink>
      <w:r>
        <w:t xml:space="preserve"> (SSDs)</w:t>
      </w:r>
      <w:r>
        <w:t>.</w:t>
      </w:r>
      <w:hyperlink w:anchor="cite_note-6" w:history="1">
        <w:r>
          <w:rPr>
            <w:rStyle w:val="Hyperlink"/>
            <w:vertAlign w:val="superscript"/>
          </w:rPr>
          <w:t>[6]</w:t>
        </w:r>
      </w:hyperlink>
      <w:r>
        <w:t xml:space="preserve"> The </w:t>
      </w:r>
      <w:hyperlink r:id="rId52" w:tooltip="SATA 3.2" w:history="1">
        <w:r>
          <w:rPr>
            <w:rStyle w:val="Hyperlink"/>
          </w:rPr>
          <w:t>SATA revision 3.2</w:t>
        </w:r>
      </w:hyperlink>
      <w:r>
        <w:t xml:space="preserve"> specification, in its gold revision </w:t>
      </w:r>
      <w:hyperlink r:id="rId53" w:tooltip="Template:As of" w:history="1">
        <w:r>
          <w:rPr>
            <w:rStyle w:val="Hyperlink"/>
          </w:rPr>
          <w:t>Template:As of</w:t>
        </w:r>
      </w:hyperlink>
      <w:r>
        <w:t>, standardizes the M.2 as a new format for storage devices and specifies its hardware layout</w:t>
      </w:r>
      <w:r>
        <w:t>.</w:t>
      </w:r>
      <w:hyperlink w:anchor="cite_note-1" w:history="1">
        <w:r>
          <w:rPr>
            <w:rStyle w:val="Hyperlink"/>
            <w:vertAlign w:val="superscript"/>
          </w:rPr>
          <w:t>[1]</w:t>
        </w:r>
      </w:hyperlink>
      <w:hyperlink r:id="rId54" w:tooltip="Template:Rp" w:history="1">
        <w:r>
          <w:rPr>
            <w:rStyle w:val="Hyperlink"/>
          </w:rPr>
          <w:t>Template:Rp</w:t>
        </w:r>
      </w:hyperlink>
      <w:hyperlink w:anchor="cite_note-7" w:history="1">
        <w:r>
          <w:rPr>
            <w:rStyle w:val="Hyperlink"/>
            <w:vertAlign w:val="superscript"/>
          </w:rPr>
          <w:t>[7]</w:t>
        </w:r>
      </w:hyperlink>
      <w:r>
        <w:t xml:space="preserve"> The M.2 specification provides up to four </w:t>
      </w:r>
      <w:hyperlink r:id="rId55" w:tooltip="PCI Express lane" w:history="1">
        <w:r>
          <w:rPr>
            <w:rStyle w:val="Hyperlink"/>
          </w:rPr>
          <w:t>PCI Express lanes</w:t>
        </w:r>
      </w:hyperlink>
      <w:r>
        <w:t xml:space="preserve"> and one logical </w:t>
      </w:r>
      <w:hyperlink r:id="rId56" w:tooltip="SATA 3.0" w:history="1">
        <w:r>
          <w:rPr>
            <w:rStyle w:val="Hyperlink"/>
          </w:rPr>
          <w:t>SATA 3.0</w:t>
        </w:r>
      </w:hyperlink>
      <w:r>
        <w:t xml:space="preserve"> (6 Gbit/s) port, and exposes them through the same </w:t>
      </w:r>
      <w:r>
        <w:lastRenderedPageBreak/>
        <w:t>connector so both PCI Express and SATA storage devices may exist in form of M.2 modules. Exposed PCI Express lanes provide a pure PCI Express connection between the</w:t>
      </w:r>
      <w:r>
        <w:t xml:space="preserve"> host and storage device, with no additional layers of </w:t>
      </w:r>
      <w:hyperlink r:id="rId57" w:tooltip="Bus (computing)" w:history="1">
        <w:r>
          <w:rPr>
            <w:rStyle w:val="Hyperlink"/>
          </w:rPr>
          <w:t>bus</w:t>
        </w:r>
      </w:hyperlink>
      <w:r>
        <w:t xml:space="preserve"> abstraction</w:t>
      </w:r>
      <w:r>
        <w:t>.</w:t>
      </w:r>
      <w:hyperlink w:anchor="cite_note-8" w:history="1">
        <w:r>
          <w:rPr>
            <w:rStyle w:val="Hyperlink"/>
            <w:vertAlign w:val="superscript"/>
          </w:rPr>
          <w:t>[8]</w:t>
        </w:r>
      </w:hyperlink>
      <w:r>
        <w:t xml:space="preserve"> </w:t>
      </w:r>
      <w:hyperlink r:id="rId58" w:tooltip="PCI-SIG" w:history="1">
        <w:r>
          <w:rPr>
            <w:rStyle w:val="Hyperlink"/>
          </w:rPr>
          <w:t>PCI-SIG</w:t>
        </w:r>
      </w:hyperlink>
      <w:r>
        <w:t xml:space="preserve"> M.2 specification, in its revision 1.</w:t>
      </w:r>
      <w:r>
        <w:t xml:space="preserve">0 </w:t>
      </w:r>
      <w:hyperlink r:id="rId59" w:tooltip="Template:As of" w:history="1">
        <w:r>
          <w:rPr>
            <w:rStyle w:val="Hyperlink"/>
          </w:rPr>
          <w:t>Template:As of</w:t>
        </w:r>
      </w:hyperlink>
      <w:r>
        <w:t>, provides detailed M.2 specifications</w:t>
      </w:r>
      <w:r>
        <w:t>.</w:t>
      </w:r>
      <w:hyperlink w:anchor="cite_note-1" w:history="1">
        <w:r>
          <w:rPr>
            <w:rStyle w:val="Hyperlink"/>
            <w:vertAlign w:val="superscript"/>
          </w:rPr>
          <w:t>[1]</w:t>
        </w:r>
      </w:hyperlink>
      <w:hyperlink r:id="rId60" w:tooltip="Template:Rp" w:history="1">
        <w:r>
          <w:rPr>
            <w:rStyle w:val="Hyperlink"/>
          </w:rPr>
          <w:t>Template:Rp</w:t>
        </w:r>
      </w:hyperlink>
      <w:hyperlink w:anchor="cite_note-9" w:history="1">
        <w:r>
          <w:rPr>
            <w:rStyle w:val="Hyperlink"/>
            <w:vertAlign w:val="superscript"/>
          </w:rPr>
          <w:t>[9]</w:t>
        </w:r>
      </w:hyperlink>
      <w:r>
        <w:t xml:space="preserve"> </w:t>
      </w:r>
      <w:r>
        <w:t xml:space="preserve">There are three options available for the logical device interfaces and command sets used for interfacing with M.2 storage devices, which may be used depending on the type of M.2 storage device and available </w:t>
      </w:r>
      <w:hyperlink r:id="rId61" w:tooltip="Operating system" w:history="1">
        <w:r>
          <w:rPr>
            <w:rStyle w:val="Hyperlink"/>
          </w:rPr>
          <w:t>operating system</w:t>
        </w:r>
      </w:hyperlink>
      <w:r>
        <w:t xml:space="preserve"> support</w:t>
      </w:r>
      <w:r>
        <w:t>:</w:t>
      </w:r>
      <w:hyperlink w:anchor="cite_note-1" w:history="1">
        <w:r>
          <w:rPr>
            <w:rStyle w:val="Hyperlink"/>
            <w:vertAlign w:val="superscript"/>
          </w:rPr>
          <w:t>[1]</w:t>
        </w:r>
      </w:hyperlink>
      <w:hyperlink r:id="rId62" w:tooltip="Template:Rp" w:history="1">
        <w:r>
          <w:rPr>
            <w:rStyle w:val="Hyperlink"/>
          </w:rPr>
          <w:t>Template:Rp</w:t>
        </w:r>
      </w:hyperlink>
      <w:hyperlink w:anchor="cite_note-5" w:history="1">
        <w:r>
          <w:rPr>
            <w:rStyle w:val="Hyperlink"/>
            <w:vertAlign w:val="superscript"/>
          </w:rPr>
          <w:t>[5]</w:t>
        </w:r>
      </w:hyperlink>
      <w:hyperlink w:anchor="cite_note-8" w:history="1">
        <w:r>
          <w:rPr>
            <w:rStyle w:val="Hyperlink"/>
            <w:vertAlign w:val="superscript"/>
          </w:rPr>
          <w:t>[8]</w:t>
        </w:r>
      </w:hyperlink>
      <w:r>
        <w:t xml:space="preserve"> </w:t>
      </w:r>
    </w:p>
    <w:p w:rsidR="00000000" w:rsidRDefault="004E1603">
      <w:pPr>
        <w:rPr>
          <w:rFonts w:eastAsia="Times New Roman"/>
        </w:rPr>
      </w:pPr>
      <w:r>
        <w:rPr>
          <w:rFonts w:eastAsia="Times New Roman"/>
        </w:rPr>
        <w:t xml:space="preserve">Legacy SATA </w:t>
      </w:r>
    </w:p>
    <w:p w:rsidR="00000000" w:rsidRDefault="004E1603">
      <w:pPr>
        <w:ind w:left="720"/>
        <w:rPr>
          <w:rFonts w:eastAsia="Times New Roman"/>
        </w:rPr>
      </w:pPr>
      <w:r>
        <w:rPr>
          <w:rFonts w:eastAsia="Times New Roman"/>
        </w:rPr>
        <w:t>Used for SATA SSDs, and interf</w:t>
      </w:r>
      <w:r>
        <w:rPr>
          <w:rFonts w:eastAsia="Times New Roman"/>
        </w:rPr>
        <w:t xml:space="preserve">aced through the AHCI driver and legacy SATA 3.0 (6 Gbit/s) port exposed through the M.2 connector. </w:t>
      </w:r>
    </w:p>
    <w:p w:rsidR="00000000" w:rsidRDefault="004E1603">
      <w:pPr>
        <w:rPr>
          <w:rFonts w:eastAsia="Times New Roman"/>
        </w:rPr>
      </w:pPr>
      <w:r>
        <w:rPr>
          <w:rFonts w:eastAsia="Times New Roman"/>
        </w:rPr>
        <w:t xml:space="preserve">PCI Express using AHCI </w:t>
      </w:r>
    </w:p>
    <w:p w:rsidR="00000000" w:rsidRDefault="004E1603">
      <w:pPr>
        <w:ind w:left="720"/>
        <w:rPr>
          <w:rFonts w:eastAsia="Times New Roman"/>
        </w:rPr>
      </w:pPr>
      <w:r>
        <w:rPr>
          <w:rFonts w:eastAsia="Times New Roman"/>
        </w:rPr>
        <w:t xml:space="preserve">Used for PCI Express SSDs and interfaced through the </w:t>
      </w:r>
      <w:hyperlink r:id="rId63" w:tooltip="AHCI" w:history="1">
        <w:r>
          <w:rPr>
            <w:rStyle w:val="Hyperlink"/>
            <w:rFonts w:eastAsia="Times New Roman"/>
          </w:rPr>
          <w:t>AHCI</w:t>
        </w:r>
      </w:hyperlink>
      <w:r>
        <w:rPr>
          <w:rFonts w:eastAsia="Times New Roman"/>
        </w:rPr>
        <w:t xml:space="preserve"> driver and provided PCI Express lane</w:t>
      </w:r>
      <w:r>
        <w:rPr>
          <w:rFonts w:eastAsia="Times New Roman"/>
        </w:rPr>
        <w:t xml:space="preserve">s, providing </w:t>
      </w:r>
      <w:hyperlink r:id="rId64" w:tooltip="Backward compatibility" w:history="1">
        <w:r>
          <w:rPr>
            <w:rStyle w:val="Hyperlink"/>
            <w:rFonts w:eastAsia="Times New Roman"/>
          </w:rPr>
          <w:t>backward compatibility</w:t>
        </w:r>
      </w:hyperlink>
      <w:r>
        <w:rPr>
          <w:rFonts w:eastAsia="Times New Roman"/>
        </w:rPr>
        <w:t xml:space="preserve"> with widespread SATA support in operating systems at the cost of not delivering optimal performance by using AHCI for accessing PCI Express SSDs. A</w:t>
      </w:r>
      <w:r>
        <w:rPr>
          <w:rFonts w:eastAsia="Times New Roman"/>
        </w:rPr>
        <w:t xml:space="preserve">HCI was developed back at the time when the purpose of a </w:t>
      </w:r>
      <w:hyperlink r:id="rId65" w:tooltip="Host bus adapter" w:history="1">
        <w:r>
          <w:rPr>
            <w:rStyle w:val="Hyperlink"/>
            <w:rFonts w:eastAsia="Times New Roman"/>
          </w:rPr>
          <w:t>host bus adapter</w:t>
        </w:r>
      </w:hyperlink>
      <w:r>
        <w:rPr>
          <w:rFonts w:eastAsia="Times New Roman"/>
        </w:rPr>
        <w:t xml:space="preserve"> (HBA) in a system was to connect the CPU/memory subsystem with a much slower storage subsystem based on rotating </w:t>
      </w:r>
      <w:hyperlink r:id="rId66" w:tooltip="Magnetic storage" w:history="1">
        <w:r>
          <w:rPr>
            <w:rStyle w:val="Hyperlink"/>
            <w:rFonts w:eastAsia="Times New Roman"/>
          </w:rPr>
          <w:t>magnetic media</w:t>
        </w:r>
      </w:hyperlink>
      <w:r>
        <w:rPr>
          <w:rFonts w:eastAsia="Times New Roman"/>
        </w:rPr>
        <w:t xml:space="preserve">; as a result, AHCI has some inherent </w:t>
      </w:r>
      <w:hyperlink r:id="rId67" w:tooltip="NVMe vs AHCI" w:history="1">
        <w:r>
          <w:rPr>
            <w:rStyle w:val="Hyperlink"/>
            <w:rFonts w:eastAsia="Times New Roman"/>
          </w:rPr>
          <w:t>inefficiencies</w:t>
        </w:r>
      </w:hyperlink>
      <w:r>
        <w:rPr>
          <w:rFonts w:eastAsia="Times New Roman"/>
        </w:rPr>
        <w:t xml:space="preserve"> when applied to SSD devices, which behave much more like </w:t>
      </w:r>
      <w:hyperlink r:id="rId68" w:tooltip="DRAM" w:history="1">
        <w:r>
          <w:rPr>
            <w:rStyle w:val="Hyperlink"/>
            <w:rFonts w:eastAsia="Times New Roman"/>
          </w:rPr>
          <w:t>DRAM</w:t>
        </w:r>
      </w:hyperlink>
      <w:r>
        <w:rPr>
          <w:rFonts w:eastAsia="Times New Roman"/>
        </w:rPr>
        <w:t xml:space="preserve"> than like spinning media. </w:t>
      </w:r>
    </w:p>
    <w:p w:rsidR="00000000" w:rsidRDefault="004E1603">
      <w:pPr>
        <w:rPr>
          <w:rFonts w:eastAsia="Times New Roman"/>
        </w:rPr>
      </w:pPr>
      <w:r>
        <w:rPr>
          <w:rFonts w:eastAsia="Times New Roman"/>
        </w:rPr>
        <w:t xml:space="preserve">PCI Express using NVMe </w:t>
      </w:r>
    </w:p>
    <w:p w:rsidR="00000000" w:rsidRDefault="004E1603">
      <w:pPr>
        <w:ind w:left="720"/>
        <w:rPr>
          <w:rFonts w:eastAsia="Times New Roman"/>
        </w:rPr>
      </w:pPr>
      <w:r>
        <w:rPr>
          <w:rFonts w:eastAsia="Times New Roman"/>
        </w:rPr>
        <w:t xml:space="preserve">Used for PCI Express SSDs and interfaced through the </w:t>
      </w:r>
      <w:hyperlink r:id="rId69" w:tooltip="NVMe" w:history="1">
        <w:r>
          <w:rPr>
            <w:rStyle w:val="Hyperlink"/>
            <w:rFonts w:eastAsia="Times New Roman"/>
          </w:rPr>
          <w:t>NVMe</w:t>
        </w:r>
      </w:hyperlink>
      <w:r>
        <w:rPr>
          <w:rFonts w:eastAsia="Times New Roman"/>
        </w:rPr>
        <w:t xml:space="preserve"> driver and provided PCI Express lanes, as a high-performance and scalable host controller inte</w:t>
      </w:r>
      <w:r>
        <w:rPr>
          <w:rFonts w:eastAsia="Times New Roman"/>
        </w:rPr>
        <w:t xml:space="preserve">rface designed and optimized especially for interfacing with PCI Express SSDs. NVMe has been designed from the ground up, capitalizing on the low latency and </w:t>
      </w:r>
      <w:hyperlink r:id="rId70" w:tooltip="Parallelism (computing)" w:history="1">
        <w:r>
          <w:rPr>
            <w:rStyle w:val="Hyperlink"/>
            <w:rFonts w:eastAsia="Times New Roman"/>
          </w:rPr>
          <w:t>parallelism</w:t>
        </w:r>
      </w:hyperlink>
      <w:r>
        <w:rPr>
          <w:rFonts w:eastAsia="Times New Roman"/>
        </w:rPr>
        <w:t xml:space="preserve"> of PCI Expr</w:t>
      </w:r>
      <w:r>
        <w:rPr>
          <w:rFonts w:eastAsia="Times New Roman"/>
        </w:rPr>
        <w:t xml:space="preserve">ess SSDs, and complementing the parallelism of contemporary CPUs, platforms and applications. At a high level, primary </w:t>
      </w:r>
      <w:hyperlink r:id="rId71" w:tooltip="NVMe vs AHCI" w:history="1">
        <w:r>
          <w:rPr>
            <w:rStyle w:val="Hyperlink"/>
            <w:rFonts w:eastAsia="Times New Roman"/>
          </w:rPr>
          <w:t>advantages of NVMe over AHCI</w:t>
        </w:r>
      </w:hyperlink>
      <w:r>
        <w:rPr>
          <w:rFonts w:eastAsia="Times New Roman"/>
        </w:rPr>
        <w:t xml:space="preserve"> relate to NVMe's ability to exploit parallelism in host</w:t>
      </w:r>
      <w:r>
        <w:rPr>
          <w:rFonts w:eastAsia="Times New Roman"/>
        </w:rPr>
        <w:t xml:space="preserve"> hardware and software, based on its design advantages that include data transfers with fewer stages, greater depth of </w:t>
      </w:r>
      <w:hyperlink r:id="rId72" w:tooltip="Command queue" w:history="1">
        <w:r>
          <w:rPr>
            <w:rStyle w:val="Hyperlink"/>
            <w:rFonts w:eastAsia="Times New Roman"/>
          </w:rPr>
          <w:t>command queues</w:t>
        </w:r>
      </w:hyperlink>
      <w:r>
        <w:rPr>
          <w:rFonts w:eastAsia="Times New Roman"/>
        </w:rPr>
        <w:t xml:space="preserve">, and more efficient </w:t>
      </w:r>
      <w:hyperlink r:id="rId73" w:tooltip="Interrupt" w:history="1">
        <w:r>
          <w:rPr>
            <w:rStyle w:val="Hyperlink"/>
            <w:rFonts w:eastAsia="Times New Roman"/>
          </w:rPr>
          <w:t>interrupt</w:t>
        </w:r>
      </w:hyperlink>
      <w:r>
        <w:rPr>
          <w:rFonts w:eastAsia="Times New Roman"/>
        </w:rPr>
        <w:t xml:space="preserve"> processing. </w:t>
      </w:r>
    </w:p>
    <w:p w:rsidR="00000000" w:rsidRDefault="004E1603">
      <w:pPr>
        <w:pStyle w:val="Heading2"/>
        <w:rPr>
          <w:rFonts w:eastAsia="Times New Roman"/>
        </w:rPr>
      </w:pPr>
      <w:r>
        <w:rPr>
          <w:rStyle w:val="mw-headline"/>
          <w:rFonts w:eastAsia="Times New Roman"/>
        </w:rPr>
        <w:t>{{Anchor|FORM-FACTORS|KEYING}}Form factors and keyin</w:t>
      </w:r>
      <w:r>
        <w:rPr>
          <w:rStyle w:val="mw-headline"/>
          <w:rFonts w:eastAsia="Times New Roman"/>
        </w:rPr>
        <w:t>g</w:t>
      </w:r>
      <w:r>
        <w:rPr>
          <w:rStyle w:val="mw-editsection-bracket"/>
          <w:rFonts w:eastAsia="Times New Roman"/>
        </w:rPr>
        <w:t>[</w:t>
      </w:r>
      <w:hyperlink r:id="rId74" w:tooltip="Edit section: {{Anchor|FORM-FACTORS|KEYING}}Form factors and keying" w:history="1">
        <w:r>
          <w:rPr>
            <w:rStyle w:val="Hyperlink"/>
            <w:rFonts w:eastAsia="Times New Roman"/>
          </w:rPr>
          <w:t>edit</w:t>
        </w:r>
      </w:hyperlink>
      <w:r>
        <w:rPr>
          <w:rStyle w:val="mw-editsection-bracket"/>
          <w:rFonts w:eastAsia="Times New Roman"/>
        </w:rPr>
        <w:t>]</w:t>
      </w:r>
    </w:p>
    <w:p w:rsidR="00000000" w:rsidRDefault="004E1603">
      <w:pPr>
        <w:pStyle w:val="NormalWeb"/>
      </w:pPr>
      <w:hyperlink r:id="rId75" w:tooltip="File:M.2 connector on a computer motherboard.jpg" w:history="1">
        <w:r>
          <w:rPr>
            <w:rStyle w:val="Hyperlink"/>
          </w:rPr>
          <w:t xml:space="preserve">thumb|right|upright=1.5|An M.2 socket on a </w:t>
        </w:r>
      </w:hyperlink>
      <w:hyperlink r:id="rId76" w:tooltip="Computer motherboard" w:history="1">
        <w:r>
          <w:rPr>
            <w:rStyle w:val="Hyperlink"/>
          </w:rPr>
          <w:t>computer motherboard</w:t>
        </w:r>
      </w:hyperlink>
      <w:r>
        <w:t>, visible in the upper-left portion o</w:t>
      </w:r>
      <w:r>
        <w:t xml:space="preserve">f the picture. The socket is keyed in the M position and provides two positions for the mounting screw, accepting 2260 and 2280 sizes of M.2 modules. </w:t>
      </w:r>
    </w:p>
    <w:p w:rsidR="00000000" w:rsidRDefault="004E1603">
      <w:pPr>
        <w:pStyle w:val="NormalWeb"/>
      </w:pPr>
      <w:r>
        <w:t xml:space="preserve">The M.2 standard has been designed as a revision and improvement to the </w:t>
      </w:r>
      <w:hyperlink r:id="rId77" w:tooltip="MSATA" w:history="1">
        <w:r>
          <w:rPr>
            <w:rStyle w:val="Hyperlink"/>
          </w:rPr>
          <w:t>mSATA</w:t>
        </w:r>
      </w:hyperlink>
      <w:r>
        <w:t xml:space="preserve"> standard, with the possibility of larger </w:t>
      </w:r>
      <w:hyperlink r:id="rId78" w:tooltip="Printed circuit board" w:history="1">
        <w:r>
          <w:rPr>
            <w:rStyle w:val="Hyperlink"/>
          </w:rPr>
          <w:t>printed circuit boards</w:t>
        </w:r>
      </w:hyperlink>
      <w:r>
        <w:t xml:space="preserve"> (PCBs) as one of its primary incentives. While the mSATA took advantage of the existing </w:t>
      </w:r>
      <w:hyperlink r:id="rId79" w:tooltip="PCI Express Mini Card" w:history="1">
        <w:r>
          <w:rPr>
            <w:rStyle w:val="Hyperlink"/>
          </w:rPr>
          <w:t>PCI Express Mini Card</w:t>
        </w:r>
      </w:hyperlink>
      <w:r>
        <w:t xml:space="preserve"> (Mini PCIe) </w:t>
      </w:r>
      <w:hyperlink r:id="rId80" w:tooltip="Form factor (design)" w:history="1">
        <w:r>
          <w:rPr>
            <w:rStyle w:val="Hyperlink"/>
          </w:rPr>
          <w:t>form factor</w:t>
        </w:r>
      </w:hyperlink>
      <w:r>
        <w:t xml:space="preserve"> and connector, M.2 has been designed from the ground up to maximize usage of the PCB space </w:t>
      </w:r>
      <w:r>
        <w:t xml:space="preserve">while minimizing the module footprint. As the result of the M.2 standard allowing longer modules and double-sided component population, M.2 </w:t>
      </w:r>
      <w:hyperlink r:id="rId81" w:tooltip="SSD" w:history="1">
        <w:r>
          <w:rPr>
            <w:rStyle w:val="Hyperlink"/>
          </w:rPr>
          <w:t>SSD</w:t>
        </w:r>
      </w:hyperlink>
      <w:r>
        <w:t xml:space="preserve"> devices can provide larger storage capacities and can also double the storage</w:t>
      </w:r>
      <w:r>
        <w:t xml:space="preserve"> capacity within the footprints of mSATA </w:t>
      </w:r>
      <w:r>
        <w:lastRenderedPageBreak/>
        <w:t>devices</w:t>
      </w:r>
      <w:r>
        <w:t>.</w:t>
      </w:r>
      <w:hyperlink w:anchor="cite_note-1" w:history="1">
        <w:r>
          <w:rPr>
            <w:rStyle w:val="Hyperlink"/>
            <w:vertAlign w:val="superscript"/>
          </w:rPr>
          <w:t>[1]</w:t>
        </w:r>
      </w:hyperlink>
      <w:hyperlink r:id="rId82" w:tooltip="Template:Rp" w:history="1">
        <w:r>
          <w:rPr>
            <w:rStyle w:val="Hyperlink"/>
          </w:rPr>
          <w:t>Template:Rp</w:t>
        </w:r>
      </w:hyperlink>
      <w:hyperlink w:anchor="cite_note-3" w:history="1">
        <w:r>
          <w:rPr>
            <w:rStyle w:val="Hyperlink"/>
            <w:vertAlign w:val="superscript"/>
          </w:rPr>
          <w:t>[3]</w:t>
        </w:r>
      </w:hyperlink>
      <w:hyperlink w:anchor="cite_note-10" w:history="1">
        <w:r>
          <w:rPr>
            <w:rStyle w:val="Hyperlink"/>
            <w:vertAlign w:val="superscript"/>
          </w:rPr>
          <w:t>[10]</w:t>
        </w:r>
      </w:hyperlink>
      <w:r>
        <w:t xml:space="preserve"> M.2 modules are rectangular, wi</w:t>
      </w:r>
      <w:r>
        <w:t xml:space="preserve">th an </w:t>
      </w:r>
      <w:hyperlink r:id="rId83" w:tooltip="Edge connector" w:history="1">
        <w:r>
          <w:rPr>
            <w:rStyle w:val="Hyperlink"/>
          </w:rPr>
          <w:t>edge connector</w:t>
        </w:r>
      </w:hyperlink>
      <w:r>
        <w:t xml:space="preserve"> on one side (75 positions with up to 67 pins, 0.5 mm pitch, pins overlap on different sides of the PCB), and a semicircular mounting hole at the center of the opposite edge. Each</w:t>
      </w:r>
      <w:r>
        <w:t xml:space="preserve"> pin on the connector is rated for up to 50 </w:t>
      </w:r>
      <w:hyperlink r:id="rId84" w:tooltip="Volt" w:history="1">
        <w:r>
          <w:rPr>
            <w:rStyle w:val="Hyperlink"/>
          </w:rPr>
          <w:t>V</w:t>
        </w:r>
      </w:hyperlink>
      <w:r>
        <w:t xml:space="preserve"> and 0.5 </w:t>
      </w:r>
      <w:hyperlink r:id="rId85" w:tooltip="Ampere" w:history="1">
        <w:r>
          <w:rPr>
            <w:rStyle w:val="Hyperlink"/>
          </w:rPr>
          <w:t>A</w:t>
        </w:r>
      </w:hyperlink>
      <w:r>
        <w:t xml:space="preserve">, while the connector itself is specified to endure up to 60 mating cycles. </w:t>
      </w:r>
      <w:r>
        <w:t>The M.2 standard allows module widths of 12, 16, 22 and 30 mm, and lengths of 16, 26, 30, 38, 42, 60, 80 and 110 mm. Initial line-up of the commercially available M.2 expansion cards is 22 mm wide, with varying lengths of 30, 42, 60, 80 and 110 mm</w:t>
      </w:r>
      <w:r>
        <w:t>.</w:t>
      </w:r>
      <w:hyperlink w:anchor="cite_note-2" w:history="1">
        <w:r>
          <w:rPr>
            <w:rStyle w:val="Hyperlink"/>
            <w:vertAlign w:val="superscript"/>
          </w:rPr>
          <w:t>[2]</w:t>
        </w:r>
      </w:hyperlink>
      <w:hyperlink w:anchor="cite_note-4" w:history="1">
        <w:r>
          <w:rPr>
            <w:rStyle w:val="Hyperlink"/>
            <w:vertAlign w:val="superscript"/>
          </w:rPr>
          <w:t>[4]</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An M.2 module is installed into a mating connector provided by the host's circuit board, and a single mounting </w:t>
      </w:r>
      <w:r>
        <w:t>screw secures the module into place. Components may be mounted on either side of the module, with the actual module type limiting how thick the components can be; the maximum allowable thickness of components is 1.5 mm per side. Different host-side connect</w:t>
      </w:r>
      <w:r>
        <w:t>ors are used for single- and double-sided M.2 modules, providing different amounts of space between the M.2 expansion card and the host's PCB</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11" w:history="1">
        <w:r>
          <w:rPr>
            <w:rStyle w:val="Hyperlink"/>
            <w:vertAlign w:val="superscript"/>
          </w:rPr>
          <w:t>[11]</w:t>
        </w:r>
      </w:hyperlink>
      <w:r>
        <w:t xml:space="preserve"> </w:t>
      </w:r>
      <w:r>
        <w:t>Circuit boards on the hosts are usually designed to accept multiple lengths of M.2 modules, which means that the sockets capable of accepting longer M.2 modules usually also accept shorter ones by providing different positions for the mounting screw</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p>
    <w:p w:rsidR="00000000" w:rsidRDefault="004E1603">
      <w:pPr>
        <w:pStyle w:val="NormalWeb"/>
        <w:jc w:val="center"/>
      </w:pPr>
      <w:hyperlink r:id="rId86" w:tooltip="Template:Col-begin" w:history="1">
        <w:r>
          <w:rPr>
            <w:rStyle w:val="Hyperlink"/>
          </w:rPr>
          <w:t>Template:Col-begin</w:t>
        </w:r>
      </w:hyperlink>
      <w:r>
        <w:t xml:space="preserve"> </w:t>
      </w:r>
      <w:hyperlink r:id="rId87" w:tooltip="Template:Col-break" w:history="1">
        <w:r>
          <w:rPr>
            <w:rStyle w:val="Hyperlink"/>
          </w:rPr>
          <w:t>Template:Col-break</w:t>
        </w:r>
      </w:hyperlink>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jc w:val="center"/>
        </w:trPr>
        <w:tc>
          <w:tcPr>
            <w:tcW w:w="0" w:type="auto"/>
            <w:gridSpan w:val="3"/>
            <w:tcBorders>
              <w:top w:val="nil"/>
              <w:left w:val="nil"/>
              <w:bottom w:val="nil"/>
              <w:right w:val="nil"/>
            </w:tcBorders>
            <w:vAlign w:val="center"/>
            <w:hideMark/>
          </w:tcPr>
          <w:p w:rsidR="00000000" w:rsidRDefault="004E1603">
            <w:pPr>
              <w:spacing w:before="180" w:after="216"/>
              <w:jc w:val="center"/>
              <w:rPr>
                <w:rFonts w:eastAsia="Times New Roman"/>
              </w:rPr>
            </w:pPr>
            <w:r>
              <w:rPr>
                <w:rFonts w:eastAsia="Times New Roman"/>
              </w:rPr>
              <w:t>M.2 module ke</w:t>
            </w:r>
            <w:r>
              <w:rPr>
                <w:rFonts w:eastAsia="Times New Roman"/>
              </w:rPr>
              <w:t>ying and provided interface</w:t>
            </w:r>
            <w:r>
              <w:rPr>
                <w:rFonts w:eastAsia="Times New Roman"/>
              </w:rPr>
              <w:t>s</w:t>
            </w:r>
            <w:hyperlink w:anchor="cite_note-4" w:history="1">
              <w:r>
                <w:rPr>
                  <w:rStyle w:val="Hyperlink"/>
                  <w:rFonts w:eastAsia="Times New Roman"/>
                  <w:vertAlign w:val="superscript"/>
                </w:rPr>
                <w:t>[4]</w:t>
              </w:r>
            </w:hyperlink>
            <w:hyperlink r:id="rId88" w:tooltip="Template:Rp" w:history="1">
              <w:r>
                <w:rPr>
                  <w:rStyle w:val="Hyperlink"/>
                  <w:rFonts w:eastAsia="Times New Roman"/>
                </w:rPr>
                <w:t>Template:Rp</w:t>
              </w:r>
            </w:hyperlink>
            <w:hyperlink w:anchor="cite_note-11" w:history="1">
              <w:r>
                <w:rPr>
                  <w:rStyle w:val="Hyperlink"/>
                  <w:rFonts w:eastAsia="Times New Roman"/>
                  <w:vertAlign w:val="superscript"/>
                </w:rPr>
                <w:t>[11]</w:t>
              </w:r>
            </w:hyperlink>
            <w:hyperlink r:id="rId89" w:tooltip="Template:Rp" w:history="1">
              <w:r>
                <w:rPr>
                  <w:rStyle w:val="Hyperlink"/>
                  <w:rFonts w:eastAsia="Times New Roman"/>
                </w:rPr>
                <w:t>Template:Rp</w:t>
              </w:r>
            </w:hyperlink>
            <w:hyperlink w:anchor="cite_note-15" w:history="1">
              <w:r>
                <w:rPr>
                  <w:rStyle w:val="Hyperlink"/>
                  <w:rFonts w:eastAsia="Times New Roman"/>
                  <w:vertAlign w:val="superscript"/>
                </w:rPr>
                <w:t>[15]</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b/>
                <w:bCs/>
              </w:rPr>
            </w:pPr>
            <w:r>
              <w:rPr>
                <w:rFonts w:eastAsia="Times New Roman"/>
                <w:b/>
                <w:bCs/>
              </w:rPr>
              <w:t>Key</w:t>
            </w:r>
            <w:r>
              <w:rPr>
                <w:rFonts w:eastAsia="Times New Roman"/>
                <w:b/>
                <w:bCs/>
              </w:rPr>
              <w:br/>
              <w:t xml:space="preserve">ID </w:t>
            </w:r>
          </w:p>
        </w:tc>
        <w:tc>
          <w:tcPr>
            <w:tcW w:w="0" w:type="auto"/>
            <w:vAlign w:val="center"/>
            <w:hideMark/>
          </w:tcPr>
          <w:p w:rsidR="00000000" w:rsidRDefault="004E1603">
            <w:pPr>
              <w:spacing w:before="180" w:after="216"/>
              <w:jc w:val="center"/>
              <w:rPr>
                <w:rFonts w:eastAsia="Times New Roman"/>
                <w:b/>
                <w:bCs/>
              </w:rPr>
            </w:pPr>
            <w:r>
              <w:rPr>
                <w:rFonts w:eastAsia="Times New Roman"/>
                <w:b/>
                <w:bCs/>
              </w:rPr>
              <w:t>Notched</w:t>
            </w:r>
            <w:r>
              <w:rPr>
                <w:rFonts w:eastAsia="Times New Roman"/>
                <w:b/>
                <w:bCs/>
              </w:rPr>
              <w:br/>
              <w:t xml:space="preserve">pins </w:t>
            </w:r>
          </w:p>
        </w:tc>
        <w:tc>
          <w:tcPr>
            <w:tcW w:w="0" w:type="auto"/>
            <w:vAlign w:val="center"/>
            <w:hideMark/>
          </w:tcPr>
          <w:p w:rsidR="00000000" w:rsidRDefault="004E1603">
            <w:pPr>
              <w:spacing w:before="180" w:after="216"/>
              <w:jc w:val="center"/>
              <w:rPr>
                <w:rFonts w:eastAsia="Times New Roman"/>
                <w:b/>
                <w:bCs/>
              </w:rPr>
            </w:pPr>
            <w:r>
              <w:rPr>
                <w:rFonts w:eastAsia="Times New Roman"/>
                <w:b/>
                <w:bCs/>
              </w:rPr>
              <w:t>Provided interfaces</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A</w:t>
            </w:r>
          </w:p>
        </w:tc>
        <w:tc>
          <w:tcPr>
            <w:tcW w:w="0" w:type="auto"/>
            <w:vAlign w:val="center"/>
            <w:hideMark/>
          </w:tcPr>
          <w:p w:rsidR="00000000" w:rsidRDefault="004E1603">
            <w:pPr>
              <w:spacing w:before="180" w:after="216"/>
              <w:jc w:val="center"/>
              <w:rPr>
                <w:rFonts w:eastAsia="Times New Roman"/>
              </w:rPr>
            </w:pPr>
            <w:r>
              <w:rPr>
                <w:rFonts w:eastAsia="Times New Roman"/>
              </w:rPr>
              <w:t>8–15</w:t>
            </w:r>
          </w:p>
        </w:tc>
        <w:tc>
          <w:tcPr>
            <w:tcW w:w="0" w:type="auto"/>
            <w:vAlign w:val="center"/>
            <w:hideMark/>
          </w:tcPr>
          <w:p w:rsidR="00000000" w:rsidRDefault="004E1603">
            <w:pPr>
              <w:spacing w:before="180" w:after="216"/>
              <w:rPr>
                <w:rFonts w:eastAsia="Times New Roman"/>
              </w:rPr>
            </w:pPr>
            <w:hyperlink r:id="rId90" w:tooltip="PCIe" w:history="1">
              <w:r>
                <w:rPr>
                  <w:rStyle w:val="Hyperlink"/>
                  <w:rFonts w:eastAsia="Times New Roman"/>
                </w:rPr>
                <w:t>PCIe</w:t>
              </w:r>
            </w:hyperlink>
            <w:r>
              <w:rPr>
                <w:rFonts w:eastAsia="Times New Roman"/>
              </w:rPr>
              <w:t xml:space="preserve"> ×2, USB 2.0, </w:t>
            </w:r>
            <w:hyperlink r:id="rId91" w:tooltip="I2C" w:history="1">
              <w:r>
                <w:rPr>
                  <w:rStyle w:val="Hyperlink"/>
                  <w:rFonts w:eastAsia="Times New Roman"/>
                </w:rPr>
                <w:t>I</w:t>
              </w:r>
              <w:r>
                <w:rPr>
                  <w:rStyle w:val="Hyperlink"/>
                  <w:rFonts w:eastAsia="Times New Roman"/>
                  <w:vertAlign w:val="superscript"/>
                </w:rPr>
                <w:t>2</w:t>
              </w:r>
              <w:r>
                <w:rPr>
                  <w:rStyle w:val="Hyperlink"/>
                  <w:rFonts w:eastAsia="Times New Roman"/>
                </w:rPr>
                <w:t>C</w:t>
              </w:r>
            </w:hyperlink>
            <w:r>
              <w:rPr>
                <w:rFonts w:eastAsia="Times New Roman"/>
              </w:rPr>
              <w:t xml:space="preserve"> and </w:t>
            </w:r>
            <w:hyperlink r:id="rId92" w:tooltip="DisplayPort" w:history="1">
              <w:r>
                <w:rPr>
                  <w:rStyle w:val="Hyperlink"/>
                  <w:rFonts w:eastAsia="Times New Roman"/>
                </w:rPr>
                <w:t>DP</w:t>
              </w:r>
            </w:hyperlink>
            <w:r>
              <w:rPr>
                <w:rFonts w:eastAsia="Times New Roman"/>
              </w:rPr>
              <w:t xml:space="preserve"> ×4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B</w:t>
            </w:r>
          </w:p>
        </w:tc>
        <w:tc>
          <w:tcPr>
            <w:tcW w:w="0" w:type="auto"/>
            <w:vAlign w:val="center"/>
            <w:hideMark/>
          </w:tcPr>
          <w:p w:rsidR="00000000" w:rsidRDefault="004E1603">
            <w:pPr>
              <w:spacing w:before="180" w:after="216"/>
              <w:jc w:val="center"/>
              <w:rPr>
                <w:rFonts w:eastAsia="Times New Roman"/>
              </w:rPr>
            </w:pPr>
            <w:r>
              <w:rPr>
                <w:rFonts w:eastAsia="Times New Roman"/>
              </w:rPr>
              <w:t>12–19</w:t>
            </w:r>
          </w:p>
        </w:tc>
        <w:tc>
          <w:tcPr>
            <w:tcW w:w="0" w:type="auto"/>
            <w:vAlign w:val="center"/>
            <w:hideMark/>
          </w:tcPr>
          <w:p w:rsidR="00000000" w:rsidRDefault="004E1603">
            <w:pPr>
              <w:spacing w:before="180" w:after="216"/>
              <w:rPr>
                <w:rFonts w:eastAsia="Times New Roman"/>
              </w:rPr>
            </w:pPr>
            <w:r>
              <w:rPr>
                <w:rFonts w:eastAsia="Times New Roman"/>
              </w:rPr>
              <w:t xml:space="preserve">PCIe ×2, SATA, USB 2.0 and 3.0, audio, </w:t>
            </w:r>
            <w:hyperlink r:id="rId93" w:tooltip="User identity module" w:history="1">
              <w:r>
                <w:rPr>
                  <w:rStyle w:val="Hyperlink"/>
                  <w:rFonts w:eastAsia="Times New Roman"/>
                </w:rPr>
                <w:t>UIM</w:t>
              </w:r>
            </w:hyperlink>
            <w:r>
              <w:rPr>
                <w:rFonts w:eastAsia="Times New Roman"/>
              </w:rPr>
              <w:t xml:space="preserve">, </w:t>
            </w:r>
            <w:hyperlink r:id="rId94" w:tooltip="HSIC" w:history="1">
              <w:r>
                <w:rPr>
                  <w:rStyle w:val="Hyperlink"/>
                  <w:rFonts w:eastAsia="Times New Roman"/>
                </w:rPr>
                <w:t>HSIC</w:t>
              </w:r>
            </w:hyperlink>
            <w:r>
              <w:rPr>
                <w:rFonts w:eastAsia="Times New Roman"/>
              </w:rPr>
              <w:t xml:space="preserve">, </w:t>
            </w:r>
            <w:hyperlink r:id="rId95" w:tooltip="SSIC" w:history="1">
              <w:r>
                <w:rPr>
                  <w:rStyle w:val="Hyperlink"/>
                  <w:rFonts w:eastAsia="Times New Roman"/>
                </w:rPr>
                <w:t>SSIC</w:t>
              </w:r>
            </w:hyperlink>
            <w:r>
              <w:rPr>
                <w:rFonts w:eastAsia="Times New Roman"/>
              </w:rPr>
              <w:t>, I</w:t>
            </w:r>
            <w:r>
              <w:rPr>
                <w:rFonts w:eastAsia="Times New Roman"/>
                <w:vertAlign w:val="superscript"/>
              </w:rPr>
              <w:t>2</w:t>
            </w:r>
            <w:r>
              <w:rPr>
                <w:rFonts w:eastAsia="Times New Roman"/>
              </w:rPr>
              <w:t xml:space="preserve">C and </w:t>
            </w:r>
            <w:hyperlink r:id="rId96" w:tooltip="SMBus" w:history="1">
              <w:r>
                <w:rPr>
                  <w:rStyle w:val="Hyperlink"/>
                  <w:rFonts w:eastAsia="Times New Roman"/>
                </w:rPr>
                <w:t>SMBus</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C</w:t>
            </w:r>
          </w:p>
        </w:tc>
        <w:tc>
          <w:tcPr>
            <w:tcW w:w="0" w:type="auto"/>
            <w:vAlign w:val="center"/>
            <w:hideMark/>
          </w:tcPr>
          <w:p w:rsidR="00000000" w:rsidRDefault="004E1603">
            <w:pPr>
              <w:spacing w:before="180" w:after="216"/>
              <w:jc w:val="center"/>
              <w:rPr>
                <w:rFonts w:eastAsia="Times New Roman"/>
              </w:rPr>
            </w:pPr>
            <w:r>
              <w:rPr>
                <w:rFonts w:eastAsia="Times New Roman"/>
              </w:rPr>
              <w:t>16–23</w:t>
            </w:r>
          </w:p>
        </w:tc>
        <w:tc>
          <w:tcPr>
            <w:tcW w:w="0" w:type="auto"/>
            <w:vMerge w:val="restart"/>
            <w:vAlign w:val="center"/>
            <w:hideMark/>
          </w:tcPr>
          <w:p w:rsidR="00000000" w:rsidRDefault="004E1603">
            <w:pPr>
              <w:spacing w:before="180" w:after="216"/>
              <w:rPr>
                <w:rFonts w:eastAsia="Times New Roman"/>
              </w:rPr>
            </w:pPr>
            <w:r>
              <w:rPr>
                <w:rFonts w:eastAsia="Times New Roman"/>
              </w:rPr>
              <w:t>Reserved for future use</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D</w:t>
            </w:r>
          </w:p>
        </w:tc>
        <w:tc>
          <w:tcPr>
            <w:tcW w:w="0" w:type="auto"/>
            <w:vAlign w:val="center"/>
            <w:hideMark/>
          </w:tcPr>
          <w:p w:rsidR="00000000" w:rsidRDefault="004E1603">
            <w:pPr>
              <w:spacing w:before="180" w:after="216"/>
              <w:jc w:val="center"/>
              <w:rPr>
                <w:rFonts w:eastAsia="Times New Roman"/>
              </w:rPr>
            </w:pPr>
            <w:r>
              <w:rPr>
                <w:rFonts w:eastAsia="Times New Roman"/>
              </w:rPr>
              <w:t>20–27</w:t>
            </w:r>
          </w:p>
        </w:tc>
        <w:tc>
          <w:tcPr>
            <w:tcW w:w="0" w:type="auto"/>
            <w:vMerge/>
            <w:vAlign w:val="center"/>
            <w:hideMark/>
          </w:tcPr>
          <w:p w:rsidR="00000000" w:rsidRDefault="004E1603">
            <w:pPr>
              <w:spacing w:before="180" w:after="216"/>
              <w:rPr>
                <w:rFonts w:eastAsia="Times New Roman"/>
              </w:rPr>
            </w:pP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E</w:t>
            </w:r>
          </w:p>
        </w:tc>
        <w:tc>
          <w:tcPr>
            <w:tcW w:w="0" w:type="auto"/>
            <w:vAlign w:val="center"/>
            <w:hideMark/>
          </w:tcPr>
          <w:p w:rsidR="00000000" w:rsidRDefault="004E1603">
            <w:pPr>
              <w:spacing w:before="180" w:after="216"/>
              <w:jc w:val="center"/>
              <w:rPr>
                <w:rFonts w:eastAsia="Times New Roman"/>
              </w:rPr>
            </w:pPr>
            <w:r>
              <w:rPr>
                <w:rFonts w:eastAsia="Times New Roman"/>
              </w:rPr>
              <w:t>24–31</w:t>
            </w:r>
          </w:p>
        </w:tc>
        <w:tc>
          <w:tcPr>
            <w:tcW w:w="0" w:type="auto"/>
            <w:vAlign w:val="center"/>
            <w:hideMark/>
          </w:tcPr>
          <w:p w:rsidR="00000000" w:rsidRDefault="004E1603">
            <w:pPr>
              <w:spacing w:before="180" w:after="216"/>
              <w:rPr>
                <w:rFonts w:eastAsia="Times New Roman"/>
              </w:rPr>
            </w:pPr>
            <w:r>
              <w:rPr>
                <w:rFonts w:eastAsia="Times New Roman"/>
              </w:rPr>
              <w:t>PCIe ×2, USB 2.0, I</w:t>
            </w:r>
            <w:r>
              <w:rPr>
                <w:rFonts w:eastAsia="Times New Roman"/>
                <w:vertAlign w:val="superscript"/>
              </w:rPr>
              <w:t>2</w:t>
            </w:r>
            <w:r>
              <w:rPr>
                <w:rFonts w:eastAsia="Times New Roman"/>
              </w:rPr>
              <w:t xml:space="preserve">C, </w:t>
            </w:r>
            <w:hyperlink r:id="rId97" w:tooltip="Secure Digital Input Output" w:history="1">
              <w:r>
                <w:rPr>
                  <w:rStyle w:val="Hyperlink"/>
                  <w:rFonts w:eastAsia="Times New Roman"/>
                </w:rPr>
                <w:t>SDIO</w:t>
              </w:r>
            </w:hyperlink>
            <w:r>
              <w:rPr>
                <w:rFonts w:eastAsia="Times New Roman"/>
              </w:rPr>
              <w:t xml:space="preserve">, </w:t>
            </w:r>
            <w:hyperlink r:id="rId98" w:tooltip="UART" w:history="1">
              <w:r>
                <w:rPr>
                  <w:rStyle w:val="Hyperlink"/>
                  <w:rFonts w:eastAsia="Times New Roman"/>
                </w:rPr>
                <w:t>UART</w:t>
              </w:r>
            </w:hyperlink>
            <w:r>
              <w:rPr>
                <w:rFonts w:eastAsia="Times New Roman"/>
              </w:rPr>
              <w:t xml:space="preserve"> and </w:t>
            </w:r>
            <w:hyperlink r:id="rId99" w:tooltip="I2S" w:history="1">
              <w:r>
                <w:rPr>
                  <w:rStyle w:val="Hyperlink"/>
                  <w:rFonts w:eastAsia="Times New Roman"/>
                </w:rPr>
                <w:t>PCM</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F</w:t>
            </w:r>
          </w:p>
        </w:tc>
        <w:tc>
          <w:tcPr>
            <w:tcW w:w="0" w:type="auto"/>
            <w:vAlign w:val="center"/>
            <w:hideMark/>
          </w:tcPr>
          <w:p w:rsidR="00000000" w:rsidRDefault="004E1603">
            <w:pPr>
              <w:spacing w:before="180" w:after="216"/>
              <w:jc w:val="center"/>
              <w:rPr>
                <w:rFonts w:eastAsia="Times New Roman"/>
              </w:rPr>
            </w:pPr>
            <w:r>
              <w:rPr>
                <w:rFonts w:eastAsia="Times New Roman"/>
              </w:rPr>
              <w:t>28–35</w:t>
            </w:r>
          </w:p>
        </w:tc>
        <w:tc>
          <w:tcPr>
            <w:tcW w:w="0" w:type="auto"/>
            <w:vAlign w:val="center"/>
            <w:hideMark/>
          </w:tcPr>
          <w:p w:rsidR="00000000" w:rsidRDefault="004E1603">
            <w:pPr>
              <w:spacing w:before="180" w:after="216"/>
              <w:rPr>
                <w:rFonts w:eastAsia="Times New Roman"/>
              </w:rPr>
            </w:pPr>
            <w:r>
              <w:rPr>
                <w:rFonts w:eastAsia="Times New Roman"/>
              </w:rPr>
              <w:t>Future Memory Interface (FMI)</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G</w:t>
            </w:r>
          </w:p>
        </w:tc>
        <w:tc>
          <w:tcPr>
            <w:tcW w:w="0" w:type="auto"/>
            <w:vAlign w:val="center"/>
            <w:hideMark/>
          </w:tcPr>
          <w:p w:rsidR="00000000" w:rsidRDefault="004E1603">
            <w:pPr>
              <w:spacing w:before="180" w:after="216"/>
              <w:jc w:val="center"/>
              <w:rPr>
                <w:rFonts w:eastAsia="Times New Roman"/>
              </w:rPr>
            </w:pPr>
            <w:r>
              <w:rPr>
                <w:rFonts w:eastAsia="Times New Roman"/>
              </w:rPr>
              <w:t>39–46</w:t>
            </w:r>
          </w:p>
        </w:tc>
        <w:tc>
          <w:tcPr>
            <w:tcW w:w="0" w:type="auto"/>
            <w:vAlign w:val="center"/>
            <w:hideMark/>
          </w:tcPr>
          <w:p w:rsidR="00000000" w:rsidRDefault="004E1603">
            <w:pPr>
              <w:spacing w:before="180" w:after="216"/>
              <w:rPr>
                <w:rFonts w:eastAsia="Times New Roman"/>
              </w:rPr>
            </w:pPr>
            <w:r>
              <w:rPr>
                <w:rFonts w:eastAsia="Times New Roman"/>
              </w:rPr>
              <w:t>Reserved for custom use (unused in the M.2 specification)</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H</w:t>
            </w:r>
          </w:p>
        </w:tc>
        <w:tc>
          <w:tcPr>
            <w:tcW w:w="0" w:type="auto"/>
            <w:vAlign w:val="center"/>
            <w:hideMark/>
          </w:tcPr>
          <w:p w:rsidR="00000000" w:rsidRDefault="004E1603">
            <w:pPr>
              <w:spacing w:before="180" w:after="216"/>
              <w:jc w:val="center"/>
              <w:rPr>
                <w:rFonts w:eastAsia="Times New Roman"/>
              </w:rPr>
            </w:pPr>
            <w:r>
              <w:rPr>
                <w:rFonts w:eastAsia="Times New Roman"/>
              </w:rPr>
              <w:t>43–50</w:t>
            </w:r>
          </w:p>
        </w:tc>
        <w:tc>
          <w:tcPr>
            <w:tcW w:w="0" w:type="auto"/>
            <w:vMerge w:val="restart"/>
            <w:vAlign w:val="center"/>
            <w:hideMark/>
          </w:tcPr>
          <w:p w:rsidR="00000000" w:rsidRDefault="004E1603">
            <w:pPr>
              <w:spacing w:before="180" w:after="216"/>
              <w:rPr>
                <w:rFonts w:eastAsia="Times New Roman"/>
              </w:rPr>
            </w:pPr>
            <w:r>
              <w:rPr>
                <w:rFonts w:eastAsia="Times New Roman"/>
              </w:rPr>
              <w:t>Reserved for future use</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J</w:t>
            </w:r>
          </w:p>
        </w:tc>
        <w:tc>
          <w:tcPr>
            <w:tcW w:w="0" w:type="auto"/>
            <w:vAlign w:val="center"/>
            <w:hideMark/>
          </w:tcPr>
          <w:p w:rsidR="00000000" w:rsidRDefault="004E1603">
            <w:pPr>
              <w:spacing w:before="180" w:after="216"/>
              <w:jc w:val="center"/>
              <w:rPr>
                <w:rFonts w:eastAsia="Times New Roman"/>
              </w:rPr>
            </w:pPr>
            <w:r>
              <w:rPr>
                <w:rFonts w:eastAsia="Times New Roman"/>
              </w:rPr>
              <w:t>47–54</w:t>
            </w:r>
          </w:p>
        </w:tc>
        <w:tc>
          <w:tcPr>
            <w:tcW w:w="0" w:type="auto"/>
            <w:vMerge/>
            <w:vAlign w:val="center"/>
            <w:hideMark/>
          </w:tcPr>
          <w:p w:rsidR="00000000" w:rsidRDefault="004E1603">
            <w:pPr>
              <w:spacing w:before="180" w:after="216"/>
              <w:rPr>
                <w:rFonts w:eastAsia="Times New Roman"/>
              </w:rPr>
            </w:pP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K</w:t>
            </w:r>
          </w:p>
        </w:tc>
        <w:tc>
          <w:tcPr>
            <w:tcW w:w="0" w:type="auto"/>
            <w:vAlign w:val="center"/>
            <w:hideMark/>
          </w:tcPr>
          <w:p w:rsidR="00000000" w:rsidRDefault="004E1603">
            <w:pPr>
              <w:spacing w:before="180" w:after="216"/>
              <w:jc w:val="center"/>
              <w:rPr>
                <w:rFonts w:eastAsia="Times New Roman"/>
              </w:rPr>
            </w:pPr>
            <w:r>
              <w:rPr>
                <w:rFonts w:eastAsia="Times New Roman"/>
              </w:rPr>
              <w:t>51–58</w:t>
            </w:r>
          </w:p>
        </w:tc>
        <w:tc>
          <w:tcPr>
            <w:tcW w:w="0" w:type="auto"/>
            <w:vMerge/>
            <w:vAlign w:val="center"/>
            <w:hideMark/>
          </w:tcPr>
          <w:p w:rsidR="00000000" w:rsidRDefault="004E1603">
            <w:pPr>
              <w:spacing w:before="180" w:after="216"/>
              <w:rPr>
                <w:rFonts w:eastAsia="Times New Roman"/>
              </w:rPr>
            </w:pP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L</w:t>
            </w:r>
          </w:p>
        </w:tc>
        <w:tc>
          <w:tcPr>
            <w:tcW w:w="0" w:type="auto"/>
            <w:vAlign w:val="center"/>
            <w:hideMark/>
          </w:tcPr>
          <w:p w:rsidR="00000000" w:rsidRDefault="004E1603">
            <w:pPr>
              <w:spacing w:before="180" w:after="216"/>
              <w:jc w:val="center"/>
              <w:rPr>
                <w:rFonts w:eastAsia="Times New Roman"/>
              </w:rPr>
            </w:pPr>
            <w:r>
              <w:rPr>
                <w:rFonts w:eastAsia="Times New Roman"/>
              </w:rPr>
              <w:t>55–62</w:t>
            </w:r>
          </w:p>
        </w:tc>
        <w:tc>
          <w:tcPr>
            <w:tcW w:w="0" w:type="auto"/>
            <w:vMerge/>
            <w:vAlign w:val="center"/>
            <w:hideMark/>
          </w:tcPr>
          <w:p w:rsidR="00000000" w:rsidRDefault="004E1603">
            <w:pPr>
              <w:spacing w:before="180" w:after="216"/>
              <w:rPr>
                <w:rFonts w:eastAsia="Times New Roman"/>
              </w:rPr>
            </w:pP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M</w:t>
            </w:r>
          </w:p>
        </w:tc>
        <w:tc>
          <w:tcPr>
            <w:tcW w:w="0" w:type="auto"/>
            <w:vAlign w:val="center"/>
            <w:hideMark/>
          </w:tcPr>
          <w:p w:rsidR="00000000" w:rsidRDefault="004E1603">
            <w:pPr>
              <w:spacing w:before="180" w:after="216"/>
              <w:jc w:val="center"/>
              <w:rPr>
                <w:rFonts w:eastAsia="Times New Roman"/>
              </w:rPr>
            </w:pPr>
            <w:r>
              <w:rPr>
                <w:rFonts w:eastAsia="Times New Roman"/>
              </w:rPr>
              <w:t>59–66</w:t>
            </w:r>
          </w:p>
        </w:tc>
        <w:tc>
          <w:tcPr>
            <w:tcW w:w="0" w:type="auto"/>
            <w:vAlign w:val="center"/>
            <w:hideMark/>
          </w:tcPr>
          <w:p w:rsidR="00000000" w:rsidRDefault="004E1603">
            <w:pPr>
              <w:spacing w:before="180" w:after="216"/>
              <w:rPr>
                <w:rFonts w:eastAsia="Times New Roman"/>
              </w:rPr>
            </w:pPr>
            <w:r>
              <w:rPr>
                <w:rFonts w:eastAsia="Times New Roman"/>
              </w:rPr>
              <w:t>PCIe ×4, SATA and SMBus</w:t>
            </w:r>
          </w:p>
        </w:tc>
      </w:tr>
    </w:tbl>
    <w:p w:rsidR="00000000" w:rsidRDefault="004E1603">
      <w:pPr>
        <w:pStyle w:val="NormalWeb"/>
        <w:jc w:val="center"/>
      </w:pPr>
      <w:hyperlink r:id="rId100" w:tooltip="Template:Col-break" w:history="1">
        <w:r>
          <w:rPr>
            <w:rStyle w:val="Hyperlink"/>
          </w:rPr>
          <w:t>Template:Col-break</w:t>
        </w:r>
      </w:hyperlink>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jc w:val="center"/>
        </w:trPr>
        <w:tc>
          <w:tcPr>
            <w:tcW w:w="0" w:type="auto"/>
            <w:gridSpan w:val="3"/>
            <w:tcBorders>
              <w:top w:val="nil"/>
              <w:left w:val="nil"/>
              <w:bottom w:val="nil"/>
              <w:right w:val="nil"/>
            </w:tcBorders>
            <w:vAlign w:val="center"/>
            <w:hideMark/>
          </w:tcPr>
          <w:p w:rsidR="00000000" w:rsidRDefault="004E1603">
            <w:pPr>
              <w:spacing w:before="180" w:after="216"/>
              <w:jc w:val="center"/>
              <w:rPr>
                <w:rFonts w:eastAsia="Times New Roman"/>
              </w:rPr>
            </w:pPr>
            <w:r>
              <w:rPr>
                <w:rFonts w:eastAsia="Times New Roman"/>
              </w:rPr>
              <w:t>Maximum component thickness on M.2 module</w:t>
            </w:r>
            <w:r>
              <w:rPr>
                <w:rFonts w:eastAsia="Times New Roman"/>
              </w:rPr>
              <w:t>s</w:t>
            </w:r>
            <w:hyperlink w:anchor="cite_note-4" w:history="1">
              <w:r>
                <w:rPr>
                  <w:rStyle w:val="Hyperlink"/>
                  <w:rFonts w:eastAsia="Times New Roman"/>
                  <w:vertAlign w:val="superscript"/>
                </w:rPr>
                <w:t>[4]</w:t>
              </w:r>
            </w:hyperlink>
            <w:hyperlink r:id="rId101" w:tooltip="Template:Rp" w:history="1">
              <w:r>
                <w:rPr>
                  <w:rStyle w:val="Hyperlink"/>
                  <w:rFonts w:eastAsia="Times New Roman"/>
                </w:rPr>
                <w:t>Template:Rp</w:t>
              </w:r>
            </w:hyperlink>
            <w:hyperlink w:anchor="cite_note-11" w:history="1">
              <w:r>
                <w:rPr>
                  <w:rStyle w:val="Hyperlink"/>
                  <w:rFonts w:eastAsia="Times New Roman"/>
                  <w:vertAlign w:val="superscript"/>
                </w:rPr>
                <w:t>[11]</w:t>
              </w:r>
            </w:hyperlink>
            <w:hyperlink r:id="rId102" w:tooltip="Template:Rp" w:history="1">
              <w:r>
                <w:rPr>
                  <w:rStyle w:val="Hyperlink"/>
                  <w:rFonts w:eastAsia="Times New Roman"/>
                </w:rPr>
                <w:t>Template:Rp</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b/>
                <w:bCs/>
              </w:rPr>
            </w:pPr>
            <w:r>
              <w:rPr>
                <w:rFonts w:eastAsia="Times New Roman"/>
                <w:b/>
                <w:bCs/>
              </w:rPr>
              <w:t>Type</w:t>
            </w:r>
            <w:r>
              <w:rPr>
                <w:rFonts w:eastAsia="Times New Roman"/>
                <w:b/>
                <w:bCs/>
              </w:rPr>
              <w:br/>
              <w:t xml:space="preserve">ID </w:t>
            </w:r>
          </w:p>
        </w:tc>
        <w:tc>
          <w:tcPr>
            <w:tcW w:w="0" w:type="auto"/>
            <w:vAlign w:val="center"/>
            <w:hideMark/>
          </w:tcPr>
          <w:p w:rsidR="00000000" w:rsidRDefault="004E1603">
            <w:pPr>
              <w:spacing w:before="180" w:after="216"/>
              <w:jc w:val="center"/>
              <w:rPr>
                <w:rFonts w:eastAsia="Times New Roman"/>
                <w:b/>
                <w:bCs/>
              </w:rPr>
            </w:pPr>
            <w:r>
              <w:rPr>
                <w:rFonts w:eastAsia="Times New Roman"/>
                <w:b/>
                <w:bCs/>
              </w:rPr>
              <w:t>Top side</w:t>
            </w:r>
          </w:p>
        </w:tc>
        <w:tc>
          <w:tcPr>
            <w:tcW w:w="0" w:type="auto"/>
            <w:vAlign w:val="center"/>
            <w:hideMark/>
          </w:tcPr>
          <w:p w:rsidR="00000000" w:rsidRDefault="004E1603">
            <w:pPr>
              <w:spacing w:before="180" w:after="216"/>
              <w:jc w:val="center"/>
              <w:rPr>
                <w:rFonts w:eastAsia="Times New Roman"/>
                <w:b/>
                <w:bCs/>
              </w:rPr>
            </w:pPr>
            <w:r>
              <w:rPr>
                <w:rFonts w:eastAsia="Times New Roman"/>
                <w:b/>
                <w:bCs/>
              </w:rPr>
              <w:t>Bottom side</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S1</w:t>
            </w:r>
          </w:p>
        </w:tc>
        <w:tc>
          <w:tcPr>
            <w:tcW w:w="0" w:type="auto"/>
            <w:vAlign w:val="center"/>
            <w:hideMark/>
          </w:tcPr>
          <w:p w:rsidR="00000000" w:rsidRDefault="004E1603">
            <w:pPr>
              <w:spacing w:before="180" w:after="216"/>
              <w:jc w:val="center"/>
              <w:rPr>
                <w:rFonts w:eastAsia="Times New Roman"/>
              </w:rPr>
            </w:pPr>
            <w:r>
              <w:rPr>
                <w:rFonts w:eastAsia="Times New Roman"/>
              </w:rPr>
              <w:t>1.20 mm</w:t>
            </w:r>
          </w:p>
        </w:tc>
        <w:tc>
          <w:tcPr>
            <w:tcW w:w="0" w:type="auto"/>
            <w:vAlign w:val="center"/>
            <w:hideMark/>
          </w:tcPr>
          <w:p w:rsidR="00000000" w:rsidRDefault="004E1603">
            <w:pPr>
              <w:spacing w:before="180" w:after="216"/>
              <w:jc w:val="center"/>
              <w:rPr>
                <w:rFonts w:eastAsia="Times New Roman"/>
              </w:rPr>
            </w:pPr>
            <w:hyperlink r:id="rId103" w:tooltip="Template:N/A" w:history="1">
              <w:r>
                <w:rPr>
                  <w:rStyle w:val="Hyperlink"/>
                  <w:rFonts w:eastAsia="Times New Roman"/>
                </w:rPr>
                <w:t>Template:N/A</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S2</w:t>
            </w:r>
          </w:p>
        </w:tc>
        <w:tc>
          <w:tcPr>
            <w:tcW w:w="0" w:type="auto"/>
            <w:vAlign w:val="center"/>
            <w:hideMark/>
          </w:tcPr>
          <w:p w:rsidR="00000000" w:rsidRDefault="004E1603">
            <w:pPr>
              <w:spacing w:before="180" w:after="216"/>
              <w:jc w:val="center"/>
              <w:rPr>
                <w:rFonts w:eastAsia="Times New Roman"/>
              </w:rPr>
            </w:pPr>
            <w:r>
              <w:rPr>
                <w:rFonts w:eastAsia="Times New Roman"/>
              </w:rPr>
              <w:t>1.35 mm</w:t>
            </w:r>
          </w:p>
        </w:tc>
        <w:tc>
          <w:tcPr>
            <w:tcW w:w="0" w:type="auto"/>
            <w:vAlign w:val="center"/>
            <w:hideMark/>
          </w:tcPr>
          <w:p w:rsidR="00000000" w:rsidRDefault="004E1603">
            <w:pPr>
              <w:spacing w:before="180" w:after="216"/>
              <w:jc w:val="center"/>
              <w:rPr>
                <w:rFonts w:eastAsia="Times New Roman"/>
              </w:rPr>
            </w:pPr>
            <w:hyperlink r:id="rId104" w:tooltip="Template:N/A" w:history="1">
              <w:r>
                <w:rPr>
                  <w:rStyle w:val="Hyperlink"/>
                  <w:rFonts w:eastAsia="Times New Roman"/>
                </w:rPr>
                <w:t>Template:N/A</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S3</w:t>
            </w:r>
          </w:p>
        </w:tc>
        <w:tc>
          <w:tcPr>
            <w:tcW w:w="0" w:type="auto"/>
            <w:vAlign w:val="center"/>
            <w:hideMark/>
          </w:tcPr>
          <w:p w:rsidR="00000000" w:rsidRDefault="004E1603">
            <w:pPr>
              <w:spacing w:before="180" w:after="216"/>
              <w:jc w:val="center"/>
              <w:rPr>
                <w:rFonts w:eastAsia="Times New Roman"/>
              </w:rPr>
            </w:pPr>
            <w:r>
              <w:rPr>
                <w:rFonts w:eastAsia="Times New Roman"/>
              </w:rPr>
              <w:t>1.50 mm</w:t>
            </w:r>
          </w:p>
        </w:tc>
        <w:tc>
          <w:tcPr>
            <w:tcW w:w="0" w:type="auto"/>
            <w:vAlign w:val="center"/>
            <w:hideMark/>
          </w:tcPr>
          <w:p w:rsidR="00000000" w:rsidRDefault="004E1603">
            <w:pPr>
              <w:spacing w:before="180" w:after="216"/>
              <w:jc w:val="center"/>
              <w:rPr>
                <w:rFonts w:eastAsia="Times New Roman"/>
              </w:rPr>
            </w:pPr>
            <w:hyperlink r:id="rId105" w:tooltip="Template:N/A" w:history="1">
              <w:r>
                <w:rPr>
                  <w:rStyle w:val="Hyperlink"/>
                  <w:rFonts w:eastAsia="Times New Roman"/>
                </w:rPr>
                <w:t>Template:N/A</w:t>
              </w:r>
            </w:hyperlink>
            <w:r>
              <w:rPr>
                <w:rFonts w:eastAsia="Times New Roman"/>
              </w:rPr>
              <w:t xml:space="preserve"> </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D1</w:t>
            </w:r>
          </w:p>
        </w:tc>
        <w:tc>
          <w:tcPr>
            <w:tcW w:w="0" w:type="auto"/>
            <w:vAlign w:val="center"/>
            <w:hideMark/>
          </w:tcPr>
          <w:p w:rsidR="00000000" w:rsidRDefault="004E1603">
            <w:pPr>
              <w:spacing w:before="180" w:after="216"/>
              <w:jc w:val="center"/>
              <w:rPr>
                <w:rFonts w:eastAsia="Times New Roman"/>
              </w:rPr>
            </w:pPr>
            <w:r>
              <w:rPr>
                <w:rFonts w:eastAsia="Times New Roman"/>
              </w:rPr>
              <w:t>1.20 mm</w:t>
            </w:r>
          </w:p>
        </w:tc>
        <w:tc>
          <w:tcPr>
            <w:tcW w:w="0" w:type="auto"/>
            <w:vAlign w:val="center"/>
            <w:hideMark/>
          </w:tcPr>
          <w:p w:rsidR="00000000" w:rsidRDefault="004E1603">
            <w:pPr>
              <w:spacing w:before="180" w:after="216"/>
              <w:jc w:val="center"/>
              <w:rPr>
                <w:rFonts w:eastAsia="Times New Roman"/>
              </w:rPr>
            </w:pPr>
            <w:r>
              <w:rPr>
                <w:rFonts w:eastAsia="Times New Roman"/>
              </w:rPr>
              <w:t>1.35 mm</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D2</w:t>
            </w:r>
          </w:p>
        </w:tc>
        <w:tc>
          <w:tcPr>
            <w:tcW w:w="0" w:type="auto"/>
            <w:vAlign w:val="center"/>
            <w:hideMark/>
          </w:tcPr>
          <w:p w:rsidR="00000000" w:rsidRDefault="004E1603">
            <w:pPr>
              <w:spacing w:before="180" w:after="216"/>
              <w:jc w:val="center"/>
              <w:rPr>
                <w:rFonts w:eastAsia="Times New Roman"/>
              </w:rPr>
            </w:pPr>
            <w:r>
              <w:rPr>
                <w:rFonts w:eastAsia="Times New Roman"/>
              </w:rPr>
              <w:t>1.35 mm</w:t>
            </w:r>
          </w:p>
        </w:tc>
        <w:tc>
          <w:tcPr>
            <w:tcW w:w="0" w:type="auto"/>
            <w:vAlign w:val="center"/>
            <w:hideMark/>
          </w:tcPr>
          <w:p w:rsidR="00000000" w:rsidRDefault="004E1603">
            <w:pPr>
              <w:spacing w:before="180" w:after="216"/>
              <w:jc w:val="center"/>
              <w:rPr>
                <w:rFonts w:eastAsia="Times New Roman"/>
              </w:rPr>
            </w:pPr>
            <w:r>
              <w:rPr>
                <w:rFonts w:eastAsia="Times New Roman"/>
              </w:rPr>
              <w:t>1.35 mm</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D3</w:t>
            </w:r>
          </w:p>
        </w:tc>
        <w:tc>
          <w:tcPr>
            <w:tcW w:w="0" w:type="auto"/>
            <w:vAlign w:val="center"/>
            <w:hideMark/>
          </w:tcPr>
          <w:p w:rsidR="00000000" w:rsidRDefault="004E1603">
            <w:pPr>
              <w:spacing w:before="180" w:after="216"/>
              <w:jc w:val="center"/>
              <w:rPr>
                <w:rFonts w:eastAsia="Times New Roman"/>
              </w:rPr>
            </w:pPr>
            <w:r>
              <w:rPr>
                <w:rFonts w:eastAsia="Times New Roman"/>
              </w:rPr>
              <w:t>1.50 mm</w:t>
            </w:r>
          </w:p>
        </w:tc>
        <w:tc>
          <w:tcPr>
            <w:tcW w:w="0" w:type="auto"/>
            <w:vAlign w:val="center"/>
            <w:hideMark/>
          </w:tcPr>
          <w:p w:rsidR="00000000" w:rsidRDefault="004E1603">
            <w:pPr>
              <w:spacing w:before="180" w:after="216"/>
              <w:jc w:val="center"/>
              <w:rPr>
                <w:rFonts w:eastAsia="Times New Roman"/>
              </w:rPr>
            </w:pPr>
            <w:r>
              <w:rPr>
                <w:rFonts w:eastAsia="Times New Roman"/>
              </w:rPr>
              <w:t>1.35 mm</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D4</w:t>
            </w:r>
          </w:p>
        </w:tc>
        <w:tc>
          <w:tcPr>
            <w:tcW w:w="0" w:type="auto"/>
            <w:vAlign w:val="center"/>
            <w:hideMark/>
          </w:tcPr>
          <w:p w:rsidR="00000000" w:rsidRDefault="004E1603">
            <w:pPr>
              <w:spacing w:before="180" w:after="216"/>
              <w:jc w:val="center"/>
              <w:rPr>
                <w:rFonts w:eastAsia="Times New Roman"/>
              </w:rPr>
            </w:pPr>
            <w:r>
              <w:rPr>
                <w:rFonts w:eastAsia="Times New Roman"/>
              </w:rPr>
              <w:t>1.50 mm</w:t>
            </w:r>
          </w:p>
        </w:tc>
        <w:tc>
          <w:tcPr>
            <w:tcW w:w="0" w:type="auto"/>
            <w:vAlign w:val="center"/>
            <w:hideMark/>
          </w:tcPr>
          <w:p w:rsidR="00000000" w:rsidRDefault="004E1603">
            <w:pPr>
              <w:spacing w:before="180" w:after="216"/>
              <w:jc w:val="center"/>
              <w:rPr>
                <w:rFonts w:eastAsia="Times New Roman"/>
              </w:rPr>
            </w:pPr>
            <w:r>
              <w:rPr>
                <w:rFonts w:eastAsia="Times New Roman"/>
              </w:rPr>
              <w:t>0.70 mm</w:t>
            </w:r>
          </w:p>
        </w:tc>
      </w:tr>
      <w:tr w:rsidR="00000000">
        <w:trPr>
          <w:tblCellSpacing w:w="15" w:type="dxa"/>
          <w:jc w:val="center"/>
        </w:trPr>
        <w:tc>
          <w:tcPr>
            <w:tcW w:w="0" w:type="auto"/>
            <w:vAlign w:val="center"/>
            <w:hideMark/>
          </w:tcPr>
          <w:p w:rsidR="00000000" w:rsidRDefault="004E1603">
            <w:pPr>
              <w:spacing w:before="180" w:after="216"/>
              <w:jc w:val="center"/>
              <w:rPr>
                <w:rFonts w:eastAsia="Times New Roman"/>
              </w:rPr>
            </w:pPr>
            <w:r>
              <w:rPr>
                <w:rFonts w:eastAsia="Times New Roman"/>
              </w:rPr>
              <w:t>D5</w:t>
            </w:r>
          </w:p>
        </w:tc>
        <w:tc>
          <w:tcPr>
            <w:tcW w:w="0" w:type="auto"/>
            <w:vAlign w:val="center"/>
            <w:hideMark/>
          </w:tcPr>
          <w:p w:rsidR="00000000" w:rsidRDefault="004E1603">
            <w:pPr>
              <w:spacing w:before="180" w:after="216"/>
              <w:jc w:val="center"/>
              <w:rPr>
                <w:rFonts w:eastAsia="Times New Roman"/>
              </w:rPr>
            </w:pPr>
            <w:r>
              <w:rPr>
                <w:rFonts w:eastAsia="Times New Roman"/>
              </w:rPr>
              <w:t>1.50 mm</w:t>
            </w:r>
          </w:p>
        </w:tc>
        <w:tc>
          <w:tcPr>
            <w:tcW w:w="0" w:type="auto"/>
            <w:vAlign w:val="center"/>
            <w:hideMark/>
          </w:tcPr>
          <w:p w:rsidR="00000000" w:rsidRDefault="004E1603">
            <w:pPr>
              <w:spacing w:before="180" w:after="216"/>
              <w:jc w:val="center"/>
              <w:rPr>
                <w:rFonts w:eastAsia="Times New Roman"/>
              </w:rPr>
            </w:pPr>
            <w:r>
              <w:rPr>
                <w:rFonts w:eastAsia="Times New Roman"/>
              </w:rPr>
              <w:t>1.50 mm</w:t>
            </w:r>
          </w:p>
        </w:tc>
      </w:tr>
    </w:tbl>
    <w:p w:rsidR="00000000" w:rsidRDefault="004E1603">
      <w:pPr>
        <w:pStyle w:val="NormalWeb"/>
        <w:jc w:val="center"/>
      </w:pPr>
      <w:hyperlink r:id="rId106" w:tooltip="Template:Col-end" w:history="1">
        <w:r>
          <w:rPr>
            <w:rStyle w:val="Hyperlink"/>
          </w:rPr>
          <w:t>Template:Col-end</w:t>
        </w:r>
      </w:hyperlink>
      <w:r>
        <w:t xml:space="preserve"> </w:t>
      </w:r>
    </w:p>
    <w:p w:rsidR="00000000" w:rsidRDefault="004E1603">
      <w:pPr>
        <w:pStyle w:val="NormalWeb"/>
      </w:pPr>
      <w:hyperlink r:id="rId107" w:tooltip="File:M2 Edge Connector Keying.svg" w:history="1">
        <w:r>
          <w:rPr>
            <w:rStyle w:val="Hyperlink"/>
          </w:rPr>
          <w:t>thumb|upright=1.8|right|M.2 keying notches in B and M positions; overlapping of the pins on different sides of an M.2 module is also visible</w:t>
        </w:r>
        <w:r>
          <w:rPr>
            <w:rStyle w:val="Hyperlink"/>
          </w:rPr>
          <w:t>.</w:t>
        </w:r>
      </w:hyperlink>
      <w:hyperlink w:anchor="cite_note-16" w:history="1">
        <w:r>
          <w:rPr>
            <w:rStyle w:val="Hyperlink"/>
            <w:vertAlign w:val="superscript"/>
          </w:rPr>
          <w:t>[16]</w:t>
        </w:r>
      </w:hyperlink>
      <w:r>
        <w:t xml:space="preserve"> </w:t>
      </w:r>
    </w:p>
    <w:p w:rsidR="00000000" w:rsidRDefault="004E1603">
      <w:pPr>
        <w:pStyle w:val="NormalWeb"/>
      </w:pPr>
      <w:r>
        <w:t>PCB of an M.2 module provides a 75-position edge connector; depending on the type of module, certain pin positions are removed to present one or more keying notches. Host-side M.2 connectors (sockets) may populate one or more mating ke</w:t>
      </w:r>
      <w:r>
        <w:t xml:space="preserve">y positions, determining the type of modules accepted by the host; </w:t>
      </w:r>
      <w:hyperlink r:id="rId108" w:tooltip="Template:As of" w:history="1">
        <w:r>
          <w:rPr>
            <w:rStyle w:val="Hyperlink"/>
          </w:rPr>
          <w:t>Template:As of</w:t>
        </w:r>
      </w:hyperlink>
      <w:r>
        <w:t>, host-side connectors are available with only one mating key position populated (either B or M)</w:t>
      </w:r>
      <w:r>
        <w:t>.</w:t>
      </w:r>
      <w:hyperlink w:anchor="cite_note-4" w:history="1">
        <w:r>
          <w:rPr>
            <w:rStyle w:val="Hyperlink"/>
            <w:vertAlign w:val="superscript"/>
          </w:rPr>
          <w:t>[4]</w:t>
        </w:r>
      </w:hyperlink>
      <w:hyperlink w:anchor="cite_note-11" w:history="1">
        <w:r>
          <w:rPr>
            <w:rStyle w:val="Hyperlink"/>
            <w:vertAlign w:val="superscript"/>
          </w:rPr>
          <w:t>[11]</w:t>
        </w:r>
      </w:hyperlink>
      <w:hyperlink w:anchor="cite_note-16" w:history="1">
        <w:r>
          <w:rPr>
            <w:rStyle w:val="Hyperlink"/>
            <w:vertAlign w:val="superscript"/>
          </w:rPr>
          <w:t>[16]</w:t>
        </w:r>
      </w:hyperlink>
      <w:r>
        <w:t xml:space="preserve"> Furthermore, M.2 sockets keyed for SATA or two PCI Express lanes (PCIe ×2) are referred to as "socket 2 configuration" or "socket 2", while the sockets keyed for</w:t>
      </w:r>
      <w:r>
        <w:t xml:space="preserve"> four PCI Express lanes (PCIe ×4) are referred to as "socket 3 configuration" or "socket 3"</w:t>
      </w:r>
      <w:r>
        <w:t>.</w:t>
      </w:r>
      <w:hyperlink w:anchor="cite_note-1" w:history="1">
        <w:r>
          <w:rPr>
            <w:rStyle w:val="Hyperlink"/>
            <w:vertAlign w:val="superscript"/>
          </w:rPr>
          <w:t>[1]</w:t>
        </w:r>
      </w:hyperlink>
      <w:hyperlink r:id="rId109" w:tooltip="Template:Rp" w:history="1">
        <w:r>
          <w:rPr>
            <w:rStyle w:val="Hyperlink"/>
          </w:rPr>
          <w:t>Template:Rp</w:t>
        </w:r>
      </w:hyperlink>
      <w:hyperlink w:anchor="cite_note-17" w:history="1">
        <w:r>
          <w:rPr>
            <w:rStyle w:val="Hyperlink"/>
            <w:vertAlign w:val="superscript"/>
          </w:rPr>
          <w:t>[17]</w:t>
        </w:r>
      </w:hyperlink>
      <w:r>
        <w:t xml:space="preserve"> For example, M.2 modules </w:t>
      </w:r>
      <w:r>
        <w:t>with two notches in B and M positions use up to two PCI Express lanes and provide broader compatibility at the same time, while the M.2 modules with only one notch in the M position use up to four PCI Express lanes; both examples may also provide SATA stor</w:t>
      </w:r>
      <w:r>
        <w:t>age devices. Similar keying applies to M.2 modules that utilize provided USB 3.0 connectivity</w:t>
      </w:r>
      <w:r>
        <w:t>.</w:t>
      </w:r>
      <w:hyperlink w:anchor="cite_note-4" w:history="1">
        <w:r>
          <w:rPr>
            <w:rStyle w:val="Hyperlink"/>
            <w:vertAlign w:val="superscript"/>
          </w:rPr>
          <w:t>[4]</w:t>
        </w:r>
      </w:hyperlink>
      <w:hyperlink w:anchor="cite_note-16" w:history="1">
        <w:r>
          <w:rPr>
            <w:rStyle w:val="Hyperlink"/>
            <w:vertAlign w:val="superscript"/>
          </w:rPr>
          <w:t>[16]</w:t>
        </w:r>
      </w:hyperlink>
      <w:hyperlink w:anchor="cite_note-18" w:history="1">
        <w:r>
          <w:rPr>
            <w:rStyle w:val="Hyperlink"/>
            <w:vertAlign w:val="superscript"/>
          </w:rPr>
          <w:t>[18]</w:t>
        </w:r>
      </w:hyperlink>
      <w:r>
        <w:t xml:space="preserve"> Various types of M.2 devices are denoted using</w:t>
      </w:r>
      <w:r>
        <w:t xml:space="preserve"> the "WWLL-HH-K-K" or "WWLL-HH-K" naming schemes, in which "WW" and "LL" specify the module width and length in millimeters, respectively. The "HH" part specifies, in an encoded form, whether a module is single- or double-sided, and the maximum allowed thi</w:t>
      </w:r>
      <w:r>
        <w:t xml:space="preserve">ckness of mounted components; possible values are listed in the right table above. Module keying is specified by the "K-K" part, in an encoded form using the key IDs from the left table above; it can also be specified as "K" only, if a module has only one </w:t>
      </w:r>
      <w:r>
        <w:t>keying notch</w:t>
      </w:r>
      <w:r>
        <w:t>.</w:t>
      </w:r>
      <w:hyperlink w:anchor="cite_note-4" w:history="1">
        <w:r>
          <w:rPr>
            <w:rStyle w:val="Hyperlink"/>
            <w:vertAlign w:val="superscript"/>
          </w:rPr>
          <w:t>[4]</w:t>
        </w:r>
      </w:hyperlink>
      <w:hyperlink w:anchor="cite_note-11" w:history="1">
        <w:r>
          <w:rPr>
            <w:rStyle w:val="Hyperlink"/>
            <w:vertAlign w:val="superscript"/>
          </w:rPr>
          <w:t>[11]</w:t>
        </w:r>
      </w:hyperlink>
      <w:r>
        <w:t xml:space="preserve"> Beside socketed modules, the M.2 standard also includes the option for having permanently </w:t>
      </w:r>
      <w:hyperlink r:id="rId110" w:tooltip="Soldering" w:history="1">
        <w:r>
          <w:rPr>
            <w:rStyle w:val="Hyperlink"/>
          </w:rPr>
          <w:t>soldered</w:t>
        </w:r>
      </w:hyperlink>
      <w:r>
        <w:t xml:space="preserve"> single-sided modules</w:t>
      </w:r>
      <w:r>
        <w:t>.</w:t>
      </w:r>
      <w:hyperlink w:anchor="cite_note-11" w:history="1">
        <w:r>
          <w:rPr>
            <w:rStyle w:val="Hyperlink"/>
            <w:vertAlign w:val="superscript"/>
          </w:rPr>
          <w:t>[11]</w:t>
        </w:r>
      </w:hyperlink>
      <w:r>
        <w:t xml:space="preserve"> </w:t>
      </w:r>
    </w:p>
    <w:p w:rsidR="00000000" w:rsidRDefault="004E160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1" w:tooltip="Edit section: See also" w:history="1">
        <w:r>
          <w:rPr>
            <w:rStyle w:val="Hyperlink"/>
            <w:rFonts w:eastAsia="Times New Roman"/>
          </w:rPr>
          <w:t>edit</w:t>
        </w:r>
      </w:hyperlink>
      <w:r>
        <w:rPr>
          <w:rStyle w:val="mw-editsection-bracket"/>
          <w:rFonts w:eastAsia="Times New Roman"/>
        </w:rPr>
        <w:t>]</w:t>
      </w:r>
    </w:p>
    <w:p w:rsidR="00000000" w:rsidRDefault="004E1603">
      <w:pPr>
        <w:pStyle w:val="NormalWeb"/>
      </w:pPr>
      <w:hyperlink r:id="rId112" w:tooltip="Template:Portal" w:history="1">
        <w:r>
          <w:rPr>
            <w:rStyle w:val="Hyperlink"/>
          </w:rPr>
          <w:t>Template:Portal</w:t>
        </w:r>
      </w:hyperlink>
      <w:r>
        <w:t xml:space="preserve"> </w:t>
      </w:r>
    </w:p>
    <w:p w:rsidR="00000000" w:rsidRDefault="004E1603">
      <w:pPr>
        <w:numPr>
          <w:ilvl w:val="0"/>
          <w:numId w:val="2"/>
        </w:numPr>
        <w:spacing w:before="100" w:beforeAutospacing="1" w:after="100" w:afterAutospacing="1"/>
        <w:rPr>
          <w:rFonts w:eastAsia="Times New Roman"/>
        </w:rPr>
      </w:pPr>
      <w:hyperlink r:id="rId113" w:tooltip="List of device bandwidths" w:history="1">
        <w:r>
          <w:rPr>
            <w:rStyle w:val="Hyperlink"/>
            <w:rFonts w:eastAsia="Times New Roman"/>
          </w:rPr>
          <w:t>List of device bandwidths</w:t>
        </w:r>
      </w:hyperlink>
      <w:r>
        <w:rPr>
          <w:rFonts w:eastAsia="Times New Roman"/>
        </w:rPr>
        <w:t xml:space="preserve"> </w:t>
      </w:r>
    </w:p>
    <w:p w:rsidR="00000000" w:rsidRDefault="004E1603">
      <w:pPr>
        <w:numPr>
          <w:ilvl w:val="0"/>
          <w:numId w:val="2"/>
        </w:numPr>
        <w:spacing w:before="100" w:beforeAutospacing="1" w:after="100" w:afterAutospacing="1"/>
        <w:rPr>
          <w:rFonts w:eastAsia="Times New Roman"/>
        </w:rPr>
      </w:pPr>
      <w:hyperlink r:id="rId114" w:tooltip="Solid-state drive configurations" w:history="1">
        <w:r>
          <w:rPr>
            <w:rStyle w:val="Hyperlink"/>
            <w:rFonts w:eastAsia="Times New Roman"/>
          </w:rPr>
          <w:t>Solid-state drive configurations</w:t>
        </w:r>
      </w:hyperlink>
      <w:r>
        <w:rPr>
          <w:rFonts w:eastAsia="Times New Roman"/>
        </w:rPr>
        <w:t xml:space="preserve"> </w:t>
      </w:r>
    </w:p>
    <w:p w:rsidR="00000000" w:rsidRDefault="004E160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5" w:tooltip="Edit section: References" w:history="1">
        <w:r>
          <w:rPr>
            <w:rStyle w:val="Hyperlink"/>
            <w:rFonts w:eastAsia="Times New Roman"/>
          </w:rPr>
          <w:t>edit</w:t>
        </w:r>
      </w:hyperlink>
      <w:r>
        <w:rPr>
          <w:rStyle w:val="mw-editsection-bracket"/>
          <w:rFonts w:eastAsia="Times New Roman"/>
        </w:rPr>
        <w:t>]</w:t>
      </w:r>
    </w:p>
    <w:p w:rsidR="00000000" w:rsidRDefault="004E1603">
      <w:pPr>
        <w:pStyle w:val="NormalWeb"/>
      </w:pPr>
      <w:hyperlink r:id="rId116" w:tooltip="Template:Reflist" w:history="1">
        <w:r>
          <w:rPr>
            <w:rStyle w:val="Hyperlink"/>
          </w:rPr>
          <w:t>Template:Reflist</w:t>
        </w:r>
      </w:hyperlink>
      <w:r>
        <w:t xml:space="preserve"> </w:t>
      </w:r>
    </w:p>
    <w:p w:rsidR="00000000" w:rsidRDefault="004E160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7" w:tooltip="Edit section: External links" w:history="1">
        <w:r>
          <w:rPr>
            <w:rStyle w:val="Hyperlink"/>
            <w:rFonts w:eastAsia="Times New Roman"/>
          </w:rPr>
          <w:t>edit</w:t>
        </w:r>
      </w:hyperlink>
      <w:r>
        <w:rPr>
          <w:rStyle w:val="mw-editsection-bracket"/>
          <w:rFonts w:eastAsia="Times New Roman"/>
        </w:rPr>
        <w:t>]</w:t>
      </w:r>
    </w:p>
    <w:p w:rsidR="00000000" w:rsidRDefault="004E1603">
      <w:pPr>
        <w:pStyle w:val="NormalWeb"/>
      </w:pPr>
      <w:hyperlink r:id="rId118" w:tooltip="Template:Commons category" w:history="1">
        <w:r>
          <w:rPr>
            <w:rStyle w:val="Hyperlink"/>
          </w:rPr>
          <w:t>Template:Commons category</w:t>
        </w:r>
      </w:hyperlink>
      <w:r>
        <w:t xml:space="preserve"> </w:t>
      </w:r>
    </w:p>
    <w:p w:rsidR="00000000" w:rsidRDefault="004E1603">
      <w:pPr>
        <w:numPr>
          <w:ilvl w:val="0"/>
          <w:numId w:val="3"/>
        </w:numPr>
        <w:spacing w:before="100" w:beforeAutospacing="1" w:after="100" w:afterAutospacing="1"/>
        <w:rPr>
          <w:rFonts w:eastAsia="Times New Roman"/>
        </w:rPr>
      </w:pPr>
      <w:r>
        <w:rPr>
          <w:rFonts w:eastAsia="Times New Roman"/>
        </w:rPr>
        <w:t xml:space="preserve">Official </w:t>
      </w:r>
      <w:hyperlink r:id="rId119" w:tooltip="Template:Official website" w:history="1">
        <w:r>
          <w:rPr>
            <w:rStyle w:val="Hyperlink"/>
            <w:rFonts w:eastAsia="Times New Roman"/>
          </w:rPr>
          <w:t>Template:Official website</w:t>
        </w:r>
      </w:hyperlink>
      <w:r>
        <w:rPr>
          <w:rFonts w:eastAsia="Times New Roman"/>
        </w:rPr>
        <w:t xml:space="preserve"> (SATA-IO) </w:t>
      </w:r>
      <w:r>
        <w:rPr>
          <w:rFonts w:eastAsia="Times New Roman"/>
        </w:rPr>
        <w:t xml:space="preserve">website </w:t>
      </w:r>
    </w:p>
    <w:p w:rsidR="00000000" w:rsidRDefault="004E1603">
      <w:pPr>
        <w:numPr>
          <w:ilvl w:val="0"/>
          <w:numId w:val="3"/>
        </w:numPr>
        <w:spacing w:before="100" w:beforeAutospacing="1" w:after="100" w:afterAutospacing="1"/>
        <w:rPr>
          <w:rFonts w:eastAsia="Times New Roman"/>
        </w:rPr>
      </w:pPr>
      <w:r>
        <w:rPr>
          <w:rFonts w:eastAsia="Times New Roman"/>
        </w:rPr>
        <w:t xml:space="preserve">Official </w:t>
      </w:r>
      <w:hyperlink r:id="rId120" w:tooltip="Template:Official website" w:history="1">
        <w:r>
          <w:rPr>
            <w:rStyle w:val="Hyperlink"/>
            <w:rFonts w:eastAsia="Times New Roman"/>
          </w:rPr>
          <w:t>Template:Official website</w:t>
        </w:r>
      </w:hyperlink>
      <w:r>
        <w:rPr>
          <w:rFonts w:eastAsia="Times New Roman"/>
        </w:rPr>
        <w:t xml:space="preserve"> (PCI-SIG) website </w:t>
      </w:r>
    </w:p>
    <w:p w:rsidR="00000000" w:rsidRDefault="004E1603">
      <w:pPr>
        <w:numPr>
          <w:ilvl w:val="0"/>
          <w:numId w:val="3"/>
        </w:numPr>
        <w:spacing w:before="100" w:beforeAutospacing="1" w:after="100" w:afterAutospacing="1"/>
        <w:rPr>
          <w:rFonts w:eastAsia="Times New Roman"/>
        </w:rPr>
      </w:pPr>
      <w:hyperlink r:id="rId121" w:history="1">
        <w:r>
          <w:rPr>
            <w:rStyle w:val="Hyperlink"/>
            <w:rFonts w:eastAsia="Times New Roman"/>
          </w:rPr>
          <w:t>Understanding M.2, the interface that will speed up your next SSD</w:t>
        </w:r>
      </w:hyperlink>
      <w:r>
        <w:rPr>
          <w:rFonts w:eastAsia="Times New Roman"/>
        </w:rPr>
        <w:t xml:space="preserve">, </w:t>
      </w:r>
      <w:hyperlink r:id="rId122" w:tooltip="Ars Technica" w:history="1">
        <w:r>
          <w:rPr>
            <w:rStyle w:val="Hyperlink"/>
            <w:rFonts w:eastAsia="Times New Roman"/>
          </w:rPr>
          <w:t>Ars Technica</w:t>
        </w:r>
      </w:hyperlink>
      <w:r>
        <w:rPr>
          <w:rFonts w:eastAsia="Times New Roman"/>
        </w:rPr>
        <w:t xml:space="preserve">, February 9, 2015, by Andrew Cunningham </w:t>
      </w:r>
    </w:p>
    <w:p w:rsidR="00000000" w:rsidRDefault="004E1603">
      <w:pPr>
        <w:numPr>
          <w:ilvl w:val="0"/>
          <w:numId w:val="3"/>
        </w:numPr>
        <w:spacing w:before="100" w:beforeAutospacing="1" w:after="100" w:afterAutospacing="1"/>
        <w:rPr>
          <w:rFonts w:eastAsia="Times New Roman"/>
        </w:rPr>
      </w:pPr>
      <w:hyperlink r:id="rId123" w:history="1">
        <w:r>
          <w:rPr>
            <w:rStyle w:val="Hyperlink"/>
            <w:rFonts w:eastAsia="Times New Roman"/>
          </w:rPr>
          <w:t>Samsung XP941 M.2 PCIe SSD Review (512 GB)</w:t>
        </w:r>
      </w:hyperlink>
      <w:r>
        <w:rPr>
          <w:rFonts w:eastAsia="Times New Roman"/>
        </w:rPr>
        <w:t xml:space="preserve">, September 22, 2013, by Les Tokar </w:t>
      </w:r>
    </w:p>
    <w:p w:rsidR="00000000" w:rsidRDefault="004E1603">
      <w:pPr>
        <w:numPr>
          <w:ilvl w:val="0"/>
          <w:numId w:val="3"/>
        </w:numPr>
        <w:spacing w:before="100" w:beforeAutospacing="1" w:after="100" w:afterAutospacing="1"/>
        <w:rPr>
          <w:rFonts w:eastAsia="Times New Roman"/>
        </w:rPr>
      </w:pPr>
      <w:hyperlink r:id="rId124" w:history="1">
        <w:r>
          <w:rPr>
            <w:rStyle w:val="Hyperlink"/>
            <w:rFonts w:eastAsia="Times New Roman"/>
          </w:rPr>
          <w:t>LFCS: Preparing Linux for nonvolatile memory devices</w:t>
        </w:r>
      </w:hyperlink>
      <w:r>
        <w:rPr>
          <w:rFonts w:eastAsia="Times New Roman"/>
        </w:rPr>
        <w:t xml:space="preserve">, </w:t>
      </w:r>
      <w:hyperlink r:id="rId125" w:tooltip="LWN.net" w:history="1">
        <w:r>
          <w:rPr>
            <w:rStyle w:val="Hyperlink"/>
            <w:rFonts w:eastAsia="Times New Roman"/>
          </w:rPr>
          <w:t>LWN.net</w:t>
        </w:r>
      </w:hyperlink>
      <w:r>
        <w:rPr>
          <w:rFonts w:eastAsia="Times New Roman"/>
        </w:rPr>
        <w:t xml:space="preserve">, April 19, 2013, by Jonathan Corbet </w:t>
      </w:r>
    </w:p>
    <w:p w:rsidR="00000000" w:rsidRDefault="004E1603">
      <w:pPr>
        <w:numPr>
          <w:ilvl w:val="0"/>
          <w:numId w:val="3"/>
        </w:numPr>
        <w:spacing w:before="100" w:beforeAutospacing="1" w:after="100" w:afterAutospacing="1"/>
        <w:rPr>
          <w:rFonts w:eastAsia="Times New Roman"/>
        </w:rPr>
      </w:pPr>
      <w:hyperlink r:id="rId126" w:history="1">
        <w:r>
          <w:rPr>
            <w:rStyle w:val="Hyperlink"/>
            <w:rFonts w:eastAsia="Times New Roman"/>
          </w:rPr>
          <w:t>PCIe SSD 101: An Overview of Standards, Markets and Performance</w:t>
        </w:r>
      </w:hyperlink>
      <w:r>
        <w:rPr>
          <w:rFonts w:eastAsia="Times New Roman"/>
        </w:rPr>
        <w:t xml:space="preserve">, </w:t>
      </w:r>
      <w:hyperlink r:id="rId127" w:tooltip="Storage Networking Industry Association" w:history="1">
        <w:r>
          <w:rPr>
            <w:rStyle w:val="Hyperlink"/>
            <w:rFonts w:eastAsia="Times New Roman"/>
          </w:rPr>
          <w:t>SNIA</w:t>
        </w:r>
      </w:hyperlink>
      <w:r>
        <w:rPr>
          <w:rFonts w:eastAsia="Times New Roman"/>
        </w:rPr>
        <w:t xml:space="preserve">, August 2013, archived from the original on February 2, 2014 </w:t>
      </w:r>
    </w:p>
    <w:p w:rsidR="00000000" w:rsidRDefault="004E1603">
      <w:pPr>
        <w:numPr>
          <w:ilvl w:val="0"/>
          <w:numId w:val="3"/>
        </w:numPr>
        <w:spacing w:before="100" w:beforeAutospacing="1" w:after="100" w:afterAutospacing="1"/>
        <w:rPr>
          <w:rFonts w:eastAsia="Times New Roman"/>
        </w:rPr>
      </w:pPr>
      <w:hyperlink r:id="rId128" w:tooltip="Template:YouTube" w:history="1">
        <w:r>
          <w:rPr>
            <w:rStyle w:val="Hyperlink"/>
            <w:rFonts w:eastAsia="Times New Roman"/>
          </w:rPr>
          <w:t>Template:YouTube</w:t>
        </w:r>
      </w:hyperlink>
      <w:r>
        <w:rPr>
          <w:rFonts w:eastAsia="Times New Roman"/>
        </w:rPr>
        <w:t xml:space="preserve">, November 18, 2013 </w:t>
      </w:r>
    </w:p>
    <w:p w:rsidR="00000000" w:rsidRDefault="004E1603">
      <w:pPr>
        <w:numPr>
          <w:ilvl w:val="0"/>
          <w:numId w:val="3"/>
        </w:numPr>
        <w:spacing w:before="100" w:beforeAutospacing="1" w:after="100" w:afterAutospacing="1"/>
        <w:rPr>
          <w:rFonts w:eastAsia="Times New Roman"/>
        </w:rPr>
      </w:pPr>
      <w:hyperlink r:id="rId129" w:tooltip="Template:US patent" w:history="1">
        <w:r>
          <w:rPr>
            <w:rStyle w:val="Hyperlink"/>
            <w:rFonts w:eastAsia="Times New Roman"/>
          </w:rPr>
          <w:t>Template:US patent</w:t>
        </w:r>
      </w:hyperlink>
      <w:hyperlink r:id="rId130" w:tooltip="Template:Snd" w:history="1">
        <w:r>
          <w:rPr>
            <w:rStyle w:val="Hyperlink"/>
            <w:rFonts w:eastAsia="Times New Roman"/>
          </w:rPr>
          <w:t>Template:Snd</w:t>
        </w:r>
      </w:hyperlink>
      <w:r>
        <w:rPr>
          <w:rFonts w:eastAsia="Times New Roman"/>
        </w:rPr>
        <w:t xml:space="preserve"> US patent 20130294023, November 7, 2013, assigned to Raphael Gay </w:t>
      </w:r>
    </w:p>
    <w:p w:rsidR="00000000" w:rsidRDefault="004E1603">
      <w:pPr>
        <w:pStyle w:val="NormalWeb"/>
      </w:pPr>
      <w:hyperlink r:id="rId131" w:tooltip="Template:Computer-bus" w:history="1">
        <w:r>
          <w:rPr>
            <w:rStyle w:val="Hyperlink"/>
          </w:rPr>
          <w:t>Template:Computer-bus</w:t>
        </w:r>
      </w:hyperlink>
      <w:r>
        <w:t xml:space="preserve"> </w:t>
      </w:r>
      <w:hyperlink r:id="rId132" w:tooltip="Template:Solid-state drive" w:history="1">
        <w:r>
          <w:rPr>
            <w:rStyle w:val="Hyperlink"/>
          </w:rPr>
          <w:t>Template:Solid-state drive</w:t>
        </w:r>
      </w:hyperlink>
      <w:r>
        <w:t xml:space="preserve"> </w:t>
      </w:r>
    </w:p>
    <w:p w:rsidR="004E1603" w:rsidRDefault="004E1603">
      <w:pPr>
        <w:pStyle w:val="NormalWeb"/>
      </w:pPr>
      <w:hyperlink r:id="rId133" w:tooltip="Category:2013 introductions" w:history="1">
        <w:r>
          <w:rPr>
            <w:rStyle w:val="Hyperlink"/>
          </w:rPr>
          <w:t xml:space="preserve">Category:2013 </w:t>
        </w:r>
        <w:r>
          <w:rPr>
            <w:rStyle w:val="Hyperlink"/>
          </w:rPr>
          <w:t>introductions</w:t>
        </w:r>
      </w:hyperlink>
      <w:r>
        <w:t xml:space="preserve"> </w:t>
      </w:r>
      <w:hyperlink r:id="rId134" w:tooltip="Category:Computer connectors" w:history="1">
        <w:r>
          <w:rPr>
            <w:rStyle w:val="Hyperlink"/>
          </w:rPr>
          <w:t>Category:Computer connectors</w:t>
        </w:r>
      </w:hyperlink>
      <w:r>
        <w:t xml:space="preserve"> </w:t>
      </w:r>
      <w:hyperlink r:id="rId135" w:tooltip="Category:M.2" w:history="1">
        <w:r>
          <w:rPr>
            <w:rStyle w:val="Hyperlink"/>
          </w:rPr>
          <w:t>Category:M.2</w:t>
        </w:r>
      </w:hyperlink>
      <w:r>
        <w:t xml:space="preserve"> </w:t>
      </w:r>
      <w:hyperlink r:id="rId136" w:tooltip="Category:Motherboard expansion slot" w:history="1">
        <w:r>
          <w:rPr>
            <w:rStyle w:val="Hyperlink"/>
          </w:rPr>
          <w:t>Category:Motherboard expansion slot</w:t>
        </w:r>
      </w:hyperlink>
      <w:r>
        <w:t xml:space="preserve"> </w:t>
      </w:r>
      <w:hyperlink r:id="rId137" w:tooltip="Category:SATA Express" w:history="1">
        <w:r>
          <w:rPr>
            <w:rStyle w:val="Hyperlink"/>
          </w:rPr>
          <w:t>Category:SATA Express</w:t>
        </w:r>
      </w:hyperlink>
      <w:r>
        <w:t xml:space="preserve"> </w:t>
      </w:r>
      <w:hyperlink r:id="rId138" w:tooltip="Category:Serial ATA" w:history="1">
        <w:r>
          <w:rPr>
            <w:rStyle w:val="Hyperlink"/>
          </w:rPr>
          <w:t>Category:Serial ATA</w:t>
        </w:r>
      </w:hyperlink>
      <w:r>
        <w:t xml:space="preserve"> </w:t>
      </w:r>
    </w:p>
    <w:sectPr w:rsidR="004E16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29CD"/>
    <w:multiLevelType w:val="multilevel"/>
    <w:tmpl w:val="992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D4C7B"/>
    <w:multiLevelType w:val="multilevel"/>
    <w:tmpl w:val="B19E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E4897"/>
    <w:multiLevelType w:val="multilevel"/>
    <w:tmpl w:val="1AD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E1603"/>
    <w:rsid w:val="004E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35D865-C17B-411C-BA12-36894216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430017">
      <w:marLeft w:val="0"/>
      <w:marRight w:val="0"/>
      <w:marTop w:val="0"/>
      <w:marBottom w:val="0"/>
      <w:divBdr>
        <w:top w:val="none" w:sz="0" w:space="0" w:color="auto"/>
        <w:left w:val="none" w:sz="0" w:space="0" w:color="auto"/>
        <w:bottom w:val="none" w:sz="0" w:space="0" w:color="auto"/>
        <w:right w:val="none" w:sz="0" w:space="0" w:color="auto"/>
      </w:divBdr>
      <w:divsChild>
        <w:div w:id="10050094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Template:Rp" TargetMode="External"/><Relationship Id="rId117" Type="http://schemas.openxmlformats.org/officeDocument/2006/relationships/hyperlink" Target="/index.php?title=(none)&amp;action=edit&amp;section=5" TargetMode="External"/><Relationship Id="rId21" Type="http://schemas.openxmlformats.org/officeDocument/2006/relationships/hyperlink" Target="/wiki/NVM_Express" TargetMode="External"/><Relationship Id="rId42" Type="http://schemas.openxmlformats.org/officeDocument/2006/relationships/hyperlink" Target="/wiki/USB" TargetMode="External"/><Relationship Id="rId47" Type="http://schemas.openxmlformats.org/officeDocument/2006/relationships/hyperlink" Target="/wiki/Near_field_communication" TargetMode="External"/><Relationship Id="rId63" Type="http://schemas.openxmlformats.org/officeDocument/2006/relationships/hyperlink" Target="/wiki/AHCI" TargetMode="External"/><Relationship Id="rId68" Type="http://schemas.openxmlformats.org/officeDocument/2006/relationships/hyperlink" Target="/wiki/DRAM" TargetMode="External"/><Relationship Id="rId84" Type="http://schemas.openxmlformats.org/officeDocument/2006/relationships/hyperlink" Target="/wiki/Volt" TargetMode="External"/><Relationship Id="rId89" Type="http://schemas.openxmlformats.org/officeDocument/2006/relationships/hyperlink" Target="/wiki/Template:Rp" TargetMode="External"/><Relationship Id="rId112" Type="http://schemas.openxmlformats.org/officeDocument/2006/relationships/hyperlink" Target="/wiki/Template:Portal" TargetMode="External"/><Relationship Id="rId133" Type="http://schemas.openxmlformats.org/officeDocument/2006/relationships/hyperlink" Target="/wiki/Category:2013_introductions" TargetMode="External"/><Relationship Id="rId138" Type="http://schemas.openxmlformats.org/officeDocument/2006/relationships/hyperlink" Target="/wiki/Category:Serial_ATA" TargetMode="External"/><Relationship Id="rId16" Type="http://schemas.openxmlformats.org/officeDocument/2006/relationships/hyperlink" Target="/wiki/PCI_Express&#160;3.0" TargetMode="External"/><Relationship Id="rId107" Type="http://schemas.openxmlformats.org/officeDocument/2006/relationships/hyperlink" Target="/wiki/File:M2_Edge_Connector_Keying.svg" TargetMode="External"/><Relationship Id="rId11" Type="http://schemas.openxmlformats.org/officeDocument/2006/relationships/hyperlink" Target="/wiki/Interface_(computing)"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NVMe" TargetMode="External"/><Relationship Id="rId53" Type="http://schemas.openxmlformats.org/officeDocument/2006/relationships/hyperlink" Target="/wiki/Template:As_of" TargetMode="External"/><Relationship Id="rId58" Type="http://schemas.openxmlformats.org/officeDocument/2006/relationships/hyperlink" Target="/wiki/PCI-SIG" TargetMode="External"/><Relationship Id="rId74" Type="http://schemas.openxmlformats.org/officeDocument/2006/relationships/hyperlink" Target="/index.php?title=(none)&amp;action=edit&amp;section=2" TargetMode="External"/><Relationship Id="rId79" Type="http://schemas.openxmlformats.org/officeDocument/2006/relationships/hyperlink" Target="/wiki/PCI_Express_Mini_Card" TargetMode="External"/><Relationship Id="rId102" Type="http://schemas.openxmlformats.org/officeDocument/2006/relationships/hyperlink" Target="/wiki/Template:Rp" TargetMode="External"/><Relationship Id="rId123" Type="http://schemas.openxmlformats.org/officeDocument/2006/relationships/hyperlink" Target="http://www.thessdreview.com/our-reviews/samsung-xp941-m-2-pcie-ssd-review-512gb/" TargetMode="External"/><Relationship Id="rId128" Type="http://schemas.openxmlformats.org/officeDocument/2006/relationships/hyperlink" Target="/wiki/Template:YouTube" TargetMode="External"/><Relationship Id="rId5" Type="http://schemas.openxmlformats.org/officeDocument/2006/relationships/hyperlink" Target="/wiki/Template:Use_mdy_dates" TargetMode="External"/><Relationship Id="rId90" Type="http://schemas.openxmlformats.org/officeDocument/2006/relationships/hyperlink" Target="/wiki/PCIe" TargetMode="External"/><Relationship Id="rId95" Type="http://schemas.openxmlformats.org/officeDocument/2006/relationships/hyperlink" Target="/wiki/SSIC" TargetMode="External"/><Relationship Id="rId22" Type="http://schemas.openxmlformats.org/officeDocument/2006/relationships/hyperlink" Target="/wiki/Solid-state_drive" TargetMode="External"/><Relationship Id="rId27" Type="http://schemas.openxmlformats.org/officeDocument/2006/relationships/hyperlink" Target="/index.php?title=(none)&amp;action=edit&amp;section=1" TargetMode="External"/><Relationship Id="rId43" Type="http://schemas.openxmlformats.org/officeDocument/2006/relationships/hyperlink" Target="/wiki/Backward_compatible" TargetMode="External"/><Relationship Id="rId48" Type="http://schemas.openxmlformats.org/officeDocument/2006/relationships/hyperlink" Target="/wiki/Digital_radio" TargetMode="External"/><Relationship Id="rId64" Type="http://schemas.openxmlformats.org/officeDocument/2006/relationships/hyperlink" Target="/wiki/Backward_compatibility" TargetMode="External"/><Relationship Id="rId69" Type="http://schemas.openxmlformats.org/officeDocument/2006/relationships/hyperlink" Target="/wiki/NVMe" TargetMode="External"/><Relationship Id="rId113" Type="http://schemas.openxmlformats.org/officeDocument/2006/relationships/hyperlink" Target="/wiki/List_of_device_bandwidths" TargetMode="External"/><Relationship Id="rId118" Type="http://schemas.openxmlformats.org/officeDocument/2006/relationships/hyperlink" Target="/wiki/Template:Commons_category" TargetMode="External"/><Relationship Id="rId134" Type="http://schemas.openxmlformats.org/officeDocument/2006/relationships/hyperlink" Target="/wiki/Category:Computer_connectors" TargetMode="External"/><Relationship Id="rId139" Type="http://schemas.openxmlformats.org/officeDocument/2006/relationships/fontTable" Target="fontTable.xml"/><Relationship Id="rId8" Type="http://schemas.openxmlformats.org/officeDocument/2006/relationships/hyperlink" Target="/wiki/Expansion_card" TargetMode="External"/><Relationship Id="rId51" Type="http://schemas.openxmlformats.org/officeDocument/2006/relationships/hyperlink" Target="/wiki/Solid-state_drive" TargetMode="External"/><Relationship Id="rId72" Type="http://schemas.openxmlformats.org/officeDocument/2006/relationships/hyperlink" Target="/wiki/Command_queue" TargetMode="External"/><Relationship Id="rId80" Type="http://schemas.openxmlformats.org/officeDocument/2006/relationships/hyperlink" Target="/wiki/Form_factor_(design)" TargetMode="External"/><Relationship Id="rId85" Type="http://schemas.openxmlformats.org/officeDocument/2006/relationships/hyperlink" Target="/wiki/Ampere" TargetMode="External"/><Relationship Id="rId93" Type="http://schemas.openxmlformats.org/officeDocument/2006/relationships/hyperlink" Target="/wiki/User_identity_module" TargetMode="External"/><Relationship Id="rId98" Type="http://schemas.openxmlformats.org/officeDocument/2006/relationships/hyperlink" Target="/wiki/UART" TargetMode="External"/><Relationship Id="rId121" Type="http://schemas.openxmlformats.org/officeDocument/2006/relationships/hyperlink" Target="http://arstechnica.com/gadgets/2015/02/understanding-m-2-the-interface-that-will-speed-up-your-next-ssd/" TargetMode="External"/><Relationship Id="rId3" Type="http://schemas.openxmlformats.org/officeDocument/2006/relationships/settings" Target="settings.xml"/><Relationship Id="rId12" Type="http://schemas.openxmlformats.org/officeDocument/2006/relationships/hyperlink" Target="/wiki/Solid-state_storage" TargetMode="External"/><Relationship Id="rId17" Type="http://schemas.openxmlformats.org/officeDocument/2006/relationships/hyperlink" Target="/wiki/PCI_Express_lane" TargetMode="External"/><Relationship Id="rId25" Type="http://schemas.openxmlformats.org/officeDocument/2006/relationships/hyperlink" Target="/wiki/Parallelism_(computing)" TargetMode="External"/><Relationship Id="rId33" Type="http://schemas.openxmlformats.org/officeDocument/2006/relationships/hyperlink" Target="/wiki/File:SATA_Express_interface.svg" TargetMode="External"/><Relationship Id="rId38" Type="http://schemas.openxmlformats.org/officeDocument/2006/relationships/hyperlink" Target="/wiki/Template:Rp" TargetMode="External"/><Relationship Id="rId46" Type="http://schemas.openxmlformats.org/officeDocument/2006/relationships/hyperlink" Target="/wiki/Satellite_navigation" TargetMode="External"/><Relationship Id="rId59" Type="http://schemas.openxmlformats.org/officeDocument/2006/relationships/hyperlink" Target="/wiki/Template:As_of" TargetMode="External"/><Relationship Id="rId67" Type="http://schemas.openxmlformats.org/officeDocument/2006/relationships/hyperlink" Target="/wiki/NVMe_vs_AHCI" TargetMode="External"/><Relationship Id="rId103" Type="http://schemas.openxmlformats.org/officeDocument/2006/relationships/hyperlink" Target="/wiki/Template:N/A" TargetMode="External"/><Relationship Id="rId108" Type="http://schemas.openxmlformats.org/officeDocument/2006/relationships/hyperlink" Target="/wiki/Template:As_of" TargetMode="External"/><Relationship Id="rId116" Type="http://schemas.openxmlformats.org/officeDocument/2006/relationships/hyperlink" Target="/wiki/Template:Reflist" TargetMode="External"/><Relationship Id="rId124" Type="http://schemas.openxmlformats.org/officeDocument/2006/relationships/hyperlink" Target="https://lwn.net/Articles/547903/" TargetMode="External"/><Relationship Id="rId129" Type="http://schemas.openxmlformats.org/officeDocument/2006/relationships/hyperlink" Target="/wiki/Template:US_patent" TargetMode="External"/><Relationship Id="rId137" Type="http://schemas.openxmlformats.org/officeDocument/2006/relationships/hyperlink" Target="/wiki/Category:SATA_Express" TargetMode="External"/><Relationship Id="rId20" Type="http://schemas.openxmlformats.org/officeDocument/2006/relationships/hyperlink" Target="/wiki/Advanced_Host_Controller_Interface" TargetMode="External"/><Relationship Id="rId41" Type="http://schemas.openxmlformats.org/officeDocument/2006/relationships/hyperlink" Target="/wiki/Serial_ATA" TargetMode="External"/><Relationship Id="rId54" Type="http://schemas.openxmlformats.org/officeDocument/2006/relationships/hyperlink" Target="/wiki/Template:Rp" TargetMode="External"/><Relationship Id="rId62" Type="http://schemas.openxmlformats.org/officeDocument/2006/relationships/hyperlink" Target="/wiki/Template:Rp" TargetMode="External"/><Relationship Id="rId70" Type="http://schemas.openxmlformats.org/officeDocument/2006/relationships/hyperlink" Target="/wiki/Parallelism_(computing)" TargetMode="External"/><Relationship Id="rId75" Type="http://schemas.openxmlformats.org/officeDocument/2006/relationships/hyperlink" Target="/wiki/File:M.2_connector_on_a_computer_motherboard.jpg" TargetMode="External"/><Relationship Id="rId83" Type="http://schemas.openxmlformats.org/officeDocument/2006/relationships/hyperlink" Target="/wiki/Edge_connector" TargetMode="External"/><Relationship Id="rId88" Type="http://schemas.openxmlformats.org/officeDocument/2006/relationships/hyperlink" Target="/wiki/Template:Rp" TargetMode="External"/><Relationship Id="rId91" Type="http://schemas.openxmlformats.org/officeDocument/2006/relationships/hyperlink" Target="/wiki/I2C" TargetMode="External"/><Relationship Id="rId96" Type="http://schemas.openxmlformats.org/officeDocument/2006/relationships/hyperlink" Target="/wiki/SMBus"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Template:Solid-state_drive"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File:M.2_and_mSATA_SSDs_comparison.jpg" TargetMode="External"/><Relationship Id="rId15" Type="http://schemas.openxmlformats.org/officeDocument/2006/relationships/hyperlink" Target="/wiki/Computer_bus" TargetMode="External"/><Relationship Id="rId23" Type="http://schemas.openxmlformats.org/officeDocument/2006/relationships/hyperlink" Target="/wiki/Operating_system" TargetMode="External"/><Relationship Id="rId28" Type="http://schemas.openxmlformats.org/officeDocument/2006/relationships/hyperlink" Target="/index.php?title=(none)&amp;action=edit&amp;section=2" TargetMode="External"/><Relationship Id="rId36" Type="http://schemas.openxmlformats.org/officeDocument/2006/relationships/hyperlink" Target="/wiki/AHCI" TargetMode="External"/><Relationship Id="rId49" Type="http://schemas.openxmlformats.org/officeDocument/2006/relationships/hyperlink" Target="/wiki/Wireless_Gigabit_Alliance" TargetMode="External"/><Relationship Id="rId57" Type="http://schemas.openxmlformats.org/officeDocument/2006/relationships/hyperlink" Target="/wiki/Bus_(computing)" TargetMode="External"/><Relationship Id="rId106" Type="http://schemas.openxmlformats.org/officeDocument/2006/relationships/hyperlink" Target="/wiki/Template:Col-end" TargetMode="External"/><Relationship Id="rId114" Type="http://schemas.openxmlformats.org/officeDocument/2006/relationships/hyperlink" Target="/wiki/Solid-state_drive_configurations" TargetMode="External"/><Relationship Id="rId119" Type="http://schemas.openxmlformats.org/officeDocument/2006/relationships/hyperlink" Target="/wiki/Template:Official_website" TargetMode="External"/><Relationship Id="rId127" Type="http://schemas.openxmlformats.org/officeDocument/2006/relationships/hyperlink" Target="/wiki/Storage_Networking_Industry_Association" TargetMode="External"/><Relationship Id="rId10" Type="http://schemas.openxmlformats.org/officeDocument/2006/relationships/hyperlink" Target="/wiki/PCI_Express_Mini_Card" TargetMode="External"/><Relationship Id="rId31" Type="http://schemas.openxmlformats.org/officeDocument/2006/relationships/hyperlink" Target="/index.php?title=(none)&amp;action=edit&amp;section=5" TargetMode="External"/><Relationship Id="rId44" Type="http://schemas.openxmlformats.org/officeDocument/2006/relationships/hyperlink" Target="/wiki/Wi-Fi" TargetMode="External"/><Relationship Id="rId52" Type="http://schemas.openxmlformats.org/officeDocument/2006/relationships/hyperlink" Target="/wiki/SATA_3.2" TargetMode="External"/><Relationship Id="rId60" Type="http://schemas.openxmlformats.org/officeDocument/2006/relationships/hyperlink" Target="/wiki/Template:Rp" TargetMode="External"/><Relationship Id="rId65" Type="http://schemas.openxmlformats.org/officeDocument/2006/relationships/hyperlink" Target="/wiki/Host_bus_adapter" TargetMode="External"/><Relationship Id="rId73" Type="http://schemas.openxmlformats.org/officeDocument/2006/relationships/hyperlink" Target="/wiki/Interrupt" TargetMode="External"/><Relationship Id="rId78" Type="http://schemas.openxmlformats.org/officeDocument/2006/relationships/hyperlink" Target="/wiki/Printed_circuit_board" TargetMode="External"/><Relationship Id="rId81" Type="http://schemas.openxmlformats.org/officeDocument/2006/relationships/hyperlink" Target="/wiki/SSD" TargetMode="External"/><Relationship Id="rId86" Type="http://schemas.openxmlformats.org/officeDocument/2006/relationships/hyperlink" Target="/wiki/Template:Col-begin" TargetMode="External"/><Relationship Id="rId94" Type="http://schemas.openxmlformats.org/officeDocument/2006/relationships/hyperlink" Target="/wiki/HSIC" TargetMode="External"/><Relationship Id="rId99" Type="http://schemas.openxmlformats.org/officeDocument/2006/relationships/hyperlink" Target="/wiki/I2S" TargetMode="External"/><Relationship Id="rId101" Type="http://schemas.openxmlformats.org/officeDocument/2006/relationships/hyperlink" Target="/wiki/Template:Rp" TargetMode="External"/><Relationship Id="rId122" Type="http://schemas.openxmlformats.org/officeDocument/2006/relationships/hyperlink" Target="/wiki/Ars_Technica" TargetMode="External"/><Relationship Id="rId130" Type="http://schemas.openxmlformats.org/officeDocument/2006/relationships/hyperlink" Target="/wiki/Template:Snd" TargetMode="External"/><Relationship Id="rId135" Type="http://schemas.openxmlformats.org/officeDocument/2006/relationships/hyperlink" Target="/wiki/Category:M.2" TargetMode="External"/><Relationship Id="rId4" Type="http://schemas.openxmlformats.org/officeDocument/2006/relationships/webSettings" Target="webSettings.xml"/><Relationship Id="rId9" Type="http://schemas.openxmlformats.org/officeDocument/2006/relationships/hyperlink" Target="/wiki/MSATA" TargetMode="External"/><Relationship Id="rId13" Type="http://schemas.openxmlformats.org/officeDocument/2006/relationships/hyperlink" Target="/wiki/Ultrabook" TargetMode="External"/><Relationship Id="rId18" Type="http://schemas.openxmlformats.org/officeDocument/2006/relationships/hyperlink" Target="/wiki/Serial_ATA&#160;3.0" TargetMode="External"/><Relationship Id="rId39" Type="http://schemas.openxmlformats.org/officeDocument/2006/relationships/hyperlink" Target="/wiki/Bus_(computing)" TargetMode="External"/><Relationship Id="rId109" Type="http://schemas.openxmlformats.org/officeDocument/2006/relationships/hyperlink" Target="/wiki/Template:Rp" TargetMode="External"/><Relationship Id="rId34" Type="http://schemas.openxmlformats.org/officeDocument/2006/relationships/hyperlink" Target="/wiki/SATA_Express" TargetMode="External"/><Relationship Id="rId50" Type="http://schemas.openxmlformats.org/officeDocument/2006/relationships/hyperlink" Target="/wiki/Wireless_WAN" TargetMode="External"/><Relationship Id="rId55" Type="http://schemas.openxmlformats.org/officeDocument/2006/relationships/hyperlink" Target="/wiki/PCI_Express_lane" TargetMode="External"/><Relationship Id="rId76" Type="http://schemas.openxmlformats.org/officeDocument/2006/relationships/hyperlink" Target="/wiki/Computer_motherboard" TargetMode="External"/><Relationship Id="rId97" Type="http://schemas.openxmlformats.org/officeDocument/2006/relationships/hyperlink" Target="/wiki/Secure_Digital_Input_Output" TargetMode="External"/><Relationship Id="rId104" Type="http://schemas.openxmlformats.org/officeDocument/2006/relationships/hyperlink" Target="/wiki/Template:N/A" TargetMode="External"/><Relationship Id="rId120" Type="http://schemas.openxmlformats.org/officeDocument/2006/relationships/hyperlink" Target="/wiki/Template:Official_website" TargetMode="External"/><Relationship Id="rId125" Type="http://schemas.openxmlformats.org/officeDocument/2006/relationships/hyperlink" Target="/wiki/LWN.net" TargetMode="External"/><Relationship Id="rId7" Type="http://schemas.openxmlformats.org/officeDocument/2006/relationships/hyperlink" Target="/wiki/Solid-state_drive" TargetMode="External"/><Relationship Id="rId71" Type="http://schemas.openxmlformats.org/officeDocument/2006/relationships/hyperlink" Target="/wiki/NVMe_vs_AHCI" TargetMode="External"/><Relationship Id="rId92" Type="http://schemas.openxmlformats.org/officeDocument/2006/relationships/hyperlink" Target="/wiki/DisplayPort"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4" Type="http://schemas.openxmlformats.org/officeDocument/2006/relationships/hyperlink" Target="/wiki/I/O" TargetMode="External"/><Relationship Id="rId40" Type="http://schemas.openxmlformats.org/officeDocument/2006/relationships/hyperlink" Target="/wiki/PCI_Express" TargetMode="External"/><Relationship Id="rId45" Type="http://schemas.openxmlformats.org/officeDocument/2006/relationships/hyperlink" Target="/wiki/Bluetooth" TargetMode="External"/><Relationship Id="rId66" Type="http://schemas.openxmlformats.org/officeDocument/2006/relationships/hyperlink" Target="/wiki/Magnetic_storage" TargetMode="External"/><Relationship Id="rId87" Type="http://schemas.openxmlformats.org/officeDocument/2006/relationships/hyperlink" Target="/wiki/Template:Col-break" TargetMode="External"/><Relationship Id="rId110" Type="http://schemas.openxmlformats.org/officeDocument/2006/relationships/hyperlink" Target="/wiki/Soldering" TargetMode="External"/><Relationship Id="rId115" Type="http://schemas.openxmlformats.org/officeDocument/2006/relationships/hyperlink" Target="/index.php?title=(none)&amp;action=edit&amp;section=4" TargetMode="External"/><Relationship Id="rId131" Type="http://schemas.openxmlformats.org/officeDocument/2006/relationships/hyperlink" Target="/wiki/Template:Computer-bus" TargetMode="External"/><Relationship Id="rId136" Type="http://schemas.openxmlformats.org/officeDocument/2006/relationships/hyperlink" Target="/wiki/Category:Motherboard_expansion_slot" TargetMode="External"/><Relationship Id="rId61" Type="http://schemas.openxmlformats.org/officeDocument/2006/relationships/hyperlink" Target="/wiki/Operating_system" TargetMode="External"/><Relationship Id="rId82" Type="http://schemas.openxmlformats.org/officeDocument/2006/relationships/hyperlink" Target="/wiki/Template:Rp" TargetMode="External"/><Relationship Id="rId19" Type="http://schemas.openxmlformats.org/officeDocument/2006/relationships/hyperlink" Target="/wiki/USB&#160;3.0" TargetMode="External"/><Relationship Id="rId14" Type="http://schemas.openxmlformats.org/officeDocument/2006/relationships/hyperlink" Target="/wiki/Tablet_computer" TargetMode="External"/><Relationship Id="rId30" Type="http://schemas.openxmlformats.org/officeDocument/2006/relationships/hyperlink" Target="/index.php?title=(none)&amp;action=edit&amp;section=4" TargetMode="External"/><Relationship Id="rId35" Type="http://schemas.openxmlformats.org/officeDocument/2006/relationships/hyperlink" Target="/wiki/Template:Rp" TargetMode="External"/><Relationship Id="rId56" Type="http://schemas.openxmlformats.org/officeDocument/2006/relationships/hyperlink" Target="/wiki/SATA&#160;3.0" TargetMode="External"/><Relationship Id="rId77" Type="http://schemas.openxmlformats.org/officeDocument/2006/relationships/hyperlink" Target="/wiki/MSATA" TargetMode="External"/><Relationship Id="rId100" Type="http://schemas.openxmlformats.org/officeDocument/2006/relationships/hyperlink" Target="/wiki/Template:Col-break" TargetMode="External"/><Relationship Id="rId105" Type="http://schemas.openxmlformats.org/officeDocument/2006/relationships/hyperlink" Target="/wiki/Template:N/A" TargetMode="External"/><Relationship Id="rId126" Type="http://schemas.openxmlformats.org/officeDocument/2006/relationships/hyperlink" Target="http://web.archive.org/web/20140202110152/http://www.snia.org/sites/default/files/SNIASSSIPCIe101WhitePaper1.1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3608</Words>
  <Characters>18044</Characters>
  <Application>Microsoft Office Word</Application>
  <DocSecurity>0</DocSecurity>
  <Lines>150</Lines>
  <Paragraphs>43</Paragraphs>
  <ScaleCrop>false</ScaleCrop>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