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A7C75" w14:textId="2336DA9F" w:rsidR="00217C3E" w:rsidRDefault="00CB2FCA" w:rsidP="00626CD4">
      <w:pPr>
        <w:jc w:val="both"/>
        <w:rPr>
          <w:rFonts w:cs="Calibri"/>
          <w:b/>
          <w:bCs/>
          <w:sz w:val="28"/>
          <w:szCs w:val="28"/>
        </w:rPr>
      </w:pPr>
      <w:r w:rsidRPr="00CB2FCA">
        <w:rPr>
          <w:rFonts w:cs="Calibri"/>
          <w:b/>
          <w:bCs/>
          <w:sz w:val="28"/>
          <w:szCs w:val="28"/>
        </w:rPr>
        <w:t>Szakirodalmi áttekintés</w:t>
      </w:r>
    </w:p>
    <w:p w14:paraId="70C5C528" w14:textId="77777777" w:rsidR="00722985" w:rsidRPr="00722985" w:rsidRDefault="00722985" w:rsidP="000939CE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1. Az eseményvizsgálat módszertani alapjai és alkalmazhatósága politikai események esetén</w:t>
      </w:r>
    </w:p>
    <w:p w14:paraId="6E29713C" w14:textId="77777777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Az eseményvizsgálat (event study) a pénzügyi közgazdaságtan egyik legszélesebb körben alkalmazott empirikus módszere, amely lehetővé teszi egy jól körülhatárolható esemény rövid távú hatásának mérését a részvényárfolyamokra. A módszer különösen alkalmas olyan hirtelen információs sokkok elemzésére, mint amilyen egy választási eredmény bejelentése, mivel feltételezi, hogy a pénzügyi piacok gyorsan reagálnak az új információkra.</w:t>
      </w:r>
    </w:p>
    <w:p w14:paraId="46EA059B" w14:textId="284D385B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 xml:space="preserve">A módszertan klasszikus alapművének tekinthető Brown és Warner (1985) tanulmánya, amely empirikusan igazolja, hogy az eseményvizsgálati eljárások napi részvényhozamok esetén is megbízhatóan működnek. A szerzők kimutatják, hogy még egyszerű normálhozam-modellek </w:t>
      </w:r>
      <w:r w:rsidR="000939CE">
        <w:rPr>
          <w:rFonts w:cs="Calibri"/>
          <w:szCs w:val="24"/>
        </w:rPr>
        <w:t>(</w:t>
      </w:r>
      <w:r w:rsidRPr="00722985">
        <w:rPr>
          <w:rFonts w:cs="Calibri"/>
          <w:szCs w:val="24"/>
        </w:rPr>
        <w:t>például az átlaghozam-modell vagy a market model</w:t>
      </w:r>
      <w:r w:rsidR="000939CE">
        <w:rPr>
          <w:rFonts w:cs="Calibri"/>
          <w:szCs w:val="24"/>
        </w:rPr>
        <w:t>)</w:t>
      </w:r>
      <w:r w:rsidRPr="00722985">
        <w:rPr>
          <w:rFonts w:cs="Calibri"/>
          <w:szCs w:val="24"/>
        </w:rPr>
        <w:t xml:space="preserve"> alkalmazása mellett is jól specifikált statisztikai tesztekhez juthatunk, még akkor is, ha az adatok autokorrelációt vagy heteroszkedaszticitást mutatnak</w:t>
      </w:r>
      <w:r w:rsidR="00DB2A16">
        <w:rPr>
          <w:rFonts w:cs="Calibri"/>
          <w:szCs w:val="24"/>
        </w:rPr>
        <w:t xml:space="preserve"> (Brown &amp; Warner, 1985)</w:t>
      </w:r>
      <w:r w:rsidRPr="00722985">
        <w:rPr>
          <w:rFonts w:cs="Calibri"/>
          <w:szCs w:val="24"/>
        </w:rPr>
        <w:t>. Ezek az eredmények kulcsfontosságúak jelen kutatás szempontjából, mivel a 2024-es amerikai elnökválasztás hatásait napi részvényárfolyam-adatokon, rövid eseményablak segítségével vizsgáljuk.</w:t>
      </w:r>
    </w:p>
    <w:p w14:paraId="1AE5DA10" w14:textId="603BC099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 módszertani keretet MacKinlay (1997) foglalja össze átfogó módon. A szerző részletesen bemutatja az eseményvizsgálat lépéseit: az esemény pontos definiálását, az esemény- és becslési ablak meghatározását, a normál hozamok becslését, az abnormális és kumulált abnormális hozamok kiszámítását, valamint a statisztikai tesztelés módjait. MacKinlay hangsúlyozza, hogy az eseményvizsgálat különösen alkalmas rövid távú piaci reakciók elemzésére, ugyanakkor felhívja a figyelmet az egyidejű zavaró események és a modellválasztásból fakadó torzítások kezelésének fontosságára</w:t>
      </w:r>
      <w:r w:rsidR="00DB2A16">
        <w:rPr>
          <w:rFonts w:cs="Calibri"/>
          <w:szCs w:val="24"/>
        </w:rPr>
        <w:t xml:space="preserve"> (MacKinlay, 1997)</w:t>
      </w:r>
      <w:r w:rsidRPr="00722985">
        <w:rPr>
          <w:rFonts w:cs="Calibri"/>
          <w:szCs w:val="24"/>
        </w:rPr>
        <w:t>. Ezek az elvek közvetlenül meghatározzák jelen kutatás empirikus felépítését.</w:t>
      </w:r>
    </w:p>
    <w:p w14:paraId="7EEB479D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2. Politikai bizonytalanság és részvénypiaci reakciók elméleti háttere</w:t>
      </w:r>
    </w:p>
    <w:p w14:paraId="23274DE5" w14:textId="6D784A58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lastRenderedPageBreak/>
        <w:t>A politikai események részvénypiaci hatásainak értelmezéséhez elengedhetetlen a politikai és gazdasági bizonytalanság szerepének megértése. Baker</w:t>
      </w:r>
      <w:r w:rsidR="000939CE">
        <w:rPr>
          <w:rFonts w:cs="Calibri"/>
          <w:szCs w:val="24"/>
        </w:rPr>
        <w:t xml:space="preserve"> és szerzőtársai</w:t>
      </w:r>
      <w:r w:rsidRPr="00722985">
        <w:rPr>
          <w:rFonts w:cs="Calibri"/>
          <w:szCs w:val="24"/>
        </w:rPr>
        <w:t xml:space="preserve"> (2016) az Economic Policy Uncertainty (EPU) index bevezetésével kvantifikálhatóvá teszik a politikai bizonytalanságot. Az index újságcikkek tartalomelemzésén, adópolitikai szabályok lejáratán és közgazdász-előrejelzések szórásán alapul, és empirikusan igazolható módon megugrik szoros elnökválasztások, geopolitikai konfliktusok és nagy gazdasági sokkok idején</w:t>
      </w:r>
      <w:r w:rsidR="00DB2A16">
        <w:rPr>
          <w:rFonts w:cs="Calibri"/>
          <w:szCs w:val="24"/>
        </w:rPr>
        <w:t xml:space="preserve"> (Baker et al., 2016)</w:t>
      </w:r>
      <w:r w:rsidRPr="00722985">
        <w:rPr>
          <w:rFonts w:cs="Calibri"/>
          <w:szCs w:val="24"/>
        </w:rPr>
        <w:t>.</w:t>
      </w:r>
    </w:p>
    <w:p w14:paraId="35E40769" w14:textId="77777777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 szerzők kimutatják, hogy a magasabb politikai bizonytalanság növeli a részvénypiaci volatilitást, és különösen erősen érinti azokat az ágazatokat, amelyek erősebben függenek a kormányzati szabályozástól. Ez a megállapítás közvetlen kapcsolatot teremt a jelen kutatás céljával, amely szektorspecifikusan vizsgálja a 2024-es amerikai elnökválasztás rövid távú árfolyamhatásait.</w:t>
      </w:r>
    </w:p>
    <w:p w14:paraId="07FD09FC" w14:textId="4DE08AAC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Az elméleti hátteret tovább mélyíti Pástor és Veronesi (2013) általános egyensúlyi modellje, amely szerint a politikai bizonytalanság önálló kockázati tényezőként jelenik meg a pénzügyi piacokon. A modell előrejelzése szerint a bizonytalanság magasabb elvárt hozamokat, növekvő volatilitást és erősebb részvényhozam-korrelációt eredményez. Empirikus eredményeik alátámasztják, hogy választások és kormányzati bizonytalanság idején emelkedik a részvénykockázati prémium, ami arra utal, hogy a befektetők kockázatkompenzációt igényelnek a politikai döntések kiszámíthatatlansága miatt</w:t>
      </w:r>
      <w:r w:rsidR="00062903">
        <w:rPr>
          <w:rFonts w:cs="Calibri"/>
          <w:szCs w:val="24"/>
        </w:rPr>
        <w:t xml:space="preserve"> (Pástor &amp; Veronesi, 2013)</w:t>
      </w:r>
      <w:r w:rsidRPr="00722985">
        <w:rPr>
          <w:rFonts w:cs="Calibri"/>
          <w:szCs w:val="24"/>
        </w:rPr>
        <w:t>.</w:t>
      </w:r>
    </w:p>
    <w:p w14:paraId="1174BCED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3. Az amerikai elnökválasztások rövid távú piaci hatásai eseményvizsgálatok alapján</w:t>
      </w:r>
    </w:p>
    <w:p w14:paraId="4680824D" w14:textId="58F22668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 xml:space="preserve">Az empirikus szakirodalom jelentős része eseményvizsgálati módszert alkalmaz az amerikai elnökválasztások rövid távú részvénypiaci hatásainak elemzésére. Diaconaşu és szerzőtársai (2023) a 2016-os elnökválasztás globális tőkepiaci következményeit vizsgálva azt találják, hogy a legtöbb ország részvényindexe kezdetben negatívan reagált a váratlan eredményre, majd </w:t>
      </w:r>
      <w:r w:rsidRPr="00722985">
        <w:rPr>
          <w:rFonts w:cs="Calibri"/>
          <w:szCs w:val="24"/>
        </w:rPr>
        <w:lastRenderedPageBreak/>
        <w:t>gyors árfolyam-korrekció következett be</w:t>
      </w:r>
      <w:r w:rsidR="008661BB">
        <w:rPr>
          <w:rFonts w:cs="Calibri"/>
          <w:szCs w:val="24"/>
        </w:rPr>
        <w:t xml:space="preserve"> (</w:t>
      </w:r>
      <w:r w:rsidR="008661BB" w:rsidRPr="00722985">
        <w:rPr>
          <w:rFonts w:cs="Calibri"/>
          <w:szCs w:val="24"/>
        </w:rPr>
        <w:t>Diaconaşu</w:t>
      </w:r>
      <w:r w:rsidR="008661BB">
        <w:rPr>
          <w:rFonts w:cs="Calibri"/>
          <w:szCs w:val="24"/>
        </w:rPr>
        <w:t xml:space="preserve"> et al., 2023)</w:t>
      </w:r>
      <w:r w:rsidRPr="00722985">
        <w:rPr>
          <w:rFonts w:cs="Calibri"/>
          <w:szCs w:val="24"/>
        </w:rPr>
        <w:t>. Ez a mintázat összhangban áll a túlreagálás és az információk gyors piaci beépülésének elméletével.</w:t>
      </w:r>
    </w:p>
    <w:p w14:paraId="4B139246" w14:textId="1381E0D5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Hashim és El Mosallamy (2020) összehasonlító elemzése fejlett és fejlődő piacok között azt mutatja, hogy a választási eredmény bejelentése nem minden esetben jár statisztikailag szignifikáns abnormális hozamokkal vagy tartós volatilitásnövekedéssel</w:t>
      </w:r>
      <w:r w:rsidR="007535C5">
        <w:rPr>
          <w:rFonts w:cs="Calibri"/>
          <w:szCs w:val="24"/>
        </w:rPr>
        <w:t xml:space="preserve"> (Hashim &amp; El Mosallamy, 2020)</w:t>
      </w:r>
      <w:r w:rsidRPr="00722985">
        <w:rPr>
          <w:rFonts w:cs="Calibri"/>
          <w:szCs w:val="24"/>
        </w:rPr>
        <w:t>. a piaci hatékonyság fennállását hangsúlyozzák, ugyanakkor rávilágítanak arra, hogy a választási sokkok piaci hatása heterogén lehet.</w:t>
      </w:r>
    </w:p>
    <w:p w14:paraId="48DF5A26" w14:textId="649350A3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Jones és Banning (2009) havi hozamok alapján vizsgálják az amerikai elnökválasztások hatását, és arra a következtetésre jutnak, hogy havi frekvencián nem mutatható ki következetes, szignifikáns piaci reakció</w:t>
      </w:r>
      <w:r w:rsidR="007535C5">
        <w:rPr>
          <w:rFonts w:cs="Calibri"/>
          <w:szCs w:val="24"/>
        </w:rPr>
        <w:t xml:space="preserve"> (Jones &amp; Banning, 2009)</w:t>
      </w:r>
      <w:r w:rsidRPr="00722985">
        <w:rPr>
          <w:rFonts w:cs="Calibri"/>
          <w:szCs w:val="24"/>
        </w:rPr>
        <w:t>. Ez az eredmény aláhúzza az adatok időbeli felbontásának fontosságát, és indokolja, hogy jelen kutatás napi adatokkal, rövid eseményablak alkalmazásával vizsgálja a választási hatásokat.</w:t>
      </w:r>
    </w:p>
    <w:p w14:paraId="3B925206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4. Választási bizonytalanság, piaci várakozások és előzetes reakciók</w:t>
      </w:r>
    </w:p>
    <w:p w14:paraId="7761916F" w14:textId="6BD0BB58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 választások piaci hatásai nem kizárólag az eredmény kihirdetésének napján jelentkeznek. Li és Born (2006) polling</w:t>
      </w:r>
      <w:r w:rsidR="007535C5">
        <w:rPr>
          <w:rFonts w:cs="Calibri"/>
          <w:szCs w:val="24"/>
        </w:rPr>
        <w:t xml:space="preserve"> </w:t>
      </w:r>
      <w:r w:rsidRPr="00722985">
        <w:rPr>
          <w:rFonts w:cs="Calibri"/>
          <w:szCs w:val="24"/>
        </w:rPr>
        <w:t>adatok felhasználásával kimutatják, hogy a szoros, bizonytalan kimenetelű választások időszakában nő a részvénypiaci volatilitás, és átlagosan emelkednek a hozamok is</w:t>
      </w:r>
      <w:r w:rsidR="007535C5">
        <w:rPr>
          <w:rFonts w:cs="Calibri"/>
          <w:szCs w:val="24"/>
        </w:rPr>
        <w:t xml:space="preserve"> (Li &amp; Born, 2006)</w:t>
      </w:r>
      <w:r w:rsidRPr="00722985">
        <w:rPr>
          <w:rFonts w:cs="Calibri"/>
          <w:szCs w:val="24"/>
        </w:rPr>
        <w:t>. Ez arra utal, hogy a politikai bizonytalanság már a kampányidőszak során beépül a részvényárakba.</w:t>
      </w:r>
    </w:p>
    <w:p w14:paraId="751546AF" w14:textId="7FC14A17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Ezt a megközelítést egészíti ki Kumar Jaiswal és szerzőtársai (2025) tanulmánya, amely napi szintű választási győzelmi valószínűségeket használ annak vizsgálatára, hogy a piaci várakozások változása miként hat a globális részvénypiacokra</w:t>
      </w:r>
      <w:r w:rsidR="007535C5">
        <w:rPr>
          <w:rFonts w:cs="Calibri"/>
          <w:szCs w:val="24"/>
        </w:rPr>
        <w:t xml:space="preserve"> (Kuwar Jaiswal et al., 2025)</w:t>
      </w:r>
      <w:r w:rsidRPr="00722985">
        <w:rPr>
          <w:rFonts w:cs="Calibri"/>
          <w:szCs w:val="24"/>
        </w:rPr>
        <w:t>. Az eredmények szerint nem csupán a választás tényleges kimenetele, hanem annak változó valószínűségei is jelentős hatást gyakorolhatnak a részvényárakra, ami túlmutat a klasszikus, egyetlen eseménynapra fókuszáló eseményvizsgálatokon.</w:t>
      </w:r>
    </w:p>
    <w:p w14:paraId="4C458F0D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lastRenderedPageBreak/>
        <w:t>5. Szektorspecifikus reakciók és vállalati szintű hatások</w:t>
      </w:r>
    </w:p>
    <w:p w14:paraId="238DB9B8" w14:textId="127BEEE0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 xml:space="preserve">A politikai események hatása gyakran nem egységes a részvénypiac egészén, hanem szektoronként eltérő módon jelentkezik. Bouoiyour és Selmi (2016) a 2016-os amerikai elnökválasztás kapcsán azt találják, hogy több szektor </w:t>
      </w:r>
      <w:r w:rsidR="001E340C">
        <w:rPr>
          <w:rFonts w:cs="Calibri"/>
          <w:szCs w:val="24"/>
        </w:rPr>
        <w:t>(</w:t>
      </w:r>
      <w:r w:rsidRPr="00722985">
        <w:rPr>
          <w:rFonts w:cs="Calibri"/>
          <w:szCs w:val="24"/>
        </w:rPr>
        <w:t xml:space="preserve">például a pénzügyi, </w:t>
      </w:r>
      <w:r w:rsidR="001E340C">
        <w:rPr>
          <w:rFonts w:cs="Calibri"/>
          <w:szCs w:val="24"/>
        </w:rPr>
        <w:t xml:space="preserve">a </w:t>
      </w:r>
      <w:r w:rsidRPr="00722985">
        <w:rPr>
          <w:rFonts w:cs="Calibri"/>
          <w:szCs w:val="24"/>
        </w:rPr>
        <w:t xml:space="preserve">védelmi, </w:t>
      </w:r>
      <w:r w:rsidR="001E340C">
        <w:rPr>
          <w:rFonts w:cs="Calibri"/>
          <w:szCs w:val="24"/>
        </w:rPr>
        <w:t xml:space="preserve">az </w:t>
      </w:r>
      <w:r w:rsidRPr="00722985">
        <w:rPr>
          <w:rFonts w:cs="Calibri"/>
          <w:szCs w:val="24"/>
        </w:rPr>
        <w:t>energetikai és</w:t>
      </w:r>
      <w:r w:rsidR="001E340C">
        <w:rPr>
          <w:rFonts w:cs="Calibri"/>
          <w:szCs w:val="24"/>
        </w:rPr>
        <w:t xml:space="preserve"> az</w:t>
      </w:r>
      <w:r w:rsidRPr="00722985">
        <w:rPr>
          <w:rFonts w:cs="Calibri"/>
          <w:szCs w:val="24"/>
        </w:rPr>
        <w:t xml:space="preserve"> ingatlanpiaci ágazat</w:t>
      </w:r>
      <w:r w:rsidR="001E340C">
        <w:rPr>
          <w:rFonts w:cs="Calibri"/>
          <w:szCs w:val="24"/>
        </w:rPr>
        <w:t>)</w:t>
      </w:r>
      <w:r w:rsidRPr="00722985">
        <w:rPr>
          <w:rFonts w:cs="Calibri"/>
          <w:szCs w:val="24"/>
        </w:rPr>
        <w:t xml:space="preserve"> pozitív abnormális hozamot ért el, míg a technológiai és </w:t>
      </w:r>
      <w:r w:rsidR="001E340C">
        <w:rPr>
          <w:rFonts w:cs="Calibri"/>
          <w:szCs w:val="24"/>
        </w:rPr>
        <w:t xml:space="preserve">a </w:t>
      </w:r>
      <w:r w:rsidRPr="00722985">
        <w:rPr>
          <w:rFonts w:cs="Calibri"/>
          <w:szCs w:val="24"/>
        </w:rPr>
        <w:t>közüzemi szektorok gyengébben teljesítettek</w:t>
      </w:r>
      <w:r w:rsidR="001E340C">
        <w:rPr>
          <w:rFonts w:cs="Calibri"/>
          <w:szCs w:val="24"/>
        </w:rPr>
        <w:t xml:space="preserve"> (</w:t>
      </w:r>
      <w:r w:rsidR="001E340C" w:rsidRPr="00722985">
        <w:rPr>
          <w:rFonts w:cs="Calibri"/>
          <w:szCs w:val="24"/>
        </w:rPr>
        <w:t>Bouoiyour</w:t>
      </w:r>
      <w:r w:rsidR="001E340C">
        <w:rPr>
          <w:rFonts w:cs="Calibri"/>
          <w:szCs w:val="24"/>
        </w:rPr>
        <w:t xml:space="preserve"> &amp; Selmi, 2016)</w:t>
      </w:r>
      <w:r w:rsidRPr="00722985">
        <w:rPr>
          <w:rFonts w:cs="Calibri"/>
          <w:szCs w:val="24"/>
        </w:rPr>
        <w:t>. Eredményeik alátámasztják az „Uncertain Information Hypothesis” elméletét, amely szerint az új politikai információk kezdeti bizonytalanságot, majd gyors árkorrekciót váltanak ki.</w:t>
      </w:r>
    </w:p>
    <w:p w14:paraId="0F1A9313" w14:textId="3A611EE0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Ahmed és szerzőtársai (2020) meta-analízise megerősíti, hogy a 2016-os választás rövid távú hatásai szektorspecifikusak voltak, és a politikai bizonytalanság különösen a választás előtti időszakban növelte a piaci volatilitást</w:t>
      </w:r>
      <w:r w:rsidR="001E340C">
        <w:rPr>
          <w:rFonts w:cs="Calibri"/>
          <w:szCs w:val="24"/>
        </w:rPr>
        <w:t xml:space="preserve"> (Ahmed et al., 2020)</w:t>
      </w:r>
      <w:r w:rsidRPr="00722985">
        <w:rPr>
          <w:rFonts w:cs="Calibri"/>
          <w:szCs w:val="24"/>
        </w:rPr>
        <w:t>. Ezek az eredmények közvetlenül indokolják jelen kutatás szektorspecifikus megközelítését, amely egyes amerikai részvények árfolyamreakcióit külön-külön elemzi.</w:t>
      </w:r>
    </w:p>
    <w:p w14:paraId="09890178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6. Hosszabb távú összefüggések és ciklikus hatások</w:t>
      </w:r>
    </w:p>
    <w:p w14:paraId="680A0998" w14:textId="10231506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Bár jelen kutatás kifejezetten a rövid távú árfolyamreakciókra fókuszál, az irodalom rámutat arra, hogy az elnökválasztások hosszabb távú gazdasági és piaci hatásokkal is járhatnak. Chien és szerzőtársai (2016) szerint a választás utáni részvénypiaci hozamok rövid távon előre jelezhetik a gazdasági növekedés alakulását</w:t>
      </w:r>
      <w:r w:rsidR="00C80E3D">
        <w:rPr>
          <w:rFonts w:cs="Calibri"/>
          <w:szCs w:val="24"/>
        </w:rPr>
        <w:t xml:space="preserve"> (Chien et al., 2016)</w:t>
      </w:r>
      <w:r w:rsidRPr="00722985">
        <w:rPr>
          <w:rFonts w:cs="Calibri"/>
          <w:szCs w:val="24"/>
        </w:rPr>
        <w:t>. Blanchard és szerzőtársai (2018) azt találják, hogy a 2016-os választást követő piaci fellendülés jelentős része fundamentális tényezőkkel, például a várt osztalékok növekedésével magyarázható</w:t>
      </w:r>
      <w:r w:rsidR="00C80E3D">
        <w:rPr>
          <w:rFonts w:cs="Calibri"/>
          <w:szCs w:val="24"/>
        </w:rPr>
        <w:t xml:space="preserve"> (Blanchard et al., 2018)</w:t>
      </w:r>
      <w:r w:rsidRPr="00722985">
        <w:rPr>
          <w:rFonts w:cs="Calibri"/>
          <w:szCs w:val="24"/>
        </w:rPr>
        <w:t>.</w:t>
      </w:r>
    </w:p>
    <w:p w14:paraId="641F047A" w14:textId="0049965A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Wong és McAleer (2009) az elnökválasztási ciklus egészét vizsgálva arra jutnak, hogy a politikai ciklusok szezonális mintázatokat hagyhatnak a részvénypiaci hozamokban</w:t>
      </w:r>
      <w:r w:rsidR="00671F09">
        <w:rPr>
          <w:rFonts w:cs="Calibri"/>
          <w:szCs w:val="24"/>
        </w:rPr>
        <w:t xml:space="preserve"> (Wong &amp; McAleer, </w:t>
      </w:r>
      <w:r w:rsidR="00671F09">
        <w:rPr>
          <w:rFonts w:cs="Calibri"/>
          <w:szCs w:val="24"/>
        </w:rPr>
        <w:lastRenderedPageBreak/>
        <w:t>2009)</w:t>
      </w:r>
      <w:r w:rsidRPr="00722985">
        <w:rPr>
          <w:rFonts w:cs="Calibri"/>
          <w:szCs w:val="24"/>
        </w:rPr>
        <w:t>. Ezek az eredmények kontextust adnak a rövid távú eseményvizsgálati eredmények értelmezéséhez.</w:t>
      </w:r>
    </w:p>
    <w:p w14:paraId="14FBAA9E" w14:textId="77777777" w:rsidR="00722985" w:rsidRPr="00722985" w:rsidRDefault="00722985" w:rsidP="00722985">
      <w:pPr>
        <w:jc w:val="both"/>
        <w:rPr>
          <w:rFonts w:cs="Calibri"/>
          <w:b/>
          <w:bCs/>
          <w:szCs w:val="24"/>
        </w:rPr>
      </w:pPr>
      <w:r w:rsidRPr="00722985">
        <w:rPr>
          <w:rFonts w:cs="Calibri"/>
          <w:b/>
          <w:bCs/>
          <w:szCs w:val="24"/>
        </w:rPr>
        <w:t>7. Nemzetközi tapasztalatok és összehasonlító eredmények</w:t>
      </w:r>
    </w:p>
    <w:p w14:paraId="15CD3143" w14:textId="009F2E03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A nemzetközi szakirodalom arra utal, hogy a választások részvénypiaci hatása erősen függ a piaci fejlettségtől és az intézményi környezettől. Chavali és szerzőtársai (2020) indiai adatokon azt találják, hogy a választások általában pozitív piaci reakcióval járnak, különösen a politikailag érzékeny és állami tulajdonú vállalatok esetében</w:t>
      </w:r>
      <w:r w:rsidR="00A80B1D">
        <w:rPr>
          <w:rFonts w:cs="Calibri"/>
          <w:szCs w:val="24"/>
        </w:rPr>
        <w:t xml:space="preserve"> (Chavali et al., 2020)</w:t>
      </w:r>
      <w:r w:rsidRPr="00722985">
        <w:rPr>
          <w:rFonts w:cs="Calibri"/>
          <w:szCs w:val="24"/>
        </w:rPr>
        <w:t>. Yiadom és szerzőtársai (2024) afrikai piacokat vizsgálva kimutatják, hogy míg a választási kampányok gyakran élénkítik a piacokat, addig a kormányváltások inkább negatív hatással bírnak</w:t>
      </w:r>
      <w:r w:rsidR="00A80B1D">
        <w:rPr>
          <w:rFonts w:cs="Calibri"/>
          <w:szCs w:val="24"/>
        </w:rPr>
        <w:t xml:space="preserve"> (Yiadom et al., 2024)</w:t>
      </w:r>
      <w:r w:rsidRPr="00722985">
        <w:rPr>
          <w:rFonts w:cs="Calibri"/>
          <w:szCs w:val="24"/>
        </w:rPr>
        <w:t>.</w:t>
      </w:r>
    </w:p>
    <w:p w14:paraId="7BE7A437" w14:textId="77777777" w:rsidR="00722985" w:rsidRPr="00722985" w:rsidRDefault="00722985" w:rsidP="00722985">
      <w:pPr>
        <w:jc w:val="both"/>
        <w:rPr>
          <w:rFonts w:cs="Calibri"/>
          <w:szCs w:val="24"/>
        </w:rPr>
      </w:pPr>
      <w:r w:rsidRPr="00722985">
        <w:rPr>
          <w:rFonts w:cs="Calibri"/>
          <w:szCs w:val="24"/>
        </w:rPr>
        <w:t>Összességében az irodalom azt mutatja, hogy az amerikai elnökválasztások részvénypiaci hatásai összetettek, szektorspecifikusak és időben eltérő módon jelentkeznek. Ezek az eredmények erősen alátámasztják jelen kutatás relevanciáját, amely eseményvizsgálati módszerrel elemzi a 2024-es amerikai elnökválasztás eredményének rövid távú hatását egyes amerikai részvények árfolyamára, szektorspecifikus bontásban.</w:t>
      </w:r>
    </w:p>
    <w:p w14:paraId="764C9325" w14:textId="5BCA402C" w:rsidR="00CB2FCA" w:rsidRDefault="00CB2FCA">
      <w:pPr>
        <w:rPr>
          <w:rFonts w:cs="Calibri"/>
          <w:szCs w:val="24"/>
        </w:rPr>
      </w:pPr>
      <w:r>
        <w:rPr>
          <w:rFonts w:cs="Calibri"/>
          <w:szCs w:val="24"/>
        </w:rPr>
        <w:br w:type="page"/>
      </w:r>
    </w:p>
    <w:p w14:paraId="30B449CE" w14:textId="47C31CDB" w:rsidR="00CB2FCA" w:rsidRDefault="00CB2FCA">
      <w:pPr>
        <w:rPr>
          <w:rFonts w:cs="Calibri"/>
          <w:b/>
          <w:bCs/>
          <w:sz w:val="28"/>
          <w:szCs w:val="28"/>
        </w:rPr>
      </w:pPr>
      <w:r w:rsidRPr="00CB2FCA">
        <w:rPr>
          <w:rFonts w:cs="Calibri"/>
          <w:b/>
          <w:bCs/>
          <w:sz w:val="28"/>
          <w:szCs w:val="28"/>
        </w:rPr>
        <w:lastRenderedPageBreak/>
        <w:t>Felhasznált irodalom</w:t>
      </w:r>
    </w:p>
    <w:p w14:paraId="68AC5112" w14:textId="7C50696A" w:rsidR="00780A83" w:rsidRDefault="00780A83" w:rsidP="00780A83">
      <w:pPr>
        <w:pStyle w:val="Listaszerbekezds"/>
        <w:numPr>
          <w:ilvl w:val="0"/>
          <w:numId w:val="1"/>
        </w:numPr>
        <w:jc w:val="both"/>
      </w:pPr>
      <w:r w:rsidRPr="001879F9">
        <w:t>Ahmed, F., Bahoo, S., Aslam, S., &amp; Qureshi, M. A. (2020). Meta-analysis on American presidential election-2016 and american stock market. </w:t>
      </w:r>
      <w:r w:rsidRPr="00780A83">
        <w:rPr>
          <w:i/>
          <w:iCs/>
        </w:rPr>
        <w:t>Studies of Applied Economics</w:t>
      </w:r>
      <w:r w:rsidRPr="001879F9">
        <w:t>, </w:t>
      </w:r>
      <w:r w:rsidRPr="00780A83">
        <w:rPr>
          <w:i/>
          <w:iCs/>
        </w:rPr>
        <w:t>38</w:t>
      </w:r>
      <w:r w:rsidRPr="001879F9">
        <w:t>(1).</w:t>
      </w:r>
    </w:p>
    <w:p w14:paraId="1630B754" w14:textId="742FCBDA" w:rsidR="00141F18" w:rsidRDefault="00141F18" w:rsidP="00141F18">
      <w:pPr>
        <w:pStyle w:val="Listaszerbekezds"/>
        <w:numPr>
          <w:ilvl w:val="0"/>
          <w:numId w:val="1"/>
        </w:numPr>
        <w:jc w:val="both"/>
      </w:pPr>
      <w:r w:rsidRPr="00AB5AE5">
        <w:t>Baker, S. R., Bloom, N., &amp; Davis, S. J. (2016). Measuring economic policy uncertainty. </w:t>
      </w:r>
      <w:r w:rsidRPr="00141F18">
        <w:rPr>
          <w:i/>
          <w:iCs/>
        </w:rPr>
        <w:t>The quarterly journal of economics</w:t>
      </w:r>
      <w:r w:rsidRPr="00AB5AE5">
        <w:t>, </w:t>
      </w:r>
      <w:r w:rsidRPr="00141F18">
        <w:rPr>
          <w:i/>
          <w:iCs/>
        </w:rPr>
        <w:t>131</w:t>
      </w:r>
      <w:r w:rsidRPr="00AB5AE5">
        <w:t>(4), 1593-1636.</w:t>
      </w:r>
    </w:p>
    <w:p w14:paraId="4E4D3845" w14:textId="66CE24B1" w:rsidR="00BF1518" w:rsidRDefault="00BF1518" w:rsidP="00141F18">
      <w:pPr>
        <w:pStyle w:val="Listaszerbekezds"/>
        <w:numPr>
          <w:ilvl w:val="0"/>
          <w:numId w:val="1"/>
        </w:numPr>
        <w:jc w:val="both"/>
      </w:pPr>
      <w:r w:rsidRPr="001879F9">
        <w:t>Blanchard, O., Collins, C. G., Jahan-Parvar, M. R., Pellet, T., &amp; Wilson, B. A. (2018). A year of rising dangerously? The US stock market performance in the aftermath of the presidential election. </w:t>
      </w:r>
      <w:r w:rsidRPr="001879F9">
        <w:rPr>
          <w:i/>
          <w:iCs/>
        </w:rPr>
        <w:t>Journal of Policy Modeling</w:t>
      </w:r>
      <w:r w:rsidRPr="001879F9">
        <w:t>, </w:t>
      </w:r>
      <w:r w:rsidRPr="001879F9">
        <w:rPr>
          <w:i/>
          <w:iCs/>
        </w:rPr>
        <w:t>40</w:t>
      </w:r>
      <w:r w:rsidRPr="001879F9">
        <w:t>(3), 489-502</w:t>
      </w:r>
      <w:r>
        <w:t>.</w:t>
      </w:r>
    </w:p>
    <w:p w14:paraId="0FC5D7ED" w14:textId="77777777" w:rsidR="00847C12" w:rsidRDefault="00847C12" w:rsidP="00847C12">
      <w:pPr>
        <w:pStyle w:val="Listaszerbekezds"/>
        <w:numPr>
          <w:ilvl w:val="0"/>
          <w:numId w:val="1"/>
        </w:numPr>
        <w:jc w:val="both"/>
      </w:pPr>
      <w:r w:rsidRPr="003942A1">
        <w:t>Bouoiyour, J., &amp; Selmi, R. (2016). The price of political uncertainty: Evidence from the 2016 US presidential election and the US stock markets. </w:t>
      </w:r>
      <w:r w:rsidRPr="00847C12">
        <w:rPr>
          <w:i/>
          <w:iCs/>
        </w:rPr>
        <w:t>arXiv preprint arXiv:1612.06200</w:t>
      </w:r>
      <w:r w:rsidRPr="003942A1">
        <w:t>.</w:t>
      </w:r>
    </w:p>
    <w:p w14:paraId="0B3D46E5" w14:textId="681869B8" w:rsidR="003417B8" w:rsidRDefault="003417B8" w:rsidP="003417B8">
      <w:pPr>
        <w:pStyle w:val="Listaszerbekezds"/>
        <w:numPr>
          <w:ilvl w:val="0"/>
          <w:numId w:val="1"/>
        </w:numPr>
        <w:jc w:val="both"/>
      </w:pPr>
      <w:r w:rsidRPr="00AB5AE5">
        <w:t>Brown, S. J., &amp; Warner, J. B. (1985). Using daily stock returns: The case of event studies. </w:t>
      </w:r>
      <w:r w:rsidRPr="003417B8">
        <w:rPr>
          <w:i/>
          <w:iCs/>
        </w:rPr>
        <w:t>Journal of financial economics</w:t>
      </w:r>
      <w:r w:rsidRPr="00AB5AE5">
        <w:t>, </w:t>
      </w:r>
      <w:r w:rsidRPr="003417B8">
        <w:rPr>
          <w:i/>
          <w:iCs/>
        </w:rPr>
        <w:t>14</w:t>
      </w:r>
      <w:r w:rsidRPr="00AB5AE5">
        <w:t>(1), 3-31.</w:t>
      </w:r>
    </w:p>
    <w:p w14:paraId="75713F89" w14:textId="77777777" w:rsidR="009508CE" w:rsidRDefault="009508CE" w:rsidP="009508CE">
      <w:pPr>
        <w:pStyle w:val="Listaszerbekezds"/>
        <w:numPr>
          <w:ilvl w:val="0"/>
          <w:numId w:val="1"/>
        </w:numPr>
        <w:jc w:val="both"/>
      </w:pPr>
      <w:r w:rsidRPr="003942A1">
        <w:t>Chavali, K., Mohammad, A. L. A. M., &amp; Rosario, S. (2020). Stock market response to elections: An event study method. </w:t>
      </w:r>
      <w:r w:rsidRPr="009508CE">
        <w:rPr>
          <w:i/>
          <w:iCs/>
        </w:rPr>
        <w:t>the Journal of asian finance, economics and business</w:t>
      </w:r>
      <w:r w:rsidRPr="003942A1">
        <w:t>, </w:t>
      </w:r>
      <w:r w:rsidRPr="009508CE">
        <w:rPr>
          <w:i/>
          <w:iCs/>
        </w:rPr>
        <w:t>7</w:t>
      </w:r>
      <w:r w:rsidRPr="003942A1">
        <w:t>(5), 9-18.</w:t>
      </w:r>
    </w:p>
    <w:p w14:paraId="5BF3C33C" w14:textId="77777777" w:rsidR="00445936" w:rsidRDefault="00445936" w:rsidP="00445936">
      <w:pPr>
        <w:pStyle w:val="Listaszerbekezds"/>
        <w:numPr>
          <w:ilvl w:val="0"/>
          <w:numId w:val="1"/>
        </w:numPr>
        <w:jc w:val="both"/>
      </w:pPr>
      <w:r w:rsidRPr="005260C6">
        <w:t>Chien, W. W., Mayer, R., &amp; Wang, Z. (2016). Stock market, economic performance, and presidential elections. </w:t>
      </w:r>
      <w:r w:rsidRPr="00445936">
        <w:rPr>
          <w:i/>
          <w:iCs/>
        </w:rPr>
        <w:t>Journal of Business &amp; Economics Research</w:t>
      </w:r>
      <w:r w:rsidRPr="005260C6">
        <w:t>.</w:t>
      </w:r>
    </w:p>
    <w:p w14:paraId="420236F6" w14:textId="77777777" w:rsidR="005F2233" w:rsidRDefault="005F2233" w:rsidP="005F2233">
      <w:pPr>
        <w:pStyle w:val="Listaszerbekezds"/>
        <w:numPr>
          <w:ilvl w:val="0"/>
          <w:numId w:val="1"/>
        </w:numPr>
        <w:jc w:val="both"/>
      </w:pPr>
      <w:r w:rsidRPr="005260C6">
        <w:t>Diaconaşu, D., Mehdian, S., &amp; Stoica, O. (2023). The global stock market reactions to the 2016 US presidential election. </w:t>
      </w:r>
      <w:r w:rsidRPr="005F2233">
        <w:rPr>
          <w:i/>
          <w:iCs/>
        </w:rPr>
        <w:t>Sage Open</w:t>
      </w:r>
      <w:r w:rsidRPr="005260C6">
        <w:t>, </w:t>
      </w:r>
      <w:r w:rsidRPr="005F2233">
        <w:rPr>
          <w:i/>
          <w:iCs/>
        </w:rPr>
        <w:t>13</w:t>
      </w:r>
      <w:r w:rsidRPr="005260C6">
        <w:t>(2), 21582440231181352.</w:t>
      </w:r>
    </w:p>
    <w:p w14:paraId="7855F7B5" w14:textId="77777777" w:rsidR="00E30C9D" w:rsidRDefault="00E30C9D" w:rsidP="00E30C9D">
      <w:pPr>
        <w:pStyle w:val="Listaszerbekezds"/>
        <w:numPr>
          <w:ilvl w:val="0"/>
          <w:numId w:val="1"/>
        </w:numPr>
        <w:jc w:val="both"/>
      </w:pPr>
      <w:r w:rsidRPr="005260C6">
        <w:t>Hashim, N., &amp; Mosallamy, D. E. (2020). Presidential elections and stock market: a comparative study. </w:t>
      </w:r>
      <w:r w:rsidRPr="00E30C9D">
        <w:rPr>
          <w:i/>
          <w:iCs/>
        </w:rPr>
        <w:t>Journal of Finance and Economics</w:t>
      </w:r>
      <w:r w:rsidRPr="005260C6">
        <w:t>, </w:t>
      </w:r>
      <w:r w:rsidRPr="00E30C9D">
        <w:rPr>
          <w:i/>
          <w:iCs/>
        </w:rPr>
        <w:t>8</w:t>
      </w:r>
      <w:r w:rsidRPr="005260C6">
        <w:t>(3), 116-126.</w:t>
      </w:r>
    </w:p>
    <w:p w14:paraId="599BA6A8" w14:textId="77777777" w:rsidR="00844B6A" w:rsidRDefault="00844B6A" w:rsidP="00844B6A">
      <w:pPr>
        <w:pStyle w:val="Listaszerbekezds"/>
        <w:numPr>
          <w:ilvl w:val="0"/>
          <w:numId w:val="1"/>
        </w:numPr>
        <w:jc w:val="both"/>
      </w:pPr>
      <w:r w:rsidRPr="003942A1">
        <w:lastRenderedPageBreak/>
        <w:t>Jones, S. T., &amp; Banning, K. (2009). US elections and monthly stock market returns. </w:t>
      </w:r>
      <w:r w:rsidRPr="00844B6A">
        <w:rPr>
          <w:i/>
          <w:iCs/>
        </w:rPr>
        <w:t>Journal of Economics and Finance</w:t>
      </w:r>
      <w:r w:rsidRPr="003942A1">
        <w:t>, </w:t>
      </w:r>
      <w:r w:rsidRPr="00844B6A">
        <w:rPr>
          <w:i/>
          <w:iCs/>
        </w:rPr>
        <w:t>33</w:t>
      </w:r>
      <w:r w:rsidRPr="003942A1">
        <w:t>(3), 273-287.</w:t>
      </w:r>
    </w:p>
    <w:p w14:paraId="1D5EAB37" w14:textId="77777777" w:rsidR="00730489" w:rsidRDefault="00730489" w:rsidP="00730489">
      <w:pPr>
        <w:pStyle w:val="Listaszerbekezds"/>
        <w:numPr>
          <w:ilvl w:val="0"/>
          <w:numId w:val="1"/>
        </w:numPr>
        <w:jc w:val="both"/>
      </w:pPr>
      <w:r w:rsidRPr="00F16E64">
        <w:t>Kumar Jaiswal, S., Singh, S., Arya, S., Das, M., &amp; Singh, S. (2025). Global Stock Market Reactions to 2024 US Presidential Election Probabilities. </w:t>
      </w:r>
      <w:r w:rsidRPr="00730489">
        <w:rPr>
          <w:i/>
          <w:iCs/>
        </w:rPr>
        <w:t>Available at SSRN 5239087</w:t>
      </w:r>
      <w:r w:rsidRPr="00F16E64">
        <w:t>.</w:t>
      </w:r>
    </w:p>
    <w:p w14:paraId="28553397" w14:textId="77777777" w:rsidR="00B94458" w:rsidRDefault="00B94458" w:rsidP="00B94458">
      <w:pPr>
        <w:pStyle w:val="Listaszerbekezds"/>
        <w:numPr>
          <w:ilvl w:val="0"/>
          <w:numId w:val="1"/>
        </w:numPr>
        <w:jc w:val="both"/>
      </w:pPr>
      <w:r w:rsidRPr="003942A1">
        <w:t>Li, J., &amp; Born, J. A. (2006). Presidential election uncertainty and common stock returns in the United States. </w:t>
      </w:r>
      <w:r w:rsidRPr="00B94458">
        <w:rPr>
          <w:i/>
          <w:iCs/>
        </w:rPr>
        <w:t>Journal of Financial Research</w:t>
      </w:r>
      <w:r w:rsidRPr="003942A1">
        <w:t>, </w:t>
      </w:r>
      <w:r w:rsidRPr="00B94458">
        <w:rPr>
          <w:i/>
          <w:iCs/>
        </w:rPr>
        <w:t>29</w:t>
      </w:r>
      <w:r w:rsidRPr="003942A1">
        <w:t>(4), 609-622.</w:t>
      </w:r>
    </w:p>
    <w:p w14:paraId="649D8EC9" w14:textId="2DC6776E" w:rsidR="00CB2FCA" w:rsidRDefault="00CB2FCA" w:rsidP="00CB2FCA">
      <w:pPr>
        <w:pStyle w:val="Listaszerbekezds"/>
        <w:numPr>
          <w:ilvl w:val="0"/>
          <w:numId w:val="1"/>
        </w:numPr>
        <w:jc w:val="both"/>
      </w:pPr>
      <w:r w:rsidRPr="00A648C5">
        <w:t>MacKinlay, A. C. (1997). Event studies in economics and finance. </w:t>
      </w:r>
      <w:r w:rsidRPr="00CB2FCA">
        <w:rPr>
          <w:i/>
          <w:iCs/>
        </w:rPr>
        <w:t>Journal of economic literature</w:t>
      </w:r>
      <w:r w:rsidRPr="00A648C5">
        <w:t>, </w:t>
      </w:r>
      <w:r w:rsidRPr="00CB2FCA">
        <w:rPr>
          <w:i/>
          <w:iCs/>
        </w:rPr>
        <w:t>35</w:t>
      </w:r>
      <w:r w:rsidRPr="00A648C5">
        <w:t>(1), 13-39.</w:t>
      </w:r>
    </w:p>
    <w:p w14:paraId="31D7C342" w14:textId="4151C3E1" w:rsidR="00CB2FCA" w:rsidRDefault="00380D1C" w:rsidP="00D619C9">
      <w:pPr>
        <w:pStyle w:val="Listaszerbekezds"/>
        <w:numPr>
          <w:ilvl w:val="0"/>
          <w:numId w:val="1"/>
        </w:numPr>
        <w:jc w:val="both"/>
      </w:pPr>
      <w:r w:rsidRPr="00F16E64">
        <w:t>Pástor, Ľ., &amp; Veronesi, P. (2013). Political uncertainty and risk premia. </w:t>
      </w:r>
      <w:r w:rsidRPr="00380D1C">
        <w:rPr>
          <w:i/>
          <w:iCs/>
        </w:rPr>
        <w:t>Journal of financial Economics</w:t>
      </w:r>
      <w:r w:rsidRPr="00F16E64">
        <w:t>, </w:t>
      </w:r>
      <w:r w:rsidRPr="00380D1C">
        <w:rPr>
          <w:i/>
          <w:iCs/>
        </w:rPr>
        <w:t>110</w:t>
      </w:r>
      <w:r w:rsidRPr="00F16E64">
        <w:t>(3), 520-545.</w:t>
      </w:r>
    </w:p>
    <w:p w14:paraId="4C5CC6CB" w14:textId="1AFBD5D4" w:rsidR="00E41C9B" w:rsidRDefault="00E41C9B" w:rsidP="00E41C9B">
      <w:pPr>
        <w:pStyle w:val="Listaszerbekezds"/>
        <w:numPr>
          <w:ilvl w:val="0"/>
          <w:numId w:val="1"/>
        </w:numPr>
        <w:jc w:val="both"/>
      </w:pPr>
      <w:r w:rsidRPr="003942A1">
        <w:t>Wong, W. K., &amp; McAleer, M. (2009). Mapping the Presidential Election Cycle in US stock markets. </w:t>
      </w:r>
      <w:r w:rsidRPr="00E41C9B">
        <w:rPr>
          <w:i/>
          <w:iCs/>
        </w:rPr>
        <w:t>Mathematics and Computers in Simulation</w:t>
      </w:r>
      <w:r w:rsidRPr="003942A1">
        <w:t>, </w:t>
      </w:r>
      <w:r w:rsidRPr="00E41C9B">
        <w:rPr>
          <w:i/>
          <w:iCs/>
        </w:rPr>
        <w:t>79</w:t>
      </w:r>
      <w:r w:rsidRPr="003942A1">
        <w:t>(11), 3267-3277.</w:t>
      </w:r>
    </w:p>
    <w:p w14:paraId="194D001F" w14:textId="3AB40D06" w:rsidR="00171EFB" w:rsidRPr="00D619C9" w:rsidRDefault="00171EFB" w:rsidP="00171EFB">
      <w:pPr>
        <w:pStyle w:val="Listaszerbekezds"/>
        <w:numPr>
          <w:ilvl w:val="0"/>
          <w:numId w:val="1"/>
        </w:numPr>
        <w:jc w:val="both"/>
      </w:pPr>
      <w:r w:rsidRPr="001879F9">
        <w:t>Yiadom, E. B., Tay, V., Sefe, C. E., Gbade, V. A., &amp; Osei-Manu, O. (2024). Political change, elections, and stock market indicators: a generalized method of moment analysis. </w:t>
      </w:r>
      <w:r w:rsidRPr="00171EFB">
        <w:rPr>
          <w:i/>
          <w:iCs/>
        </w:rPr>
        <w:t>Journal of Humanities and Applied Social Sciences</w:t>
      </w:r>
      <w:r w:rsidRPr="001879F9">
        <w:t>, </w:t>
      </w:r>
      <w:r w:rsidRPr="00171EFB">
        <w:rPr>
          <w:i/>
          <w:iCs/>
        </w:rPr>
        <w:t>6</w:t>
      </w:r>
      <w:r w:rsidRPr="001879F9">
        <w:t>(1), 20-37.</w:t>
      </w:r>
    </w:p>
    <w:sectPr w:rsidR="00171EFB" w:rsidRPr="00D619C9"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427266" w14:textId="77777777" w:rsidR="00AE0917" w:rsidRDefault="00AE0917" w:rsidP="00774E07">
      <w:pPr>
        <w:spacing w:line="240" w:lineRule="auto"/>
      </w:pPr>
      <w:r>
        <w:separator/>
      </w:r>
    </w:p>
  </w:endnote>
  <w:endnote w:type="continuationSeparator" w:id="0">
    <w:p w14:paraId="2EAFA28F" w14:textId="77777777" w:rsidR="00AE0917" w:rsidRDefault="00AE0917" w:rsidP="00774E0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27424419"/>
      <w:docPartObj>
        <w:docPartGallery w:val="Page Numbers (Bottom of Page)"/>
        <w:docPartUnique/>
      </w:docPartObj>
    </w:sdtPr>
    <w:sdtContent>
      <w:p w14:paraId="4EEDCA0D" w14:textId="49BC4DCC" w:rsidR="00774E07" w:rsidRDefault="00774E07">
        <w:pPr>
          <w:pStyle w:val="ll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A0D671A" w14:textId="77777777" w:rsidR="00774E07" w:rsidRDefault="00774E07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7D3DE" w14:textId="77777777" w:rsidR="00AE0917" w:rsidRDefault="00AE0917" w:rsidP="00774E07">
      <w:pPr>
        <w:spacing w:line="240" w:lineRule="auto"/>
      </w:pPr>
      <w:r>
        <w:separator/>
      </w:r>
    </w:p>
  </w:footnote>
  <w:footnote w:type="continuationSeparator" w:id="0">
    <w:p w14:paraId="10172774" w14:textId="77777777" w:rsidR="00AE0917" w:rsidRDefault="00AE0917" w:rsidP="00774E0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D80ABF"/>
    <w:multiLevelType w:val="hybridMultilevel"/>
    <w:tmpl w:val="27CE698C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054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4BB8"/>
    <w:rsid w:val="00031190"/>
    <w:rsid w:val="00032470"/>
    <w:rsid w:val="00062903"/>
    <w:rsid w:val="000939CE"/>
    <w:rsid w:val="001011B8"/>
    <w:rsid w:val="0010418D"/>
    <w:rsid w:val="00120AEB"/>
    <w:rsid w:val="00141F18"/>
    <w:rsid w:val="00171EFB"/>
    <w:rsid w:val="00176F5D"/>
    <w:rsid w:val="001E340C"/>
    <w:rsid w:val="00217C3E"/>
    <w:rsid w:val="0028696D"/>
    <w:rsid w:val="002E2A63"/>
    <w:rsid w:val="003417B8"/>
    <w:rsid w:val="00367BB8"/>
    <w:rsid w:val="00380D1C"/>
    <w:rsid w:val="003843C0"/>
    <w:rsid w:val="003A366A"/>
    <w:rsid w:val="004422CE"/>
    <w:rsid w:val="00445936"/>
    <w:rsid w:val="005C08EB"/>
    <w:rsid w:val="005E39EA"/>
    <w:rsid w:val="005F2233"/>
    <w:rsid w:val="00626CD4"/>
    <w:rsid w:val="00651E35"/>
    <w:rsid w:val="00671F09"/>
    <w:rsid w:val="00722985"/>
    <w:rsid w:val="00730489"/>
    <w:rsid w:val="007353A6"/>
    <w:rsid w:val="007535C5"/>
    <w:rsid w:val="00774E07"/>
    <w:rsid w:val="00780A83"/>
    <w:rsid w:val="007C62B3"/>
    <w:rsid w:val="007F08EE"/>
    <w:rsid w:val="00827F58"/>
    <w:rsid w:val="00844B6A"/>
    <w:rsid w:val="00847C12"/>
    <w:rsid w:val="008661BB"/>
    <w:rsid w:val="00887F0B"/>
    <w:rsid w:val="008E6472"/>
    <w:rsid w:val="008E6796"/>
    <w:rsid w:val="009508CE"/>
    <w:rsid w:val="0098530D"/>
    <w:rsid w:val="009A54BA"/>
    <w:rsid w:val="00A80B1D"/>
    <w:rsid w:val="00A922AC"/>
    <w:rsid w:val="00AE0917"/>
    <w:rsid w:val="00B94458"/>
    <w:rsid w:val="00BF1518"/>
    <w:rsid w:val="00C544E0"/>
    <w:rsid w:val="00C8009C"/>
    <w:rsid w:val="00C80E3D"/>
    <w:rsid w:val="00CB2FCA"/>
    <w:rsid w:val="00CF10A7"/>
    <w:rsid w:val="00D3765A"/>
    <w:rsid w:val="00D619C9"/>
    <w:rsid w:val="00D671D8"/>
    <w:rsid w:val="00DA4109"/>
    <w:rsid w:val="00DB2A16"/>
    <w:rsid w:val="00E30C9D"/>
    <w:rsid w:val="00E41C9B"/>
    <w:rsid w:val="00E44BB8"/>
    <w:rsid w:val="00EC00E2"/>
    <w:rsid w:val="00EF37AF"/>
    <w:rsid w:val="00F63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DBCC1"/>
  <w15:chartTrackingRefBased/>
  <w15:docId w15:val="{9F99ECF1-9CC7-4F6B-AB67-18B0F00E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120AEB"/>
    <w:pPr>
      <w:spacing w:after="0" w:line="480" w:lineRule="auto"/>
    </w:pPr>
    <w:rPr>
      <w:rFonts w:ascii="Calibri" w:hAnsi="Calibri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E44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E44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E44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E44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E44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E44B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E44B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E44B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E44B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44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E44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E44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E44BB8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E44BB8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E44BB8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E44BB8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E44BB8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E44BB8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E44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E44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E44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E44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E44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E44BB8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E44BB8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E44BB8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E44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E44BB8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E44BB8"/>
    <w:rPr>
      <w:b/>
      <w:bCs/>
      <w:smallCaps/>
      <w:color w:val="0F4761" w:themeColor="accent1" w:themeShade="BF"/>
      <w:spacing w:val="5"/>
    </w:rPr>
  </w:style>
  <w:style w:type="character" w:styleId="Hiperhivatkozs">
    <w:name w:val="Hyperlink"/>
    <w:basedOn w:val="Bekezdsalapbettpusa"/>
    <w:uiPriority w:val="99"/>
    <w:unhideWhenUsed/>
    <w:rsid w:val="005E39EA"/>
    <w:rPr>
      <w:color w:val="467886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774E07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74E07"/>
    <w:rPr>
      <w:rFonts w:ascii="Calibri" w:hAnsi="Calibri"/>
      <w:sz w:val="24"/>
    </w:rPr>
  </w:style>
  <w:style w:type="paragraph" w:styleId="llb">
    <w:name w:val="footer"/>
    <w:basedOn w:val="Norml"/>
    <w:link w:val="llbChar"/>
    <w:uiPriority w:val="99"/>
    <w:unhideWhenUsed/>
    <w:rsid w:val="00774E07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74E07"/>
    <w:rPr>
      <w:rFonts w:ascii="Calibri" w:hAnsi="Calibri"/>
      <w:sz w:val="24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774E07"/>
    <w:pPr>
      <w:spacing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774E07"/>
    <w:rPr>
      <w:rFonts w:ascii="Calibri" w:hAnsi="Calibri"/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774E0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137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2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7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F1B9F-5632-47C6-B8C4-6070170589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1462</Words>
  <Characters>10093</Characters>
  <Application>Microsoft Office Word</Application>
  <DocSecurity>0</DocSecurity>
  <Lines>84</Lines>
  <Paragraphs>23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Norbert Szőcs</dc:creator>
  <cp:keywords/>
  <dc:description/>
  <cp:lastModifiedBy>Norbert Szőcs</cp:lastModifiedBy>
  <cp:revision>2</cp:revision>
  <dcterms:created xsi:type="dcterms:W3CDTF">2025-12-23T11:26:00Z</dcterms:created>
  <dcterms:modified xsi:type="dcterms:W3CDTF">2025-12-23T11:26:00Z</dcterms:modified>
</cp:coreProperties>
</file>