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0FF2" w14:textId="77777777" w:rsidR="002B6D4A" w:rsidRPr="00A42090" w:rsidRDefault="002B6D4A" w:rsidP="002B6D4A">
      <w:pPr>
        <w:rPr>
          <w:rFonts w:cs="Times New Roman"/>
        </w:rPr>
      </w:pPr>
      <w:r w:rsidRPr="00A42090">
        <w:rPr>
          <w:rFonts w:cs="Times New Roman"/>
        </w:rPr>
        <w:t>BUDAPESTI METROPOLITAN EGYETEM</w:t>
      </w:r>
    </w:p>
    <w:p w14:paraId="61A51911" w14:textId="6BDC926D" w:rsidR="00AC06DE" w:rsidRPr="00A42090" w:rsidRDefault="009D7013" w:rsidP="00AC06DE">
      <w:pPr>
        <w:pStyle w:val="Cm"/>
        <w:spacing w:before="4320" w:line="360" w:lineRule="auto"/>
        <w:jc w:val="center"/>
        <w:rPr>
          <w:rFonts w:ascii="Times New Roman" w:hAnsi="Times New Roman" w:cs="Times New Roman"/>
        </w:rPr>
      </w:pPr>
      <w:r w:rsidRPr="00A42090">
        <w:rPr>
          <w:rFonts w:ascii="Times New Roman" w:hAnsi="Times New Roman" w:cs="Times New Roman"/>
        </w:rPr>
        <w:t>A Trump-</w:t>
      </w:r>
      <w:proofErr w:type="spellStart"/>
      <w:r w:rsidRPr="00A42090">
        <w:rPr>
          <w:rFonts w:ascii="Times New Roman" w:hAnsi="Times New Roman" w:cs="Times New Roman"/>
        </w:rPr>
        <w:t>hatás</w:t>
      </w:r>
      <w:proofErr w:type="spellEnd"/>
      <w:r w:rsidRPr="00A42090">
        <w:rPr>
          <w:rFonts w:ascii="Times New Roman" w:hAnsi="Times New Roman" w:cs="Times New Roman"/>
        </w:rPr>
        <w:t xml:space="preserve"> </w:t>
      </w:r>
      <w:proofErr w:type="spellStart"/>
      <w:r w:rsidRPr="00A42090">
        <w:rPr>
          <w:rFonts w:ascii="Times New Roman" w:hAnsi="Times New Roman" w:cs="Times New Roman"/>
        </w:rPr>
        <w:t>az</w:t>
      </w:r>
      <w:proofErr w:type="spellEnd"/>
      <w:r w:rsidRPr="00A42090">
        <w:rPr>
          <w:rFonts w:ascii="Times New Roman" w:hAnsi="Times New Roman" w:cs="Times New Roman"/>
        </w:rPr>
        <w:t xml:space="preserve"> </w:t>
      </w:r>
      <w:proofErr w:type="spellStart"/>
      <w:r w:rsidRPr="00A42090">
        <w:rPr>
          <w:rFonts w:ascii="Times New Roman" w:hAnsi="Times New Roman" w:cs="Times New Roman"/>
        </w:rPr>
        <w:t>amerikai</w:t>
      </w:r>
      <w:proofErr w:type="spellEnd"/>
      <w:r w:rsidRPr="00A42090">
        <w:rPr>
          <w:rFonts w:ascii="Times New Roman" w:hAnsi="Times New Roman" w:cs="Times New Roman"/>
        </w:rPr>
        <w:t xml:space="preserve"> </w:t>
      </w:r>
      <w:proofErr w:type="spellStart"/>
      <w:r w:rsidRPr="00A42090">
        <w:rPr>
          <w:rFonts w:ascii="Times New Roman" w:hAnsi="Times New Roman" w:cs="Times New Roman"/>
        </w:rPr>
        <w:t>részvénypiacokra</w:t>
      </w:r>
      <w:proofErr w:type="spellEnd"/>
    </w:p>
    <w:p w14:paraId="70184084" w14:textId="77777777" w:rsidR="00AC06DE" w:rsidRPr="00A42090" w:rsidRDefault="00AC06DE" w:rsidP="00AC06DE">
      <w:pPr>
        <w:jc w:val="center"/>
        <w:rPr>
          <w:rFonts w:cs="Times New Roman"/>
          <w:sz w:val="32"/>
          <w:szCs w:val="32"/>
        </w:rPr>
      </w:pPr>
    </w:p>
    <w:p w14:paraId="0E5CBD69" w14:textId="0F180F02" w:rsidR="00772683" w:rsidRPr="00A42090" w:rsidRDefault="00FC4079" w:rsidP="00772683">
      <w:pPr>
        <w:jc w:val="center"/>
        <w:rPr>
          <w:rFonts w:cs="Times New Roman"/>
          <w:b/>
          <w:bCs/>
          <w:sz w:val="32"/>
          <w:szCs w:val="32"/>
        </w:rPr>
      </w:pPr>
      <w:r w:rsidRPr="00A42090">
        <w:rPr>
          <w:rFonts w:cs="Times New Roman"/>
          <w:sz w:val="32"/>
          <w:szCs w:val="32"/>
        </w:rPr>
        <w:t>ESEMÉNYELEMZÉS</w:t>
      </w:r>
    </w:p>
    <w:p w14:paraId="312BC22A" w14:textId="2B5BAA34" w:rsidR="00B62CFC" w:rsidRPr="00A42090" w:rsidRDefault="00CA0A66" w:rsidP="00772683">
      <w:pPr>
        <w:spacing w:line="288" w:lineRule="auto"/>
        <w:jc w:val="right"/>
        <w:rPr>
          <w:rFonts w:cs="Times New Roman"/>
        </w:rPr>
      </w:pPr>
      <w:proofErr w:type="spellStart"/>
      <w:r w:rsidRPr="00A42090">
        <w:rPr>
          <w:rFonts w:cs="Times New Roman"/>
        </w:rPr>
        <w:t>Őrsi</w:t>
      </w:r>
      <w:proofErr w:type="spellEnd"/>
      <w:r w:rsidRPr="00A42090">
        <w:rPr>
          <w:rFonts w:cs="Times New Roman"/>
        </w:rPr>
        <w:t xml:space="preserve"> Marcell</w:t>
      </w:r>
    </w:p>
    <w:p w14:paraId="6DD6E058" w14:textId="1E16D8A7" w:rsidR="00CA0A66" w:rsidRPr="00A42090" w:rsidRDefault="00CA0A66" w:rsidP="00772683">
      <w:pPr>
        <w:spacing w:line="288" w:lineRule="auto"/>
        <w:jc w:val="right"/>
        <w:rPr>
          <w:rFonts w:cs="Times New Roman"/>
        </w:rPr>
      </w:pPr>
      <w:r w:rsidRPr="00A42090">
        <w:rPr>
          <w:rFonts w:cs="Times New Roman"/>
        </w:rPr>
        <w:t>Szőcs Norbert</w:t>
      </w:r>
    </w:p>
    <w:p w14:paraId="53ED066C" w14:textId="77777777" w:rsidR="00CA0A66" w:rsidRPr="00A42090" w:rsidRDefault="00CA0A66" w:rsidP="00CA0A66">
      <w:pPr>
        <w:spacing w:line="288" w:lineRule="auto"/>
        <w:jc w:val="right"/>
        <w:rPr>
          <w:rFonts w:cs="Times New Roman"/>
        </w:rPr>
      </w:pPr>
      <w:r w:rsidRPr="00A42090">
        <w:rPr>
          <w:rFonts w:cs="Times New Roman"/>
        </w:rPr>
        <w:t>Klimkó Mátyás Bence</w:t>
      </w:r>
    </w:p>
    <w:p w14:paraId="7D45EE4D" w14:textId="22236903" w:rsidR="00772683" w:rsidRPr="00A42090" w:rsidRDefault="009D7013" w:rsidP="009D7013">
      <w:pPr>
        <w:spacing w:before="0" w:after="160" w:line="278" w:lineRule="auto"/>
        <w:jc w:val="left"/>
        <w:rPr>
          <w:rFonts w:cs="Times New Roman"/>
        </w:rPr>
      </w:pPr>
      <w:r w:rsidRPr="00A42090">
        <w:rPr>
          <w:rFonts w:cs="Times New Roman"/>
        </w:rPr>
        <w:br w:type="page"/>
      </w:r>
    </w:p>
    <w:p w14:paraId="0E005CCE" w14:textId="2CFAAE2E" w:rsidR="00FD7A3B" w:rsidRPr="00A42090" w:rsidRDefault="00FD7A3B" w:rsidP="00FD7A3B">
      <w:pPr>
        <w:rPr>
          <w:rFonts w:cs="Times New Roman"/>
          <w:b/>
          <w:bCs/>
          <w:sz w:val="32"/>
          <w:szCs w:val="32"/>
          <w:lang w:val="hu-HU"/>
        </w:rPr>
      </w:pPr>
      <w:r w:rsidRPr="00A42090">
        <w:rPr>
          <w:rFonts w:cs="Times New Roman"/>
          <w:b/>
          <w:bCs/>
          <w:sz w:val="32"/>
          <w:szCs w:val="32"/>
          <w:lang w:val="hu-HU"/>
        </w:rPr>
        <w:lastRenderedPageBreak/>
        <w:t>Absztrakt</w:t>
      </w:r>
    </w:p>
    <w:p w14:paraId="3222B6C4" w14:textId="7E14EBA4" w:rsidR="00FC4079" w:rsidRPr="00A42090" w:rsidRDefault="00214446" w:rsidP="00FD7A3B">
      <w:pPr>
        <w:rPr>
          <w:rFonts w:cs="Times New Roman"/>
          <w:lang w:val="hu-HU"/>
        </w:rPr>
      </w:pPr>
      <w:r w:rsidRPr="00A42090">
        <w:rPr>
          <w:rFonts w:cs="Times New Roman"/>
          <w:lang w:val="hu-HU"/>
        </w:rPr>
        <w:t xml:space="preserve">Kutatásunkban az amerikai elnökválasztás 2024-es eredményének hatását vizsgáltuk bizonyos részvénycsoportokra eseményelemzés keretében, a </w:t>
      </w:r>
      <w:proofErr w:type="spellStart"/>
      <w:r w:rsidRPr="00A42090">
        <w:rPr>
          <w:rFonts w:cs="Times New Roman"/>
          <w:lang w:val="hu-HU"/>
        </w:rPr>
        <w:t>Fama</w:t>
      </w:r>
      <w:proofErr w:type="spellEnd"/>
      <w:r w:rsidRPr="00A42090">
        <w:rPr>
          <w:rFonts w:cs="Times New Roman"/>
          <w:lang w:val="hu-HU"/>
        </w:rPr>
        <w:t>–</w:t>
      </w:r>
      <w:proofErr w:type="spellStart"/>
      <w:r w:rsidRPr="00A42090">
        <w:rPr>
          <w:rFonts w:cs="Times New Roman"/>
          <w:lang w:val="hu-HU"/>
        </w:rPr>
        <w:t>French</w:t>
      </w:r>
      <w:proofErr w:type="spellEnd"/>
      <w:r w:rsidRPr="00A42090">
        <w:rPr>
          <w:rFonts w:cs="Times New Roman"/>
          <w:lang w:val="hu-HU"/>
        </w:rPr>
        <w:t xml:space="preserve"> faktormódszertan alkalmazásával. Három részvénytípust különítettünk el: a </w:t>
      </w:r>
      <w:proofErr w:type="spellStart"/>
      <w:r w:rsidRPr="00A42090">
        <w:rPr>
          <w:rFonts w:cs="Times New Roman"/>
          <w:lang w:val="hu-HU"/>
        </w:rPr>
        <w:t>Trumphoz</w:t>
      </w:r>
      <w:proofErr w:type="spellEnd"/>
      <w:r w:rsidRPr="00A42090">
        <w:rPr>
          <w:rFonts w:cs="Times New Roman"/>
          <w:lang w:val="hu-HU"/>
        </w:rPr>
        <w:t xml:space="preserve"> köthető vállalatokat, például hadiipari cégeket és a jelölthöz politikai vagy személyes kapcsolatok révén kötődő vállalatokat; a </w:t>
      </w:r>
      <w:proofErr w:type="spellStart"/>
      <w:r w:rsidRPr="00A42090">
        <w:rPr>
          <w:rFonts w:cs="Times New Roman"/>
          <w:lang w:val="hu-HU"/>
        </w:rPr>
        <w:t>Harrishez</w:t>
      </w:r>
      <w:proofErr w:type="spellEnd"/>
      <w:r w:rsidRPr="00A42090">
        <w:rPr>
          <w:rFonts w:cs="Times New Roman"/>
          <w:lang w:val="hu-HU"/>
        </w:rPr>
        <w:t xml:space="preserve"> köthető egészségügyi és zöldenergia-szektor részvényeit; valamint a technológiai szektor nagyvállalatait, amelyek kontrollcsoportként szolgáltak. Elemzésünk szerint a </w:t>
      </w:r>
      <w:proofErr w:type="spellStart"/>
      <w:r w:rsidRPr="00A42090">
        <w:rPr>
          <w:rFonts w:cs="Times New Roman"/>
          <w:lang w:val="hu-HU"/>
        </w:rPr>
        <w:t>Trump</w:t>
      </w:r>
      <w:proofErr w:type="spellEnd"/>
      <w:r w:rsidRPr="00A42090">
        <w:rPr>
          <w:rFonts w:cs="Times New Roman"/>
          <w:lang w:val="hu-HU"/>
        </w:rPr>
        <w:t xml:space="preserve">- és Harris-részvények szignifikáns, ellentétes irányú reakciót mutattak, míg a technológiai részvények árfolyamait az esemény érdemben nem befolyásolta. A </w:t>
      </w:r>
      <w:proofErr w:type="spellStart"/>
      <w:r w:rsidRPr="00A42090">
        <w:rPr>
          <w:rFonts w:cs="Times New Roman"/>
          <w:lang w:val="hu-HU"/>
        </w:rPr>
        <w:t>Trump</w:t>
      </w:r>
      <w:proofErr w:type="spellEnd"/>
      <w:r w:rsidRPr="00A42090">
        <w:rPr>
          <w:rFonts w:cs="Times New Roman"/>
          <w:lang w:val="hu-HU"/>
        </w:rPr>
        <w:t xml:space="preserve">- és Harris-részvényeknél előzetes adatszivárgás is kimutatható volt, és a piaci árak fokozatosan alkalmazkodtak az új információkhoz, jelezve a tartós </w:t>
      </w:r>
      <w:proofErr w:type="spellStart"/>
      <w:r w:rsidRPr="00A42090">
        <w:rPr>
          <w:rFonts w:cs="Times New Roman"/>
          <w:lang w:val="hu-HU"/>
        </w:rPr>
        <w:t>újraárazás</w:t>
      </w:r>
      <w:proofErr w:type="spellEnd"/>
      <w:r w:rsidRPr="00A42090">
        <w:rPr>
          <w:rFonts w:cs="Times New Roman"/>
          <w:lang w:val="hu-HU"/>
        </w:rPr>
        <w:t xml:space="preserve"> folyamatát. Eredményeink azt mutatják, hogy a politikai esemény szektor-specifikus, aszimmetrikus piaci reakciókat váltott ki.</w:t>
      </w:r>
    </w:p>
    <w:p w14:paraId="03A0FB40" w14:textId="77777777" w:rsidR="00FC4079" w:rsidRPr="00A42090" w:rsidRDefault="00FC4079">
      <w:pPr>
        <w:spacing w:before="0" w:after="160" w:line="278" w:lineRule="auto"/>
        <w:jc w:val="left"/>
        <w:rPr>
          <w:rFonts w:cs="Times New Roman"/>
          <w:lang w:val="hu-HU"/>
        </w:rPr>
      </w:pPr>
      <w:r w:rsidRPr="00A42090">
        <w:rPr>
          <w:rFonts w:cs="Times New Roman"/>
          <w:lang w:val="hu-HU"/>
        </w:rPr>
        <w:br w:type="page"/>
      </w:r>
    </w:p>
    <w:sdt>
      <w:sdtPr>
        <w:rPr>
          <w:rFonts w:ascii="Times New Roman" w:eastAsiaTheme="minorHAnsi" w:hAnsi="Times New Roman" w:cs="Times New Roman"/>
          <w:color w:val="auto"/>
          <w:kern w:val="2"/>
          <w:sz w:val="24"/>
          <w:szCs w:val="24"/>
          <w:lang w:val="en-US" w:eastAsia="en-US"/>
          <w14:ligatures w14:val="standardContextual"/>
        </w:rPr>
        <w:id w:val="512877852"/>
        <w:docPartObj>
          <w:docPartGallery w:val="Table of Contents"/>
          <w:docPartUnique/>
        </w:docPartObj>
      </w:sdtPr>
      <w:sdtEndPr>
        <w:rPr>
          <w:b/>
          <w:bCs/>
        </w:rPr>
      </w:sdtEndPr>
      <w:sdtContent>
        <w:p w14:paraId="36859B25" w14:textId="10E07DD9" w:rsidR="00A42090" w:rsidRPr="00A42090" w:rsidRDefault="00A42090">
          <w:pPr>
            <w:pStyle w:val="Tartalomjegyzkcmsora"/>
            <w:rPr>
              <w:rFonts w:ascii="Times New Roman" w:hAnsi="Times New Roman" w:cs="Times New Roman"/>
              <w:color w:val="auto"/>
            </w:rPr>
          </w:pPr>
          <w:r w:rsidRPr="00A42090">
            <w:rPr>
              <w:rFonts w:ascii="Times New Roman" w:hAnsi="Times New Roman" w:cs="Times New Roman"/>
              <w:color w:val="auto"/>
            </w:rPr>
            <w:t>Tartalom</w:t>
          </w:r>
        </w:p>
        <w:p w14:paraId="28CC289F" w14:textId="56EAC41F" w:rsidR="00390762" w:rsidRDefault="00A42090">
          <w:pPr>
            <w:pStyle w:val="TJ1"/>
            <w:tabs>
              <w:tab w:val="right" w:leader="dot" w:pos="9350"/>
            </w:tabs>
            <w:rPr>
              <w:rFonts w:asciiTheme="minorHAnsi" w:eastAsiaTheme="minorEastAsia" w:hAnsiTheme="minorHAnsi"/>
              <w:noProof/>
              <w:lang w:val="hu-HU" w:eastAsia="hu-HU"/>
            </w:rPr>
          </w:pPr>
          <w:r w:rsidRPr="00A42090">
            <w:rPr>
              <w:rFonts w:cs="Times New Roman"/>
            </w:rPr>
            <w:fldChar w:fldCharType="begin"/>
          </w:r>
          <w:r w:rsidRPr="00A42090">
            <w:rPr>
              <w:rFonts w:cs="Times New Roman"/>
            </w:rPr>
            <w:instrText xml:space="preserve"> TOC \o "1-3" \h \z \u </w:instrText>
          </w:r>
          <w:r w:rsidRPr="00A42090">
            <w:rPr>
              <w:rFonts w:cs="Times New Roman"/>
            </w:rPr>
            <w:fldChar w:fldCharType="separate"/>
          </w:r>
          <w:hyperlink w:anchor="_Toc218075144" w:history="1">
            <w:r w:rsidR="00390762" w:rsidRPr="004C5EA0">
              <w:rPr>
                <w:rStyle w:val="Hiperhivatkozs"/>
                <w:rFonts w:cs="Times New Roman"/>
                <w:noProof/>
                <w:lang w:val="hu-HU"/>
              </w:rPr>
              <w:t>Bevezetés</w:t>
            </w:r>
            <w:r w:rsidR="00390762">
              <w:rPr>
                <w:noProof/>
                <w:webHidden/>
              </w:rPr>
              <w:tab/>
            </w:r>
            <w:r w:rsidR="00390762">
              <w:rPr>
                <w:noProof/>
                <w:webHidden/>
              </w:rPr>
              <w:fldChar w:fldCharType="begin"/>
            </w:r>
            <w:r w:rsidR="00390762">
              <w:rPr>
                <w:noProof/>
                <w:webHidden/>
              </w:rPr>
              <w:instrText xml:space="preserve"> PAGEREF _Toc218075144 \h </w:instrText>
            </w:r>
            <w:r w:rsidR="00390762">
              <w:rPr>
                <w:noProof/>
                <w:webHidden/>
              </w:rPr>
            </w:r>
            <w:r w:rsidR="00390762">
              <w:rPr>
                <w:noProof/>
                <w:webHidden/>
              </w:rPr>
              <w:fldChar w:fldCharType="separate"/>
            </w:r>
            <w:r w:rsidR="00390762">
              <w:rPr>
                <w:noProof/>
                <w:webHidden/>
              </w:rPr>
              <w:t>4</w:t>
            </w:r>
            <w:r w:rsidR="00390762">
              <w:rPr>
                <w:noProof/>
                <w:webHidden/>
              </w:rPr>
              <w:fldChar w:fldCharType="end"/>
            </w:r>
          </w:hyperlink>
        </w:p>
        <w:p w14:paraId="3B3F28F0" w14:textId="55B844D7" w:rsidR="00390762" w:rsidRDefault="00390762">
          <w:pPr>
            <w:pStyle w:val="TJ1"/>
            <w:tabs>
              <w:tab w:val="right" w:leader="dot" w:pos="9350"/>
            </w:tabs>
            <w:rPr>
              <w:rFonts w:asciiTheme="minorHAnsi" w:eastAsiaTheme="minorEastAsia" w:hAnsiTheme="minorHAnsi"/>
              <w:noProof/>
              <w:lang w:val="hu-HU" w:eastAsia="hu-HU"/>
            </w:rPr>
          </w:pPr>
          <w:hyperlink w:anchor="_Toc218075145" w:history="1">
            <w:r w:rsidRPr="004C5EA0">
              <w:rPr>
                <w:rStyle w:val="Hiperhivatkozs"/>
                <w:rFonts w:cs="Times New Roman"/>
                <w:noProof/>
                <w:lang w:val="hu-HU"/>
              </w:rPr>
              <w:t>Szakirodalmi</w:t>
            </w:r>
            <w:r w:rsidRPr="004C5EA0">
              <w:rPr>
                <w:rStyle w:val="Hiperhivatkozs"/>
                <w:rFonts w:cs="Times New Roman"/>
                <w:bCs/>
                <w:noProof/>
              </w:rPr>
              <w:t xml:space="preserve"> áttekintés</w:t>
            </w:r>
            <w:r>
              <w:rPr>
                <w:noProof/>
                <w:webHidden/>
              </w:rPr>
              <w:tab/>
            </w:r>
            <w:r>
              <w:rPr>
                <w:noProof/>
                <w:webHidden/>
              </w:rPr>
              <w:fldChar w:fldCharType="begin"/>
            </w:r>
            <w:r>
              <w:rPr>
                <w:noProof/>
                <w:webHidden/>
              </w:rPr>
              <w:instrText xml:space="preserve"> PAGEREF _Toc218075145 \h </w:instrText>
            </w:r>
            <w:r>
              <w:rPr>
                <w:noProof/>
                <w:webHidden/>
              </w:rPr>
            </w:r>
            <w:r>
              <w:rPr>
                <w:noProof/>
                <w:webHidden/>
              </w:rPr>
              <w:fldChar w:fldCharType="separate"/>
            </w:r>
            <w:r>
              <w:rPr>
                <w:noProof/>
                <w:webHidden/>
              </w:rPr>
              <w:t>5</w:t>
            </w:r>
            <w:r>
              <w:rPr>
                <w:noProof/>
                <w:webHidden/>
              </w:rPr>
              <w:fldChar w:fldCharType="end"/>
            </w:r>
          </w:hyperlink>
        </w:p>
        <w:p w14:paraId="01125C7A" w14:textId="4244C090" w:rsidR="00390762" w:rsidRDefault="00390762">
          <w:pPr>
            <w:pStyle w:val="TJ2"/>
            <w:tabs>
              <w:tab w:val="right" w:leader="dot" w:pos="9350"/>
            </w:tabs>
            <w:rPr>
              <w:rFonts w:asciiTheme="minorHAnsi" w:eastAsiaTheme="minorEastAsia" w:hAnsiTheme="minorHAnsi"/>
              <w:noProof/>
              <w:lang w:val="hu-HU" w:eastAsia="hu-HU"/>
            </w:rPr>
          </w:pPr>
          <w:hyperlink w:anchor="_Toc218075146" w:history="1">
            <w:r w:rsidRPr="004C5EA0">
              <w:rPr>
                <w:rStyle w:val="Hiperhivatkozs"/>
                <w:rFonts w:cs="Times New Roman"/>
                <w:bCs/>
                <w:noProof/>
              </w:rPr>
              <w:t xml:space="preserve">Az </w:t>
            </w:r>
            <w:r w:rsidRPr="004C5EA0">
              <w:rPr>
                <w:rStyle w:val="Hiperhivatkozs"/>
                <w:rFonts w:cs="Times New Roman"/>
                <w:noProof/>
                <w:lang w:val="hu-HU"/>
              </w:rPr>
              <w:t>eseményvizsgálat</w:t>
            </w:r>
            <w:r w:rsidRPr="004C5EA0">
              <w:rPr>
                <w:rStyle w:val="Hiperhivatkozs"/>
                <w:rFonts w:cs="Times New Roman"/>
                <w:bCs/>
                <w:noProof/>
              </w:rPr>
              <w:t xml:space="preserve"> módszertani alapjai és alkalmazhatósága politikai események esetén</w:t>
            </w:r>
            <w:r>
              <w:rPr>
                <w:noProof/>
                <w:webHidden/>
              </w:rPr>
              <w:tab/>
            </w:r>
            <w:r>
              <w:rPr>
                <w:noProof/>
                <w:webHidden/>
              </w:rPr>
              <w:fldChar w:fldCharType="begin"/>
            </w:r>
            <w:r>
              <w:rPr>
                <w:noProof/>
                <w:webHidden/>
              </w:rPr>
              <w:instrText xml:space="preserve"> PAGEREF _Toc218075146 \h </w:instrText>
            </w:r>
            <w:r>
              <w:rPr>
                <w:noProof/>
                <w:webHidden/>
              </w:rPr>
            </w:r>
            <w:r>
              <w:rPr>
                <w:noProof/>
                <w:webHidden/>
              </w:rPr>
              <w:fldChar w:fldCharType="separate"/>
            </w:r>
            <w:r>
              <w:rPr>
                <w:noProof/>
                <w:webHidden/>
              </w:rPr>
              <w:t>5</w:t>
            </w:r>
            <w:r>
              <w:rPr>
                <w:noProof/>
                <w:webHidden/>
              </w:rPr>
              <w:fldChar w:fldCharType="end"/>
            </w:r>
          </w:hyperlink>
        </w:p>
        <w:p w14:paraId="38726D44" w14:textId="1EF944F1" w:rsidR="00390762" w:rsidRDefault="00390762">
          <w:pPr>
            <w:pStyle w:val="TJ2"/>
            <w:tabs>
              <w:tab w:val="right" w:leader="dot" w:pos="9350"/>
            </w:tabs>
            <w:rPr>
              <w:rFonts w:asciiTheme="minorHAnsi" w:eastAsiaTheme="minorEastAsia" w:hAnsiTheme="minorHAnsi"/>
              <w:noProof/>
              <w:lang w:val="hu-HU" w:eastAsia="hu-HU"/>
            </w:rPr>
          </w:pPr>
          <w:hyperlink w:anchor="_Toc218075147" w:history="1">
            <w:r w:rsidRPr="004C5EA0">
              <w:rPr>
                <w:rStyle w:val="Hiperhivatkozs"/>
                <w:rFonts w:cs="Times New Roman"/>
                <w:noProof/>
                <w:lang w:val="hu-HU"/>
              </w:rPr>
              <w:t>Politikai</w:t>
            </w:r>
            <w:r w:rsidRPr="004C5EA0">
              <w:rPr>
                <w:rStyle w:val="Hiperhivatkozs"/>
                <w:rFonts w:cs="Times New Roman"/>
                <w:bCs/>
                <w:noProof/>
              </w:rPr>
              <w:t xml:space="preserve"> bizonytalanság és részvénypiaci reakciók elméleti háttere</w:t>
            </w:r>
            <w:r>
              <w:rPr>
                <w:noProof/>
                <w:webHidden/>
              </w:rPr>
              <w:tab/>
            </w:r>
            <w:r>
              <w:rPr>
                <w:noProof/>
                <w:webHidden/>
              </w:rPr>
              <w:fldChar w:fldCharType="begin"/>
            </w:r>
            <w:r>
              <w:rPr>
                <w:noProof/>
                <w:webHidden/>
              </w:rPr>
              <w:instrText xml:space="preserve"> PAGEREF _Toc218075147 \h </w:instrText>
            </w:r>
            <w:r>
              <w:rPr>
                <w:noProof/>
                <w:webHidden/>
              </w:rPr>
            </w:r>
            <w:r>
              <w:rPr>
                <w:noProof/>
                <w:webHidden/>
              </w:rPr>
              <w:fldChar w:fldCharType="separate"/>
            </w:r>
            <w:r>
              <w:rPr>
                <w:noProof/>
                <w:webHidden/>
              </w:rPr>
              <w:t>7</w:t>
            </w:r>
            <w:r>
              <w:rPr>
                <w:noProof/>
                <w:webHidden/>
              </w:rPr>
              <w:fldChar w:fldCharType="end"/>
            </w:r>
          </w:hyperlink>
        </w:p>
        <w:p w14:paraId="18D6A558" w14:textId="536EC489" w:rsidR="00390762" w:rsidRDefault="00390762">
          <w:pPr>
            <w:pStyle w:val="TJ2"/>
            <w:tabs>
              <w:tab w:val="right" w:leader="dot" w:pos="9350"/>
            </w:tabs>
            <w:rPr>
              <w:rFonts w:asciiTheme="minorHAnsi" w:eastAsiaTheme="minorEastAsia" w:hAnsiTheme="minorHAnsi"/>
              <w:noProof/>
              <w:lang w:val="hu-HU" w:eastAsia="hu-HU"/>
            </w:rPr>
          </w:pPr>
          <w:hyperlink w:anchor="_Toc218075148" w:history="1">
            <w:r w:rsidRPr="004C5EA0">
              <w:rPr>
                <w:rStyle w:val="Hiperhivatkozs"/>
                <w:rFonts w:cs="Times New Roman"/>
                <w:bCs/>
                <w:noProof/>
              </w:rPr>
              <w:t>Az amerikai elnökválasztások rövid távú piaci hatásai eseményvizsgálatok alapján</w:t>
            </w:r>
            <w:r>
              <w:rPr>
                <w:noProof/>
                <w:webHidden/>
              </w:rPr>
              <w:tab/>
            </w:r>
            <w:r>
              <w:rPr>
                <w:noProof/>
                <w:webHidden/>
              </w:rPr>
              <w:fldChar w:fldCharType="begin"/>
            </w:r>
            <w:r>
              <w:rPr>
                <w:noProof/>
                <w:webHidden/>
              </w:rPr>
              <w:instrText xml:space="preserve"> PAGEREF _Toc218075148 \h </w:instrText>
            </w:r>
            <w:r>
              <w:rPr>
                <w:noProof/>
                <w:webHidden/>
              </w:rPr>
            </w:r>
            <w:r>
              <w:rPr>
                <w:noProof/>
                <w:webHidden/>
              </w:rPr>
              <w:fldChar w:fldCharType="separate"/>
            </w:r>
            <w:r>
              <w:rPr>
                <w:noProof/>
                <w:webHidden/>
              </w:rPr>
              <w:t>10</w:t>
            </w:r>
            <w:r>
              <w:rPr>
                <w:noProof/>
                <w:webHidden/>
              </w:rPr>
              <w:fldChar w:fldCharType="end"/>
            </w:r>
          </w:hyperlink>
        </w:p>
        <w:p w14:paraId="7D91E586" w14:textId="726FAFA6" w:rsidR="00390762" w:rsidRDefault="00390762">
          <w:pPr>
            <w:pStyle w:val="TJ2"/>
            <w:tabs>
              <w:tab w:val="right" w:leader="dot" w:pos="9350"/>
            </w:tabs>
            <w:rPr>
              <w:rFonts w:asciiTheme="minorHAnsi" w:eastAsiaTheme="minorEastAsia" w:hAnsiTheme="minorHAnsi"/>
              <w:noProof/>
              <w:lang w:val="hu-HU" w:eastAsia="hu-HU"/>
            </w:rPr>
          </w:pPr>
          <w:hyperlink w:anchor="_Toc218075149" w:history="1">
            <w:r w:rsidRPr="004C5EA0">
              <w:rPr>
                <w:rStyle w:val="Hiperhivatkozs"/>
                <w:rFonts w:cs="Times New Roman"/>
                <w:bCs/>
                <w:noProof/>
              </w:rPr>
              <w:t>Választási</w:t>
            </w:r>
            <w:r w:rsidRPr="004C5EA0">
              <w:rPr>
                <w:rStyle w:val="Hiperhivatkozs"/>
                <w:rFonts w:cs="Times New Roman"/>
                <w:bCs/>
                <w:noProof/>
                <w:lang w:val="hu-HU"/>
              </w:rPr>
              <w:t xml:space="preserve"> bizonytalanság, piaci várakozások és előzetes reakciók</w:t>
            </w:r>
            <w:r>
              <w:rPr>
                <w:noProof/>
                <w:webHidden/>
              </w:rPr>
              <w:tab/>
            </w:r>
            <w:r>
              <w:rPr>
                <w:noProof/>
                <w:webHidden/>
              </w:rPr>
              <w:fldChar w:fldCharType="begin"/>
            </w:r>
            <w:r>
              <w:rPr>
                <w:noProof/>
                <w:webHidden/>
              </w:rPr>
              <w:instrText xml:space="preserve"> PAGEREF _Toc218075149 \h </w:instrText>
            </w:r>
            <w:r>
              <w:rPr>
                <w:noProof/>
                <w:webHidden/>
              </w:rPr>
            </w:r>
            <w:r>
              <w:rPr>
                <w:noProof/>
                <w:webHidden/>
              </w:rPr>
              <w:fldChar w:fldCharType="separate"/>
            </w:r>
            <w:r>
              <w:rPr>
                <w:noProof/>
                <w:webHidden/>
              </w:rPr>
              <w:t>11</w:t>
            </w:r>
            <w:r>
              <w:rPr>
                <w:noProof/>
                <w:webHidden/>
              </w:rPr>
              <w:fldChar w:fldCharType="end"/>
            </w:r>
          </w:hyperlink>
        </w:p>
        <w:p w14:paraId="611F4D99" w14:textId="723A7FAF" w:rsidR="00390762" w:rsidRDefault="00390762">
          <w:pPr>
            <w:pStyle w:val="TJ2"/>
            <w:tabs>
              <w:tab w:val="right" w:leader="dot" w:pos="9350"/>
            </w:tabs>
            <w:rPr>
              <w:rFonts w:asciiTheme="minorHAnsi" w:eastAsiaTheme="minorEastAsia" w:hAnsiTheme="minorHAnsi"/>
              <w:noProof/>
              <w:lang w:val="hu-HU" w:eastAsia="hu-HU"/>
            </w:rPr>
          </w:pPr>
          <w:hyperlink w:anchor="_Toc218075150" w:history="1">
            <w:r w:rsidRPr="004C5EA0">
              <w:rPr>
                <w:rStyle w:val="Hiperhivatkozs"/>
                <w:rFonts w:cs="Times New Roman"/>
                <w:bCs/>
                <w:noProof/>
                <w:lang w:val="hu-HU"/>
              </w:rPr>
              <w:t>Szektorspecifikus</w:t>
            </w:r>
            <w:r w:rsidRPr="004C5EA0">
              <w:rPr>
                <w:rStyle w:val="Hiperhivatkozs"/>
                <w:rFonts w:cs="Times New Roman"/>
                <w:bCs/>
                <w:noProof/>
              </w:rPr>
              <w:t xml:space="preserve"> reakciók és vállalati szintű hatások</w:t>
            </w:r>
            <w:r>
              <w:rPr>
                <w:noProof/>
                <w:webHidden/>
              </w:rPr>
              <w:tab/>
            </w:r>
            <w:r>
              <w:rPr>
                <w:noProof/>
                <w:webHidden/>
              </w:rPr>
              <w:fldChar w:fldCharType="begin"/>
            </w:r>
            <w:r>
              <w:rPr>
                <w:noProof/>
                <w:webHidden/>
              </w:rPr>
              <w:instrText xml:space="preserve"> PAGEREF _Toc218075150 \h </w:instrText>
            </w:r>
            <w:r>
              <w:rPr>
                <w:noProof/>
                <w:webHidden/>
              </w:rPr>
            </w:r>
            <w:r>
              <w:rPr>
                <w:noProof/>
                <w:webHidden/>
              </w:rPr>
              <w:fldChar w:fldCharType="separate"/>
            </w:r>
            <w:r>
              <w:rPr>
                <w:noProof/>
                <w:webHidden/>
              </w:rPr>
              <w:t>12</w:t>
            </w:r>
            <w:r>
              <w:rPr>
                <w:noProof/>
                <w:webHidden/>
              </w:rPr>
              <w:fldChar w:fldCharType="end"/>
            </w:r>
          </w:hyperlink>
        </w:p>
        <w:p w14:paraId="08F0D39B" w14:textId="6891927E" w:rsidR="00390762" w:rsidRDefault="00390762">
          <w:pPr>
            <w:pStyle w:val="TJ2"/>
            <w:tabs>
              <w:tab w:val="right" w:leader="dot" w:pos="9350"/>
            </w:tabs>
            <w:rPr>
              <w:rFonts w:asciiTheme="minorHAnsi" w:eastAsiaTheme="minorEastAsia" w:hAnsiTheme="minorHAnsi"/>
              <w:noProof/>
              <w:lang w:val="hu-HU" w:eastAsia="hu-HU"/>
            </w:rPr>
          </w:pPr>
          <w:hyperlink w:anchor="_Toc218075151" w:history="1">
            <w:r w:rsidRPr="004C5EA0">
              <w:rPr>
                <w:rStyle w:val="Hiperhivatkozs"/>
                <w:rFonts w:cs="Times New Roman"/>
                <w:noProof/>
                <w:lang w:val="hu-HU"/>
              </w:rPr>
              <w:t>Hosszabb</w:t>
            </w:r>
            <w:r w:rsidRPr="004C5EA0">
              <w:rPr>
                <w:rStyle w:val="Hiperhivatkozs"/>
                <w:rFonts w:cs="Times New Roman"/>
                <w:bCs/>
                <w:noProof/>
              </w:rPr>
              <w:t xml:space="preserve"> távú összefüggések és ciklikus hatások</w:t>
            </w:r>
            <w:r>
              <w:rPr>
                <w:noProof/>
                <w:webHidden/>
              </w:rPr>
              <w:tab/>
            </w:r>
            <w:r>
              <w:rPr>
                <w:noProof/>
                <w:webHidden/>
              </w:rPr>
              <w:fldChar w:fldCharType="begin"/>
            </w:r>
            <w:r>
              <w:rPr>
                <w:noProof/>
                <w:webHidden/>
              </w:rPr>
              <w:instrText xml:space="preserve"> PAGEREF _Toc218075151 \h </w:instrText>
            </w:r>
            <w:r>
              <w:rPr>
                <w:noProof/>
                <w:webHidden/>
              </w:rPr>
            </w:r>
            <w:r>
              <w:rPr>
                <w:noProof/>
                <w:webHidden/>
              </w:rPr>
              <w:fldChar w:fldCharType="separate"/>
            </w:r>
            <w:r>
              <w:rPr>
                <w:noProof/>
                <w:webHidden/>
              </w:rPr>
              <w:t>14</w:t>
            </w:r>
            <w:r>
              <w:rPr>
                <w:noProof/>
                <w:webHidden/>
              </w:rPr>
              <w:fldChar w:fldCharType="end"/>
            </w:r>
          </w:hyperlink>
        </w:p>
        <w:p w14:paraId="19F29FCD" w14:textId="305CDD59" w:rsidR="00390762" w:rsidRDefault="00390762">
          <w:pPr>
            <w:pStyle w:val="TJ2"/>
            <w:tabs>
              <w:tab w:val="right" w:leader="dot" w:pos="9350"/>
            </w:tabs>
            <w:rPr>
              <w:rFonts w:asciiTheme="minorHAnsi" w:eastAsiaTheme="minorEastAsia" w:hAnsiTheme="minorHAnsi"/>
              <w:noProof/>
              <w:lang w:val="hu-HU" w:eastAsia="hu-HU"/>
            </w:rPr>
          </w:pPr>
          <w:hyperlink w:anchor="_Toc218075152" w:history="1">
            <w:r w:rsidRPr="004C5EA0">
              <w:rPr>
                <w:rStyle w:val="Hiperhivatkozs"/>
                <w:rFonts w:cs="Times New Roman"/>
                <w:bCs/>
                <w:noProof/>
              </w:rPr>
              <w:t>Nemzetközi tapasztalatok és összehasonlító eredmények</w:t>
            </w:r>
            <w:r>
              <w:rPr>
                <w:noProof/>
                <w:webHidden/>
              </w:rPr>
              <w:tab/>
            </w:r>
            <w:r>
              <w:rPr>
                <w:noProof/>
                <w:webHidden/>
              </w:rPr>
              <w:fldChar w:fldCharType="begin"/>
            </w:r>
            <w:r>
              <w:rPr>
                <w:noProof/>
                <w:webHidden/>
              </w:rPr>
              <w:instrText xml:space="preserve"> PAGEREF _Toc218075152 \h </w:instrText>
            </w:r>
            <w:r>
              <w:rPr>
                <w:noProof/>
                <w:webHidden/>
              </w:rPr>
            </w:r>
            <w:r>
              <w:rPr>
                <w:noProof/>
                <w:webHidden/>
              </w:rPr>
              <w:fldChar w:fldCharType="separate"/>
            </w:r>
            <w:r>
              <w:rPr>
                <w:noProof/>
                <w:webHidden/>
              </w:rPr>
              <w:t>14</w:t>
            </w:r>
            <w:r>
              <w:rPr>
                <w:noProof/>
                <w:webHidden/>
              </w:rPr>
              <w:fldChar w:fldCharType="end"/>
            </w:r>
          </w:hyperlink>
        </w:p>
        <w:p w14:paraId="0BE941AF" w14:textId="429B3537" w:rsidR="00390762" w:rsidRDefault="00390762">
          <w:pPr>
            <w:pStyle w:val="TJ1"/>
            <w:tabs>
              <w:tab w:val="right" w:leader="dot" w:pos="9350"/>
            </w:tabs>
            <w:rPr>
              <w:rFonts w:asciiTheme="minorHAnsi" w:eastAsiaTheme="minorEastAsia" w:hAnsiTheme="minorHAnsi"/>
              <w:noProof/>
              <w:lang w:val="hu-HU" w:eastAsia="hu-HU"/>
            </w:rPr>
          </w:pPr>
          <w:hyperlink w:anchor="_Toc218075153" w:history="1">
            <w:r w:rsidRPr="004C5EA0">
              <w:rPr>
                <w:rStyle w:val="Hiperhivatkozs"/>
                <w:rFonts w:cs="Times New Roman"/>
                <w:noProof/>
                <w:lang w:val="hu-HU"/>
              </w:rPr>
              <w:t>Módszertan</w:t>
            </w:r>
            <w:r>
              <w:rPr>
                <w:noProof/>
                <w:webHidden/>
              </w:rPr>
              <w:tab/>
            </w:r>
            <w:r>
              <w:rPr>
                <w:noProof/>
                <w:webHidden/>
              </w:rPr>
              <w:fldChar w:fldCharType="begin"/>
            </w:r>
            <w:r>
              <w:rPr>
                <w:noProof/>
                <w:webHidden/>
              </w:rPr>
              <w:instrText xml:space="preserve"> PAGEREF _Toc218075153 \h </w:instrText>
            </w:r>
            <w:r>
              <w:rPr>
                <w:noProof/>
                <w:webHidden/>
              </w:rPr>
            </w:r>
            <w:r>
              <w:rPr>
                <w:noProof/>
                <w:webHidden/>
              </w:rPr>
              <w:fldChar w:fldCharType="separate"/>
            </w:r>
            <w:r>
              <w:rPr>
                <w:noProof/>
                <w:webHidden/>
              </w:rPr>
              <w:t>15</w:t>
            </w:r>
            <w:r>
              <w:rPr>
                <w:noProof/>
                <w:webHidden/>
              </w:rPr>
              <w:fldChar w:fldCharType="end"/>
            </w:r>
          </w:hyperlink>
        </w:p>
        <w:p w14:paraId="0E89919F" w14:textId="0117B823" w:rsidR="00390762" w:rsidRDefault="00390762">
          <w:pPr>
            <w:pStyle w:val="TJ2"/>
            <w:tabs>
              <w:tab w:val="right" w:leader="dot" w:pos="9350"/>
            </w:tabs>
            <w:rPr>
              <w:rFonts w:asciiTheme="minorHAnsi" w:eastAsiaTheme="minorEastAsia" w:hAnsiTheme="minorHAnsi"/>
              <w:noProof/>
              <w:lang w:val="hu-HU" w:eastAsia="hu-HU"/>
            </w:rPr>
          </w:pPr>
          <w:hyperlink w:anchor="_Toc218075154" w:history="1">
            <w:r w:rsidRPr="004C5EA0">
              <w:rPr>
                <w:rStyle w:val="Hiperhivatkozs"/>
                <w:rFonts w:cs="Times New Roman"/>
                <w:noProof/>
                <w:lang w:val="hu-HU"/>
              </w:rPr>
              <w:t>Adatok</w:t>
            </w:r>
            <w:r>
              <w:rPr>
                <w:noProof/>
                <w:webHidden/>
              </w:rPr>
              <w:tab/>
            </w:r>
            <w:r>
              <w:rPr>
                <w:noProof/>
                <w:webHidden/>
              </w:rPr>
              <w:fldChar w:fldCharType="begin"/>
            </w:r>
            <w:r>
              <w:rPr>
                <w:noProof/>
                <w:webHidden/>
              </w:rPr>
              <w:instrText xml:space="preserve"> PAGEREF _Toc218075154 \h </w:instrText>
            </w:r>
            <w:r>
              <w:rPr>
                <w:noProof/>
                <w:webHidden/>
              </w:rPr>
            </w:r>
            <w:r>
              <w:rPr>
                <w:noProof/>
                <w:webHidden/>
              </w:rPr>
              <w:fldChar w:fldCharType="separate"/>
            </w:r>
            <w:r>
              <w:rPr>
                <w:noProof/>
                <w:webHidden/>
              </w:rPr>
              <w:t>15</w:t>
            </w:r>
            <w:r>
              <w:rPr>
                <w:noProof/>
                <w:webHidden/>
              </w:rPr>
              <w:fldChar w:fldCharType="end"/>
            </w:r>
          </w:hyperlink>
        </w:p>
        <w:p w14:paraId="4EA43955" w14:textId="3FF9D71D" w:rsidR="00390762" w:rsidRDefault="00390762">
          <w:pPr>
            <w:pStyle w:val="TJ2"/>
            <w:tabs>
              <w:tab w:val="right" w:leader="dot" w:pos="9350"/>
            </w:tabs>
            <w:rPr>
              <w:rFonts w:asciiTheme="minorHAnsi" w:eastAsiaTheme="minorEastAsia" w:hAnsiTheme="minorHAnsi"/>
              <w:noProof/>
              <w:lang w:val="hu-HU" w:eastAsia="hu-HU"/>
            </w:rPr>
          </w:pPr>
          <w:hyperlink w:anchor="_Toc218075155" w:history="1">
            <w:r w:rsidRPr="004C5EA0">
              <w:rPr>
                <w:rStyle w:val="Hiperhivatkozs"/>
                <w:rFonts w:cs="Times New Roman"/>
                <w:noProof/>
                <w:lang w:val="hu-HU"/>
              </w:rPr>
              <w:t>Abnormális hozamok</w:t>
            </w:r>
            <w:r>
              <w:rPr>
                <w:noProof/>
                <w:webHidden/>
              </w:rPr>
              <w:tab/>
            </w:r>
            <w:r>
              <w:rPr>
                <w:noProof/>
                <w:webHidden/>
              </w:rPr>
              <w:fldChar w:fldCharType="begin"/>
            </w:r>
            <w:r>
              <w:rPr>
                <w:noProof/>
                <w:webHidden/>
              </w:rPr>
              <w:instrText xml:space="preserve"> PAGEREF _Toc218075155 \h </w:instrText>
            </w:r>
            <w:r>
              <w:rPr>
                <w:noProof/>
                <w:webHidden/>
              </w:rPr>
            </w:r>
            <w:r>
              <w:rPr>
                <w:noProof/>
                <w:webHidden/>
              </w:rPr>
              <w:fldChar w:fldCharType="separate"/>
            </w:r>
            <w:r>
              <w:rPr>
                <w:noProof/>
                <w:webHidden/>
              </w:rPr>
              <w:t>16</w:t>
            </w:r>
            <w:r>
              <w:rPr>
                <w:noProof/>
                <w:webHidden/>
              </w:rPr>
              <w:fldChar w:fldCharType="end"/>
            </w:r>
          </w:hyperlink>
        </w:p>
        <w:p w14:paraId="0D38510B" w14:textId="156A527E" w:rsidR="00390762" w:rsidRDefault="00390762">
          <w:pPr>
            <w:pStyle w:val="TJ1"/>
            <w:tabs>
              <w:tab w:val="right" w:leader="dot" w:pos="9350"/>
            </w:tabs>
            <w:rPr>
              <w:rFonts w:asciiTheme="minorHAnsi" w:eastAsiaTheme="minorEastAsia" w:hAnsiTheme="minorHAnsi"/>
              <w:noProof/>
              <w:lang w:val="hu-HU" w:eastAsia="hu-HU"/>
            </w:rPr>
          </w:pPr>
          <w:hyperlink w:anchor="_Toc218075156" w:history="1">
            <w:r w:rsidRPr="004C5EA0">
              <w:rPr>
                <w:rStyle w:val="Hiperhivatkozs"/>
                <w:rFonts w:cs="Times New Roman"/>
                <w:noProof/>
                <w:lang w:val="hu-HU"/>
              </w:rPr>
              <w:t>Eredmények</w:t>
            </w:r>
            <w:r>
              <w:rPr>
                <w:noProof/>
                <w:webHidden/>
              </w:rPr>
              <w:tab/>
            </w:r>
            <w:r>
              <w:rPr>
                <w:noProof/>
                <w:webHidden/>
              </w:rPr>
              <w:fldChar w:fldCharType="begin"/>
            </w:r>
            <w:r>
              <w:rPr>
                <w:noProof/>
                <w:webHidden/>
              </w:rPr>
              <w:instrText xml:space="preserve"> PAGEREF _Toc218075156 \h </w:instrText>
            </w:r>
            <w:r>
              <w:rPr>
                <w:noProof/>
                <w:webHidden/>
              </w:rPr>
            </w:r>
            <w:r>
              <w:rPr>
                <w:noProof/>
                <w:webHidden/>
              </w:rPr>
              <w:fldChar w:fldCharType="separate"/>
            </w:r>
            <w:r>
              <w:rPr>
                <w:noProof/>
                <w:webHidden/>
              </w:rPr>
              <w:t>18</w:t>
            </w:r>
            <w:r>
              <w:rPr>
                <w:noProof/>
                <w:webHidden/>
              </w:rPr>
              <w:fldChar w:fldCharType="end"/>
            </w:r>
          </w:hyperlink>
        </w:p>
        <w:p w14:paraId="4489BA55" w14:textId="2283EDFE" w:rsidR="00390762" w:rsidRDefault="00390762">
          <w:pPr>
            <w:pStyle w:val="TJ2"/>
            <w:tabs>
              <w:tab w:val="right" w:leader="dot" w:pos="9350"/>
            </w:tabs>
            <w:rPr>
              <w:rFonts w:asciiTheme="minorHAnsi" w:eastAsiaTheme="minorEastAsia" w:hAnsiTheme="minorHAnsi"/>
              <w:noProof/>
              <w:lang w:val="hu-HU" w:eastAsia="hu-HU"/>
            </w:rPr>
          </w:pPr>
          <w:hyperlink w:anchor="_Toc218075157" w:history="1">
            <w:r w:rsidRPr="004C5EA0">
              <w:rPr>
                <w:rStyle w:val="Hiperhivatkozs"/>
                <w:rFonts w:cs="Times New Roman"/>
                <w:bCs/>
                <w:noProof/>
              </w:rPr>
              <w:t xml:space="preserve">A teljes mintára </w:t>
            </w:r>
            <w:r w:rsidRPr="004C5EA0">
              <w:rPr>
                <w:rStyle w:val="Hiperhivatkozs"/>
                <w:rFonts w:cs="Times New Roman"/>
                <w:noProof/>
                <w:lang w:val="hu-HU"/>
              </w:rPr>
              <w:t>vonatkozó</w:t>
            </w:r>
            <w:r w:rsidRPr="004C5EA0">
              <w:rPr>
                <w:rStyle w:val="Hiperhivatkozs"/>
                <w:rFonts w:cs="Times New Roman"/>
                <w:bCs/>
                <w:noProof/>
              </w:rPr>
              <w:t xml:space="preserve"> kumulált átlagos abnormális hozam (CAAR)</w:t>
            </w:r>
            <w:r>
              <w:rPr>
                <w:noProof/>
                <w:webHidden/>
              </w:rPr>
              <w:tab/>
            </w:r>
            <w:r>
              <w:rPr>
                <w:noProof/>
                <w:webHidden/>
              </w:rPr>
              <w:fldChar w:fldCharType="begin"/>
            </w:r>
            <w:r>
              <w:rPr>
                <w:noProof/>
                <w:webHidden/>
              </w:rPr>
              <w:instrText xml:space="preserve"> PAGEREF _Toc218075157 \h </w:instrText>
            </w:r>
            <w:r>
              <w:rPr>
                <w:noProof/>
                <w:webHidden/>
              </w:rPr>
            </w:r>
            <w:r>
              <w:rPr>
                <w:noProof/>
                <w:webHidden/>
              </w:rPr>
              <w:fldChar w:fldCharType="separate"/>
            </w:r>
            <w:r>
              <w:rPr>
                <w:noProof/>
                <w:webHidden/>
              </w:rPr>
              <w:t>18</w:t>
            </w:r>
            <w:r>
              <w:rPr>
                <w:noProof/>
                <w:webHidden/>
              </w:rPr>
              <w:fldChar w:fldCharType="end"/>
            </w:r>
          </w:hyperlink>
        </w:p>
        <w:p w14:paraId="72BE3694" w14:textId="5C2B149B" w:rsidR="00390762" w:rsidRDefault="00390762">
          <w:pPr>
            <w:pStyle w:val="TJ2"/>
            <w:tabs>
              <w:tab w:val="right" w:leader="dot" w:pos="9350"/>
            </w:tabs>
            <w:rPr>
              <w:rFonts w:asciiTheme="minorHAnsi" w:eastAsiaTheme="minorEastAsia" w:hAnsiTheme="minorHAnsi"/>
              <w:noProof/>
              <w:lang w:val="hu-HU" w:eastAsia="hu-HU"/>
            </w:rPr>
          </w:pPr>
          <w:hyperlink w:anchor="_Toc218075158" w:history="1">
            <w:r w:rsidRPr="004C5EA0">
              <w:rPr>
                <w:rStyle w:val="Hiperhivatkozs"/>
                <w:rFonts w:cs="Times New Roman"/>
                <w:bCs/>
                <w:noProof/>
              </w:rPr>
              <w:t>Szektoronként</w:t>
            </w:r>
            <w:r w:rsidRPr="004C5EA0">
              <w:rPr>
                <w:rStyle w:val="Hiperhivatkozs"/>
                <w:rFonts w:cs="Times New Roman"/>
                <w:bCs/>
                <w:noProof/>
                <w:lang w:val="hu-HU"/>
              </w:rPr>
              <w:t xml:space="preserve"> számított átlagos abnormális hozamok (AAR)</w:t>
            </w:r>
            <w:r>
              <w:rPr>
                <w:noProof/>
                <w:webHidden/>
              </w:rPr>
              <w:tab/>
            </w:r>
            <w:r>
              <w:rPr>
                <w:noProof/>
                <w:webHidden/>
              </w:rPr>
              <w:fldChar w:fldCharType="begin"/>
            </w:r>
            <w:r>
              <w:rPr>
                <w:noProof/>
                <w:webHidden/>
              </w:rPr>
              <w:instrText xml:space="preserve"> PAGEREF _Toc218075158 \h </w:instrText>
            </w:r>
            <w:r>
              <w:rPr>
                <w:noProof/>
                <w:webHidden/>
              </w:rPr>
            </w:r>
            <w:r>
              <w:rPr>
                <w:noProof/>
                <w:webHidden/>
              </w:rPr>
              <w:fldChar w:fldCharType="separate"/>
            </w:r>
            <w:r>
              <w:rPr>
                <w:noProof/>
                <w:webHidden/>
              </w:rPr>
              <w:t>20</w:t>
            </w:r>
            <w:r>
              <w:rPr>
                <w:noProof/>
                <w:webHidden/>
              </w:rPr>
              <w:fldChar w:fldCharType="end"/>
            </w:r>
          </w:hyperlink>
        </w:p>
        <w:p w14:paraId="0640B498" w14:textId="6A51F4C0" w:rsidR="00390762" w:rsidRDefault="00390762">
          <w:pPr>
            <w:pStyle w:val="TJ2"/>
            <w:tabs>
              <w:tab w:val="right" w:leader="dot" w:pos="9350"/>
            </w:tabs>
            <w:rPr>
              <w:rFonts w:asciiTheme="minorHAnsi" w:eastAsiaTheme="minorEastAsia" w:hAnsiTheme="minorHAnsi"/>
              <w:noProof/>
              <w:lang w:val="hu-HU" w:eastAsia="hu-HU"/>
            </w:rPr>
          </w:pPr>
          <w:hyperlink w:anchor="_Toc218075159" w:history="1">
            <w:r w:rsidRPr="004C5EA0">
              <w:rPr>
                <w:rStyle w:val="Hiperhivatkozs"/>
                <w:rFonts w:cs="Times New Roman"/>
                <w:bCs/>
                <w:noProof/>
                <w:lang w:val="hu-HU"/>
              </w:rPr>
              <w:t>Részvénytípusonként számított kumulált átlagos abnormális hozamok (CAAR)</w:t>
            </w:r>
            <w:r>
              <w:rPr>
                <w:noProof/>
                <w:webHidden/>
              </w:rPr>
              <w:tab/>
            </w:r>
            <w:r>
              <w:rPr>
                <w:noProof/>
                <w:webHidden/>
              </w:rPr>
              <w:fldChar w:fldCharType="begin"/>
            </w:r>
            <w:r>
              <w:rPr>
                <w:noProof/>
                <w:webHidden/>
              </w:rPr>
              <w:instrText xml:space="preserve"> PAGEREF _Toc218075159 \h </w:instrText>
            </w:r>
            <w:r>
              <w:rPr>
                <w:noProof/>
                <w:webHidden/>
              </w:rPr>
            </w:r>
            <w:r>
              <w:rPr>
                <w:noProof/>
                <w:webHidden/>
              </w:rPr>
              <w:fldChar w:fldCharType="separate"/>
            </w:r>
            <w:r>
              <w:rPr>
                <w:noProof/>
                <w:webHidden/>
              </w:rPr>
              <w:t>22</w:t>
            </w:r>
            <w:r>
              <w:rPr>
                <w:noProof/>
                <w:webHidden/>
              </w:rPr>
              <w:fldChar w:fldCharType="end"/>
            </w:r>
          </w:hyperlink>
        </w:p>
        <w:p w14:paraId="7B5CE330" w14:textId="30AEAEA1" w:rsidR="00390762" w:rsidRDefault="00390762">
          <w:pPr>
            <w:pStyle w:val="TJ1"/>
            <w:tabs>
              <w:tab w:val="right" w:leader="dot" w:pos="9350"/>
            </w:tabs>
            <w:rPr>
              <w:rFonts w:asciiTheme="minorHAnsi" w:eastAsiaTheme="minorEastAsia" w:hAnsiTheme="minorHAnsi"/>
              <w:noProof/>
              <w:lang w:val="hu-HU" w:eastAsia="hu-HU"/>
            </w:rPr>
          </w:pPr>
          <w:hyperlink w:anchor="_Toc218075160" w:history="1">
            <w:r w:rsidRPr="004C5EA0">
              <w:rPr>
                <w:rStyle w:val="Hiperhivatkozs"/>
                <w:rFonts w:cs="Times New Roman"/>
                <w:noProof/>
                <w:lang w:val="hu-HU"/>
              </w:rPr>
              <w:t>Összefoglalás</w:t>
            </w:r>
            <w:r>
              <w:rPr>
                <w:noProof/>
                <w:webHidden/>
              </w:rPr>
              <w:tab/>
            </w:r>
            <w:r>
              <w:rPr>
                <w:noProof/>
                <w:webHidden/>
              </w:rPr>
              <w:fldChar w:fldCharType="begin"/>
            </w:r>
            <w:r>
              <w:rPr>
                <w:noProof/>
                <w:webHidden/>
              </w:rPr>
              <w:instrText xml:space="preserve"> PAGEREF _Toc218075160 \h </w:instrText>
            </w:r>
            <w:r>
              <w:rPr>
                <w:noProof/>
                <w:webHidden/>
              </w:rPr>
            </w:r>
            <w:r>
              <w:rPr>
                <w:noProof/>
                <w:webHidden/>
              </w:rPr>
              <w:fldChar w:fldCharType="separate"/>
            </w:r>
            <w:r>
              <w:rPr>
                <w:noProof/>
                <w:webHidden/>
              </w:rPr>
              <w:t>27</w:t>
            </w:r>
            <w:r>
              <w:rPr>
                <w:noProof/>
                <w:webHidden/>
              </w:rPr>
              <w:fldChar w:fldCharType="end"/>
            </w:r>
          </w:hyperlink>
        </w:p>
        <w:p w14:paraId="35849C94" w14:textId="7435AFB9" w:rsidR="00390762" w:rsidRDefault="00390762">
          <w:pPr>
            <w:pStyle w:val="TJ1"/>
            <w:tabs>
              <w:tab w:val="right" w:leader="dot" w:pos="9350"/>
            </w:tabs>
            <w:rPr>
              <w:rFonts w:asciiTheme="minorHAnsi" w:eastAsiaTheme="minorEastAsia" w:hAnsiTheme="minorHAnsi"/>
              <w:noProof/>
              <w:lang w:val="hu-HU" w:eastAsia="hu-HU"/>
            </w:rPr>
          </w:pPr>
          <w:hyperlink w:anchor="_Toc218075161" w:history="1">
            <w:r w:rsidRPr="004C5EA0">
              <w:rPr>
                <w:rStyle w:val="Hiperhivatkozs"/>
                <w:rFonts w:cs="Times New Roman"/>
                <w:noProof/>
                <w:lang w:val="hu-HU"/>
              </w:rPr>
              <w:t>Melléklet</w:t>
            </w:r>
            <w:r>
              <w:rPr>
                <w:noProof/>
                <w:webHidden/>
              </w:rPr>
              <w:tab/>
            </w:r>
            <w:r>
              <w:rPr>
                <w:noProof/>
                <w:webHidden/>
              </w:rPr>
              <w:fldChar w:fldCharType="begin"/>
            </w:r>
            <w:r>
              <w:rPr>
                <w:noProof/>
                <w:webHidden/>
              </w:rPr>
              <w:instrText xml:space="preserve"> PAGEREF _Toc218075161 \h </w:instrText>
            </w:r>
            <w:r>
              <w:rPr>
                <w:noProof/>
                <w:webHidden/>
              </w:rPr>
            </w:r>
            <w:r>
              <w:rPr>
                <w:noProof/>
                <w:webHidden/>
              </w:rPr>
              <w:fldChar w:fldCharType="separate"/>
            </w:r>
            <w:r>
              <w:rPr>
                <w:noProof/>
                <w:webHidden/>
              </w:rPr>
              <w:t>28</w:t>
            </w:r>
            <w:r>
              <w:rPr>
                <w:noProof/>
                <w:webHidden/>
              </w:rPr>
              <w:fldChar w:fldCharType="end"/>
            </w:r>
          </w:hyperlink>
        </w:p>
        <w:p w14:paraId="3B77A239" w14:textId="7310C869" w:rsidR="00390762" w:rsidRDefault="00390762">
          <w:pPr>
            <w:pStyle w:val="TJ1"/>
            <w:tabs>
              <w:tab w:val="right" w:leader="dot" w:pos="9350"/>
            </w:tabs>
            <w:rPr>
              <w:rFonts w:asciiTheme="minorHAnsi" w:eastAsiaTheme="minorEastAsia" w:hAnsiTheme="minorHAnsi"/>
              <w:noProof/>
              <w:lang w:val="hu-HU" w:eastAsia="hu-HU"/>
            </w:rPr>
          </w:pPr>
          <w:hyperlink w:anchor="_Toc218075162" w:history="1">
            <w:r w:rsidRPr="004C5EA0">
              <w:rPr>
                <w:rStyle w:val="Hiperhivatkozs"/>
                <w:rFonts w:cs="Times New Roman"/>
                <w:noProof/>
                <w:lang w:val="hu-HU"/>
              </w:rPr>
              <w:t>Irodalomjegyzék</w:t>
            </w:r>
            <w:r>
              <w:rPr>
                <w:noProof/>
                <w:webHidden/>
              </w:rPr>
              <w:tab/>
            </w:r>
            <w:r>
              <w:rPr>
                <w:noProof/>
                <w:webHidden/>
              </w:rPr>
              <w:fldChar w:fldCharType="begin"/>
            </w:r>
            <w:r>
              <w:rPr>
                <w:noProof/>
                <w:webHidden/>
              </w:rPr>
              <w:instrText xml:space="preserve"> PAGEREF _Toc218075162 \h </w:instrText>
            </w:r>
            <w:r>
              <w:rPr>
                <w:noProof/>
                <w:webHidden/>
              </w:rPr>
            </w:r>
            <w:r>
              <w:rPr>
                <w:noProof/>
                <w:webHidden/>
              </w:rPr>
              <w:fldChar w:fldCharType="separate"/>
            </w:r>
            <w:r>
              <w:rPr>
                <w:noProof/>
                <w:webHidden/>
              </w:rPr>
              <w:t>29</w:t>
            </w:r>
            <w:r>
              <w:rPr>
                <w:noProof/>
                <w:webHidden/>
              </w:rPr>
              <w:fldChar w:fldCharType="end"/>
            </w:r>
          </w:hyperlink>
        </w:p>
        <w:p w14:paraId="3E9DBD1F" w14:textId="779730FB" w:rsidR="00A42090" w:rsidRPr="00A42090" w:rsidRDefault="00A42090">
          <w:pPr>
            <w:rPr>
              <w:rFonts w:cs="Times New Roman"/>
            </w:rPr>
          </w:pPr>
          <w:r w:rsidRPr="00A42090">
            <w:rPr>
              <w:rFonts w:cs="Times New Roman"/>
              <w:b/>
              <w:bCs/>
            </w:rPr>
            <w:lastRenderedPageBreak/>
            <w:fldChar w:fldCharType="end"/>
          </w:r>
        </w:p>
      </w:sdtContent>
    </w:sdt>
    <w:p w14:paraId="54DCE88A" w14:textId="300BD38D" w:rsidR="00F10B29" w:rsidRPr="00F10B29" w:rsidRDefault="00F10B29" w:rsidP="00F10B29">
      <w:pPr>
        <w:pStyle w:val="Tartalomjegyzkcmsora"/>
        <w:rPr>
          <w:rFonts w:ascii="Times New Roman" w:hAnsi="Times New Roman" w:cs="Times New Roman"/>
          <w:color w:val="auto"/>
        </w:rPr>
      </w:pPr>
      <w:r w:rsidRPr="00F10B29">
        <w:rPr>
          <w:rFonts w:ascii="Times New Roman" w:hAnsi="Times New Roman" w:cs="Times New Roman"/>
          <w:color w:val="auto"/>
        </w:rPr>
        <w:t>Ábrajegyzék</w:t>
      </w:r>
    </w:p>
    <w:p w14:paraId="7E32F631" w14:textId="45F3646A" w:rsidR="00390762" w:rsidRDefault="00D15F43">
      <w:pPr>
        <w:pStyle w:val="brajegyzk"/>
        <w:tabs>
          <w:tab w:val="right" w:leader="dot" w:pos="9350"/>
        </w:tabs>
        <w:rPr>
          <w:rFonts w:asciiTheme="minorHAnsi" w:eastAsiaTheme="minorEastAsia" w:hAnsiTheme="minorHAnsi"/>
          <w:noProof/>
          <w:lang w:val="hu-HU" w:eastAsia="hu-HU"/>
        </w:rPr>
      </w:pPr>
      <w:r>
        <w:rPr>
          <w:rFonts w:cs="Times New Roman"/>
          <w:lang w:val="hu-HU"/>
        </w:rPr>
        <w:fldChar w:fldCharType="begin"/>
      </w:r>
      <w:r>
        <w:rPr>
          <w:rFonts w:cs="Times New Roman"/>
          <w:lang w:val="hu-HU"/>
        </w:rPr>
        <w:instrText xml:space="preserve"> TOC \h \z \c "ábra" </w:instrText>
      </w:r>
      <w:r>
        <w:rPr>
          <w:rFonts w:cs="Times New Roman"/>
          <w:lang w:val="hu-HU"/>
        </w:rPr>
        <w:fldChar w:fldCharType="separate"/>
      </w:r>
      <w:hyperlink w:anchor="_Toc218075163" w:history="1">
        <w:r w:rsidR="00390762" w:rsidRPr="002C73C8">
          <w:rPr>
            <w:rStyle w:val="Hiperhivatkozs"/>
            <w:rFonts w:cs="Times New Roman"/>
            <w:noProof/>
            <w:lang w:val="hu-HU"/>
          </w:rPr>
          <w:t>1</w:t>
        </w:r>
        <w:r w:rsidR="00390762" w:rsidRPr="002C73C8">
          <w:rPr>
            <w:rStyle w:val="Hiperhivatkozs"/>
            <w:noProof/>
          </w:rPr>
          <w:t>. ábra: A kummulált abnormális hozam eloszlás</w:t>
        </w:r>
        <w:r w:rsidR="00390762">
          <w:rPr>
            <w:noProof/>
            <w:webHidden/>
          </w:rPr>
          <w:tab/>
        </w:r>
        <w:r w:rsidR="00390762">
          <w:rPr>
            <w:noProof/>
            <w:webHidden/>
          </w:rPr>
          <w:fldChar w:fldCharType="begin"/>
        </w:r>
        <w:r w:rsidR="00390762">
          <w:rPr>
            <w:noProof/>
            <w:webHidden/>
          </w:rPr>
          <w:instrText xml:space="preserve"> PAGEREF _Toc218075163 \h </w:instrText>
        </w:r>
        <w:r w:rsidR="00390762">
          <w:rPr>
            <w:noProof/>
            <w:webHidden/>
          </w:rPr>
        </w:r>
        <w:r w:rsidR="00390762">
          <w:rPr>
            <w:noProof/>
            <w:webHidden/>
          </w:rPr>
          <w:fldChar w:fldCharType="separate"/>
        </w:r>
        <w:r w:rsidR="00390762">
          <w:rPr>
            <w:noProof/>
            <w:webHidden/>
          </w:rPr>
          <w:t>19</w:t>
        </w:r>
        <w:r w:rsidR="00390762">
          <w:rPr>
            <w:noProof/>
            <w:webHidden/>
          </w:rPr>
          <w:fldChar w:fldCharType="end"/>
        </w:r>
      </w:hyperlink>
    </w:p>
    <w:p w14:paraId="041BB4A9" w14:textId="70BC1F5F" w:rsidR="00390762" w:rsidRDefault="00390762">
      <w:pPr>
        <w:pStyle w:val="brajegyzk"/>
        <w:tabs>
          <w:tab w:val="right" w:leader="dot" w:pos="9350"/>
        </w:tabs>
        <w:rPr>
          <w:rFonts w:asciiTheme="minorHAnsi" w:eastAsiaTheme="minorEastAsia" w:hAnsiTheme="minorHAnsi"/>
          <w:noProof/>
          <w:lang w:val="hu-HU" w:eastAsia="hu-HU"/>
        </w:rPr>
      </w:pPr>
      <w:hyperlink w:anchor="_Toc218075164" w:history="1">
        <w:r w:rsidRPr="002C73C8">
          <w:rPr>
            <w:rStyle w:val="Hiperhivatkozs"/>
            <w:rFonts w:cs="Times New Roman"/>
            <w:noProof/>
            <w:lang w:val="hu-HU"/>
          </w:rPr>
          <w:t>2</w:t>
        </w:r>
        <w:r w:rsidRPr="002C73C8">
          <w:rPr>
            <w:rStyle w:val="Hiperhivatkozs"/>
            <w:noProof/>
          </w:rPr>
          <w:t>. ábra: Az abnormális hozam alakulása</w:t>
        </w:r>
        <w:r>
          <w:rPr>
            <w:noProof/>
            <w:webHidden/>
          </w:rPr>
          <w:tab/>
        </w:r>
        <w:r>
          <w:rPr>
            <w:noProof/>
            <w:webHidden/>
          </w:rPr>
          <w:fldChar w:fldCharType="begin"/>
        </w:r>
        <w:r>
          <w:rPr>
            <w:noProof/>
            <w:webHidden/>
          </w:rPr>
          <w:instrText xml:space="preserve"> PAGEREF _Toc218075164 \h </w:instrText>
        </w:r>
        <w:r>
          <w:rPr>
            <w:noProof/>
            <w:webHidden/>
          </w:rPr>
        </w:r>
        <w:r>
          <w:rPr>
            <w:noProof/>
            <w:webHidden/>
          </w:rPr>
          <w:fldChar w:fldCharType="separate"/>
        </w:r>
        <w:r>
          <w:rPr>
            <w:noProof/>
            <w:webHidden/>
          </w:rPr>
          <w:t>22</w:t>
        </w:r>
        <w:r>
          <w:rPr>
            <w:noProof/>
            <w:webHidden/>
          </w:rPr>
          <w:fldChar w:fldCharType="end"/>
        </w:r>
      </w:hyperlink>
    </w:p>
    <w:p w14:paraId="35EE5870" w14:textId="073039C9" w:rsidR="00390762" w:rsidRDefault="00390762">
      <w:pPr>
        <w:pStyle w:val="brajegyzk"/>
        <w:tabs>
          <w:tab w:val="right" w:leader="dot" w:pos="9350"/>
        </w:tabs>
        <w:rPr>
          <w:rFonts w:asciiTheme="minorHAnsi" w:eastAsiaTheme="minorEastAsia" w:hAnsiTheme="minorHAnsi"/>
          <w:noProof/>
          <w:lang w:val="hu-HU" w:eastAsia="hu-HU"/>
        </w:rPr>
      </w:pPr>
      <w:hyperlink w:anchor="_Toc218075165" w:history="1">
        <w:r w:rsidRPr="002C73C8">
          <w:rPr>
            <w:rStyle w:val="Hiperhivatkozs"/>
            <w:rFonts w:cs="Times New Roman"/>
            <w:noProof/>
            <w:lang w:val="hu-HU"/>
          </w:rPr>
          <w:t>3</w:t>
        </w:r>
        <w:r w:rsidRPr="002C73C8">
          <w:rPr>
            <w:rStyle w:val="Hiperhivatkozs"/>
            <w:noProof/>
          </w:rPr>
          <w:t>. ábra: A kummulált abnormális hozam eloszlás Trump</w:t>
        </w:r>
        <w:r>
          <w:rPr>
            <w:noProof/>
            <w:webHidden/>
          </w:rPr>
          <w:tab/>
        </w:r>
        <w:r>
          <w:rPr>
            <w:noProof/>
            <w:webHidden/>
          </w:rPr>
          <w:fldChar w:fldCharType="begin"/>
        </w:r>
        <w:r>
          <w:rPr>
            <w:noProof/>
            <w:webHidden/>
          </w:rPr>
          <w:instrText xml:space="preserve"> PAGEREF _Toc218075165 \h </w:instrText>
        </w:r>
        <w:r>
          <w:rPr>
            <w:noProof/>
            <w:webHidden/>
          </w:rPr>
        </w:r>
        <w:r>
          <w:rPr>
            <w:noProof/>
            <w:webHidden/>
          </w:rPr>
          <w:fldChar w:fldCharType="separate"/>
        </w:r>
        <w:r>
          <w:rPr>
            <w:noProof/>
            <w:webHidden/>
          </w:rPr>
          <w:t>23</w:t>
        </w:r>
        <w:r>
          <w:rPr>
            <w:noProof/>
            <w:webHidden/>
          </w:rPr>
          <w:fldChar w:fldCharType="end"/>
        </w:r>
      </w:hyperlink>
    </w:p>
    <w:p w14:paraId="13C39E80" w14:textId="1A086D9B" w:rsidR="00390762" w:rsidRDefault="00390762">
      <w:pPr>
        <w:pStyle w:val="brajegyzk"/>
        <w:tabs>
          <w:tab w:val="right" w:leader="dot" w:pos="9350"/>
        </w:tabs>
        <w:rPr>
          <w:rFonts w:asciiTheme="minorHAnsi" w:eastAsiaTheme="minorEastAsia" w:hAnsiTheme="minorHAnsi"/>
          <w:noProof/>
          <w:lang w:val="hu-HU" w:eastAsia="hu-HU"/>
        </w:rPr>
      </w:pPr>
      <w:hyperlink w:anchor="_Toc218075166" w:history="1">
        <w:r w:rsidRPr="002C73C8">
          <w:rPr>
            <w:rStyle w:val="Hiperhivatkozs"/>
            <w:rFonts w:cs="Times New Roman"/>
            <w:noProof/>
            <w:lang w:val="hu-HU"/>
          </w:rPr>
          <w:t>4</w:t>
        </w:r>
        <w:r w:rsidRPr="002C73C8">
          <w:rPr>
            <w:rStyle w:val="Hiperhivatkozs"/>
            <w:noProof/>
          </w:rPr>
          <w:t>. ábra: A kummulált abnormális hozam eloszlás Harris</w:t>
        </w:r>
        <w:r>
          <w:rPr>
            <w:noProof/>
            <w:webHidden/>
          </w:rPr>
          <w:tab/>
        </w:r>
        <w:r>
          <w:rPr>
            <w:noProof/>
            <w:webHidden/>
          </w:rPr>
          <w:fldChar w:fldCharType="begin"/>
        </w:r>
        <w:r>
          <w:rPr>
            <w:noProof/>
            <w:webHidden/>
          </w:rPr>
          <w:instrText xml:space="preserve"> PAGEREF _Toc218075166 \h </w:instrText>
        </w:r>
        <w:r>
          <w:rPr>
            <w:noProof/>
            <w:webHidden/>
          </w:rPr>
        </w:r>
        <w:r>
          <w:rPr>
            <w:noProof/>
            <w:webHidden/>
          </w:rPr>
          <w:fldChar w:fldCharType="separate"/>
        </w:r>
        <w:r>
          <w:rPr>
            <w:noProof/>
            <w:webHidden/>
          </w:rPr>
          <w:t>24</w:t>
        </w:r>
        <w:r>
          <w:rPr>
            <w:noProof/>
            <w:webHidden/>
          </w:rPr>
          <w:fldChar w:fldCharType="end"/>
        </w:r>
      </w:hyperlink>
    </w:p>
    <w:p w14:paraId="52A457DC" w14:textId="4A2BCB4B" w:rsidR="00390762" w:rsidRDefault="00390762">
      <w:pPr>
        <w:pStyle w:val="brajegyzk"/>
        <w:tabs>
          <w:tab w:val="right" w:leader="dot" w:pos="9350"/>
        </w:tabs>
        <w:rPr>
          <w:rFonts w:asciiTheme="minorHAnsi" w:eastAsiaTheme="minorEastAsia" w:hAnsiTheme="minorHAnsi"/>
          <w:noProof/>
          <w:lang w:val="hu-HU" w:eastAsia="hu-HU"/>
        </w:rPr>
      </w:pPr>
      <w:hyperlink w:anchor="_Toc218075167" w:history="1">
        <w:r w:rsidRPr="002C73C8">
          <w:rPr>
            <w:rStyle w:val="Hiperhivatkozs"/>
            <w:rFonts w:cs="Times New Roman"/>
            <w:noProof/>
            <w:lang w:val="hu-HU"/>
          </w:rPr>
          <w:t>5</w:t>
        </w:r>
        <w:r w:rsidRPr="002C73C8">
          <w:rPr>
            <w:rStyle w:val="Hiperhivatkozs"/>
            <w:noProof/>
          </w:rPr>
          <w:t>. ábra: A kummulált abnormális hozam eloszlás Tech</w:t>
        </w:r>
        <w:r>
          <w:rPr>
            <w:noProof/>
            <w:webHidden/>
          </w:rPr>
          <w:tab/>
        </w:r>
        <w:r>
          <w:rPr>
            <w:noProof/>
            <w:webHidden/>
          </w:rPr>
          <w:fldChar w:fldCharType="begin"/>
        </w:r>
        <w:r>
          <w:rPr>
            <w:noProof/>
            <w:webHidden/>
          </w:rPr>
          <w:instrText xml:space="preserve"> PAGEREF _Toc218075167 \h </w:instrText>
        </w:r>
        <w:r>
          <w:rPr>
            <w:noProof/>
            <w:webHidden/>
          </w:rPr>
        </w:r>
        <w:r>
          <w:rPr>
            <w:noProof/>
            <w:webHidden/>
          </w:rPr>
          <w:fldChar w:fldCharType="separate"/>
        </w:r>
        <w:r>
          <w:rPr>
            <w:noProof/>
            <w:webHidden/>
          </w:rPr>
          <w:t>25</w:t>
        </w:r>
        <w:r>
          <w:rPr>
            <w:noProof/>
            <w:webHidden/>
          </w:rPr>
          <w:fldChar w:fldCharType="end"/>
        </w:r>
      </w:hyperlink>
    </w:p>
    <w:p w14:paraId="6C7560E4" w14:textId="77777777" w:rsidR="00390762" w:rsidRDefault="00D15F43" w:rsidP="00FD7A3B">
      <w:pPr>
        <w:rPr>
          <w:noProof/>
        </w:rPr>
      </w:pPr>
      <w:r>
        <w:rPr>
          <w:rFonts w:cs="Times New Roman"/>
          <w:lang w:val="hu-HU"/>
        </w:rPr>
        <w:fldChar w:fldCharType="end"/>
      </w:r>
      <w:r w:rsidR="004E5737" w:rsidRPr="004E5737">
        <w:rPr>
          <w:rFonts w:eastAsiaTheme="majorEastAsia" w:cs="Times New Roman"/>
          <w:kern w:val="0"/>
          <w:sz w:val="32"/>
          <w:szCs w:val="32"/>
          <w:lang w:val="hu-HU" w:eastAsia="hu-HU"/>
          <w14:ligatures w14:val="none"/>
        </w:rPr>
        <w:t>Táblázatok jegyzé</w:t>
      </w:r>
      <w:r w:rsidR="004E5737">
        <w:rPr>
          <w:rFonts w:eastAsiaTheme="majorEastAsia" w:cs="Times New Roman"/>
          <w:kern w:val="0"/>
          <w:sz w:val="32"/>
          <w:szCs w:val="32"/>
          <w:lang w:val="hu-HU" w:eastAsia="hu-HU"/>
          <w14:ligatures w14:val="none"/>
        </w:rPr>
        <w:t>ke</w:t>
      </w:r>
      <w:r w:rsidR="00F10B29">
        <w:rPr>
          <w:rFonts w:cs="Times New Roman"/>
          <w:lang w:val="hu-HU"/>
        </w:rPr>
        <w:fldChar w:fldCharType="begin"/>
      </w:r>
      <w:r w:rsidR="00F10B29">
        <w:rPr>
          <w:rFonts w:cs="Times New Roman"/>
          <w:lang w:val="hu-HU"/>
        </w:rPr>
        <w:instrText xml:space="preserve"> TOC \h \z \c "táblázat" </w:instrText>
      </w:r>
      <w:r w:rsidR="00F10B29">
        <w:rPr>
          <w:rFonts w:cs="Times New Roman"/>
          <w:lang w:val="hu-HU"/>
        </w:rPr>
        <w:fldChar w:fldCharType="separate"/>
      </w:r>
    </w:p>
    <w:p w14:paraId="6E12FAEB" w14:textId="36822545" w:rsidR="00390762" w:rsidRDefault="00390762">
      <w:pPr>
        <w:pStyle w:val="brajegyzk"/>
        <w:tabs>
          <w:tab w:val="right" w:leader="dot" w:pos="9350"/>
        </w:tabs>
        <w:rPr>
          <w:rFonts w:asciiTheme="minorHAnsi" w:eastAsiaTheme="minorEastAsia" w:hAnsiTheme="minorHAnsi"/>
          <w:noProof/>
          <w:lang w:val="hu-HU" w:eastAsia="hu-HU"/>
        </w:rPr>
      </w:pPr>
      <w:hyperlink w:anchor="_Toc218075168" w:history="1">
        <w:r w:rsidRPr="003211EC">
          <w:rPr>
            <w:rStyle w:val="Hiperhivatkozs"/>
            <w:noProof/>
          </w:rPr>
          <w:t>1. táblázat: kummulált abnormális hozamok teljes mintán</w:t>
        </w:r>
        <w:r>
          <w:rPr>
            <w:noProof/>
            <w:webHidden/>
          </w:rPr>
          <w:tab/>
        </w:r>
        <w:r>
          <w:rPr>
            <w:noProof/>
            <w:webHidden/>
          </w:rPr>
          <w:fldChar w:fldCharType="begin"/>
        </w:r>
        <w:r>
          <w:rPr>
            <w:noProof/>
            <w:webHidden/>
          </w:rPr>
          <w:instrText xml:space="preserve"> PAGEREF _Toc218075168 \h </w:instrText>
        </w:r>
        <w:r>
          <w:rPr>
            <w:noProof/>
            <w:webHidden/>
          </w:rPr>
        </w:r>
        <w:r>
          <w:rPr>
            <w:noProof/>
            <w:webHidden/>
          </w:rPr>
          <w:fldChar w:fldCharType="separate"/>
        </w:r>
        <w:r>
          <w:rPr>
            <w:noProof/>
            <w:webHidden/>
          </w:rPr>
          <w:t>18</w:t>
        </w:r>
        <w:r>
          <w:rPr>
            <w:noProof/>
            <w:webHidden/>
          </w:rPr>
          <w:fldChar w:fldCharType="end"/>
        </w:r>
      </w:hyperlink>
    </w:p>
    <w:p w14:paraId="6930FF62" w14:textId="5DE34DFB" w:rsidR="00390762" w:rsidRDefault="00390762">
      <w:pPr>
        <w:pStyle w:val="brajegyzk"/>
        <w:tabs>
          <w:tab w:val="right" w:leader="dot" w:pos="9350"/>
        </w:tabs>
        <w:rPr>
          <w:rFonts w:asciiTheme="minorHAnsi" w:eastAsiaTheme="minorEastAsia" w:hAnsiTheme="minorHAnsi"/>
          <w:noProof/>
          <w:lang w:val="hu-HU" w:eastAsia="hu-HU"/>
        </w:rPr>
      </w:pPr>
      <w:hyperlink w:anchor="_Toc218075169" w:history="1">
        <w:r w:rsidRPr="003211EC">
          <w:rPr>
            <w:rStyle w:val="Hiperhivatkozs"/>
            <w:noProof/>
          </w:rPr>
          <w:t>2. táblázat: Szektoronként számított átlagos abnormális hozamok</w:t>
        </w:r>
        <w:r>
          <w:rPr>
            <w:noProof/>
            <w:webHidden/>
          </w:rPr>
          <w:tab/>
        </w:r>
        <w:r>
          <w:rPr>
            <w:noProof/>
            <w:webHidden/>
          </w:rPr>
          <w:fldChar w:fldCharType="begin"/>
        </w:r>
        <w:r>
          <w:rPr>
            <w:noProof/>
            <w:webHidden/>
          </w:rPr>
          <w:instrText xml:space="preserve"> PAGEREF _Toc218075169 \h </w:instrText>
        </w:r>
        <w:r>
          <w:rPr>
            <w:noProof/>
            <w:webHidden/>
          </w:rPr>
        </w:r>
        <w:r>
          <w:rPr>
            <w:noProof/>
            <w:webHidden/>
          </w:rPr>
          <w:fldChar w:fldCharType="separate"/>
        </w:r>
        <w:r>
          <w:rPr>
            <w:noProof/>
            <w:webHidden/>
          </w:rPr>
          <w:t>20</w:t>
        </w:r>
        <w:r>
          <w:rPr>
            <w:noProof/>
            <w:webHidden/>
          </w:rPr>
          <w:fldChar w:fldCharType="end"/>
        </w:r>
      </w:hyperlink>
    </w:p>
    <w:p w14:paraId="17C22FBD" w14:textId="76E42AC0" w:rsidR="00390762" w:rsidRDefault="00390762">
      <w:pPr>
        <w:pStyle w:val="brajegyzk"/>
        <w:tabs>
          <w:tab w:val="right" w:leader="dot" w:pos="9350"/>
        </w:tabs>
        <w:rPr>
          <w:rFonts w:asciiTheme="minorHAnsi" w:eastAsiaTheme="minorEastAsia" w:hAnsiTheme="minorHAnsi"/>
          <w:noProof/>
          <w:lang w:val="hu-HU" w:eastAsia="hu-HU"/>
        </w:rPr>
      </w:pPr>
      <w:hyperlink w:anchor="_Toc218075170" w:history="1">
        <w:r w:rsidRPr="003211EC">
          <w:rPr>
            <w:rStyle w:val="Hiperhivatkozs"/>
            <w:noProof/>
          </w:rPr>
          <w:t>3. táblázat: Részvénytípusonként számított kumulált átlagos abnormális hozamok</w:t>
        </w:r>
        <w:r>
          <w:rPr>
            <w:noProof/>
            <w:webHidden/>
          </w:rPr>
          <w:tab/>
        </w:r>
        <w:r>
          <w:rPr>
            <w:noProof/>
            <w:webHidden/>
          </w:rPr>
          <w:fldChar w:fldCharType="begin"/>
        </w:r>
        <w:r>
          <w:rPr>
            <w:noProof/>
            <w:webHidden/>
          </w:rPr>
          <w:instrText xml:space="preserve"> PAGEREF _Toc218075170 \h </w:instrText>
        </w:r>
        <w:r>
          <w:rPr>
            <w:noProof/>
            <w:webHidden/>
          </w:rPr>
        </w:r>
        <w:r>
          <w:rPr>
            <w:noProof/>
            <w:webHidden/>
          </w:rPr>
          <w:fldChar w:fldCharType="separate"/>
        </w:r>
        <w:r>
          <w:rPr>
            <w:noProof/>
            <w:webHidden/>
          </w:rPr>
          <w:t>26</w:t>
        </w:r>
        <w:r>
          <w:rPr>
            <w:noProof/>
            <w:webHidden/>
          </w:rPr>
          <w:fldChar w:fldCharType="end"/>
        </w:r>
      </w:hyperlink>
    </w:p>
    <w:p w14:paraId="0FAE3709" w14:textId="4DBA7949" w:rsidR="00390762" w:rsidRDefault="00390762">
      <w:pPr>
        <w:pStyle w:val="brajegyzk"/>
        <w:tabs>
          <w:tab w:val="right" w:leader="dot" w:pos="9350"/>
        </w:tabs>
        <w:rPr>
          <w:rFonts w:asciiTheme="minorHAnsi" w:eastAsiaTheme="minorEastAsia" w:hAnsiTheme="minorHAnsi"/>
          <w:noProof/>
          <w:lang w:val="hu-HU" w:eastAsia="hu-HU"/>
        </w:rPr>
      </w:pPr>
      <w:hyperlink w:anchor="_Toc218075171" w:history="1">
        <w:r w:rsidRPr="003211EC">
          <w:rPr>
            <w:rStyle w:val="Hiperhivatkozs"/>
            <w:noProof/>
          </w:rPr>
          <w:t>4. táblázat: Az elemzés során használt részvények csoportosítása.</w:t>
        </w:r>
        <w:r>
          <w:rPr>
            <w:noProof/>
            <w:webHidden/>
          </w:rPr>
          <w:tab/>
        </w:r>
        <w:r>
          <w:rPr>
            <w:noProof/>
            <w:webHidden/>
          </w:rPr>
          <w:fldChar w:fldCharType="begin"/>
        </w:r>
        <w:r>
          <w:rPr>
            <w:noProof/>
            <w:webHidden/>
          </w:rPr>
          <w:instrText xml:space="preserve"> PAGEREF _Toc218075171 \h </w:instrText>
        </w:r>
        <w:r>
          <w:rPr>
            <w:noProof/>
            <w:webHidden/>
          </w:rPr>
        </w:r>
        <w:r>
          <w:rPr>
            <w:noProof/>
            <w:webHidden/>
          </w:rPr>
          <w:fldChar w:fldCharType="separate"/>
        </w:r>
        <w:r>
          <w:rPr>
            <w:noProof/>
            <w:webHidden/>
          </w:rPr>
          <w:t>28</w:t>
        </w:r>
        <w:r>
          <w:rPr>
            <w:noProof/>
            <w:webHidden/>
          </w:rPr>
          <w:fldChar w:fldCharType="end"/>
        </w:r>
      </w:hyperlink>
    </w:p>
    <w:p w14:paraId="2C84CF64" w14:textId="389A976F" w:rsidR="004E5737" w:rsidRDefault="00F10B29" w:rsidP="00FD7A3B">
      <w:pPr>
        <w:rPr>
          <w:rFonts w:cs="Times New Roman"/>
          <w:lang w:val="hu-HU"/>
        </w:rPr>
      </w:pPr>
      <w:r>
        <w:rPr>
          <w:rFonts w:cs="Times New Roman"/>
          <w:lang w:val="hu-HU"/>
        </w:rPr>
        <w:fldChar w:fldCharType="end"/>
      </w:r>
    </w:p>
    <w:p w14:paraId="0ED5BC04" w14:textId="6D60F9CD" w:rsidR="00214446" w:rsidRPr="00A42090" w:rsidRDefault="004E5737" w:rsidP="004E5737">
      <w:pPr>
        <w:spacing w:before="0" w:after="160" w:line="278" w:lineRule="auto"/>
        <w:jc w:val="left"/>
        <w:rPr>
          <w:rFonts w:cs="Times New Roman"/>
          <w:lang w:val="hu-HU"/>
        </w:rPr>
      </w:pPr>
      <w:r>
        <w:rPr>
          <w:rFonts w:cs="Times New Roman"/>
          <w:lang w:val="hu-HU"/>
        </w:rPr>
        <w:br w:type="page"/>
      </w:r>
    </w:p>
    <w:p w14:paraId="238F5701" w14:textId="0C1B4A5C" w:rsidR="004A3707" w:rsidRPr="00A42090" w:rsidRDefault="004A3707" w:rsidP="00EC0BB1">
      <w:pPr>
        <w:pStyle w:val="Cmsor1"/>
        <w:spacing w:before="0"/>
        <w:rPr>
          <w:rFonts w:cs="Times New Roman"/>
          <w:lang w:val="hu-HU"/>
        </w:rPr>
      </w:pPr>
      <w:bookmarkStart w:id="0" w:name="_Toc218075144"/>
      <w:r w:rsidRPr="00A42090">
        <w:rPr>
          <w:rFonts w:cs="Times New Roman"/>
          <w:lang w:val="hu-HU"/>
        </w:rPr>
        <w:lastRenderedPageBreak/>
        <w:t>Bevezetés</w:t>
      </w:r>
      <w:bookmarkEnd w:id="0"/>
    </w:p>
    <w:p w14:paraId="16BCF94D" w14:textId="0F0A639A" w:rsidR="00ED2FE8" w:rsidRPr="00A42090" w:rsidRDefault="00ED2FE8" w:rsidP="00ED2FE8">
      <w:pPr>
        <w:rPr>
          <w:rFonts w:cs="Times New Roman"/>
          <w:lang w:val="hu-HU"/>
        </w:rPr>
      </w:pPr>
      <w:r w:rsidRPr="00A42090">
        <w:rPr>
          <w:rFonts w:cs="Times New Roman"/>
          <w:lang w:val="hu-HU"/>
        </w:rPr>
        <w:t>Az amerikai elnökválasztások jelentős bizonytalanságot kelthetnek a részvénypiacokon, mivel a választási eredmények közvetlen hatással lehetnek a szabályozói környezetre, adópolitikára és ágazati támogatásokra. A politikai események piaci reakcióinak vizsgálata ezért kulcsfontosságú a befektetők és a kutatók számára, különösen rövid távon, amikor az információ gyorsan beépül az árakba. Jelen kutatás során az eseményelemzés módszerét alkalmazzuk az egyes politikai eseményekhez kapcsolódó abnormális hozamok vizsgálatára, elkülönítve az általános piaci mozgásoktól.</w:t>
      </w:r>
    </w:p>
    <w:p w14:paraId="33C99972" w14:textId="1E33AB3B" w:rsidR="00ED2FE8" w:rsidRPr="00A42090" w:rsidRDefault="00ED2FE8" w:rsidP="00ED2FE8">
      <w:pPr>
        <w:rPr>
          <w:rFonts w:cs="Times New Roman"/>
          <w:lang w:val="hu-HU"/>
        </w:rPr>
      </w:pPr>
      <w:r w:rsidRPr="00A42090">
        <w:rPr>
          <w:rFonts w:cs="Times New Roman"/>
          <w:lang w:val="hu-HU"/>
        </w:rPr>
        <w:t xml:space="preserve">Korábbi empirikus vizsgálatok kimutatták, hogy a politikai bizonytalanság növeli a volatilitást és szektor-specifikus hatásokat generál a részvénypiacokon (Baker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2016; Pástor &amp; </w:t>
      </w:r>
      <w:proofErr w:type="spellStart"/>
      <w:r w:rsidRPr="00A42090">
        <w:rPr>
          <w:rFonts w:cs="Times New Roman"/>
          <w:lang w:val="hu-HU"/>
        </w:rPr>
        <w:t>Veronesi</w:t>
      </w:r>
      <w:proofErr w:type="spellEnd"/>
      <w:r w:rsidRPr="00A42090">
        <w:rPr>
          <w:rFonts w:cs="Times New Roman"/>
          <w:lang w:val="hu-HU"/>
        </w:rPr>
        <w:t xml:space="preserve">, 2013; </w:t>
      </w:r>
      <w:proofErr w:type="spellStart"/>
      <w:r w:rsidRPr="00A42090">
        <w:rPr>
          <w:rFonts w:cs="Times New Roman"/>
          <w:lang w:val="hu-HU"/>
        </w:rPr>
        <w:t>Białkowski</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2008). Az amerikai elnökválasztások rövid távú hatásait vizsgáló kutatások szerint a piacok reagálnak a választási eredményekre, de a reakciók heterogének és időben eltérően jelentkeznek (</w:t>
      </w:r>
      <w:proofErr w:type="spellStart"/>
      <w:r w:rsidRPr="00A42090">
        <w:rPr>
          <w:rFonts w:cs="Times New Roman"/>
          <w:lang w:val="hu-HU"/>
        </w:rPr>
        <w:t>Oehler</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2014; </w:t>
      </w:r>
      <w:proofErr w:type="spellStart"/>
      <w:r w:rsidRPr="00A42090">
        <w:rPr>
          <w:rFonts w:cs="Times New Roman"/>
          <w:lang w:val="hu-HU"/>
        </w:rPr>
        <w:t>Bouoiyour</w:t>
      </w:r>
      <w:proofErr w:type="spellEnd"/>
      <w:r w:rsidRPr="00A42090">
        <w:rPr>
          <w:rFonts w:cs="Times New Roman"/>
          <w:lang w:val="hu-HU"/>
        </w:rPr>
        <w:t xml:space="preserve"> &amp; </w:t>
      </w:r>
      <w:proofErr w:type="spellStart"/>
      <w:r w:rsidRPr="00A42090">
        <w:rPr>
          <w:rFonts w:cs="Times New Roman"/>
          <w:lang w:val="hu-HU"/>
        </w:rPr>
        <w:t>Selmi</w:t>
      </w:r>
      <w:proofErr w:type="spellEnd"/>
      <w:r w:rsidRPr="00A42090">
        <w:rPr>
          <w:rFonts w:cs="Times New Roman"/>
          <w:lang w:val="hu-HU"/>
        </w:rPr>
        <w:t xml:space="preserve">, 2016; </w:t>
      </w:r>
      <w:proofErr w:type="spellStart"/>
      <w:r w:rsidRPr="00A42090">
        <w:rPr>
          <w:rFonts w:cs="Times New Roman"/>
          <w:lang w:val="hu-HU"/>
        </w:rPr>
        <w:t>Diaconaşu</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2023). Emellett a politikai hírek, előzetes felmérések és a közösségi médiában megjelenő narratívák szintén érdemben befolyásolhatják a befektetői magatartást (Fan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2020; Li &amp; </w:t>
      </w:r>
      <w:proofErr w:type="spellStart"/>
      <w:r w:rsidRPr="00A42090">
        <w:rPr>
          <w:rFonts w:cs="Times New Roman"/>
          <w:lang w:val="hu-HU"/>
        </w:rPr>
        <w:t>Born</w:t>
      </w:r>
      <w:proofErr w:type="spellEnd"/>
      <w:r w:rsidRPr="00A42090">
        <w:rPr>
          <w:rFonts w:cs="Times New Roman"/>
          <w:lang w:val="hu-HU"/>
        </w:rPr>
        <w:t>, 2006).</w:t>
      </w:r>
    </w:p>
    <w:p w14:paraId="50CD3BB2" w14:textId="2C7829D3" w:rsidR="00E46B96" w:rsidRPr="00A42090" w:rsidRDefault="00ED2FE8" w:rsidP="00ED2FE8">
      <w:pPr>
        <w:rPr>
          <w:rFonts w:cs="Times New Roman"/>
          <w:lang w:val="hu-HU"/>
        </w:rPr>
      </w:pPr>
      <w:r w:rsidRPr="00A42090">
        <w:rPr>
          <w:rFonts w:cs="Times New Roman"/>
          <w:lang w:val="hu-HU"/>
        </w:rPr>
        <w:t xml:space="preserve">Jelen kutatás célja, hogy a 2024-es amerikai elnökválasztás hatását vizsgálja a kiválasztott részvények árfolyamára szektorspecifikus bontásban, különös tekintettel a </w:t>
      </w:r>
      <w:proofErr w:type="spellStart"/>
      <w:r w:rsidRPr="00A42090">
        <w:rPr>
          <w:rFonts w:cs="Times New Roman"/>
          <w:lang w:val="hu-HU"/>
        </w:rPr>
        <w:t>Trump</w:t>
      </w:r>
      <w:proofErr w:type="spellEnd"/>
      <w:r w:rsidRPr="00A42090">
        <w:rPr>
          <w:rFonts w:cs="Times New Roman"/>
          <w:lang w:val="hu-HU"/>
        </w:rPr>
        <w:t>-hoz, Harris-hez kötődő vállalatokra, valamint a technológiai szektorra. Az elemzés lehetővé teszi, hogy feltárjuk, mely részvénycsoportok reagáltak szignifikánsan a politikai eseményre, és hogyan épült be a választási információ a piaci árakba rövid távon, hozzájárulva a politikai bizonytalanság és a részvénypiacok kapcsolatának megértéséhez.</w:t>
      </w:r>
      <w:r w:rsidR="00AF5B69">
        <w:rPr>
          <w:rFonts w:cs="Times New Roman"/>
          <w:lang w:val="hu-HU"/>
        </w:rPr>
        <w:t xml:space="preserve"> </w:t>
      </w:r>
      <w:r w:rsidR="00C736F6" w:rsidRPr="00C736F6">
        <w:rPr>
          <w:rFonts w:cs="Times New Roman"/>
          <w:lang w:val="hu-HU"/>
        </w:rPr>
        <w:t xml:space="preserve">A kutatás keretében arra számítunk, hogy az </w:t>
      </w:r>
      <w:r w:rsidR="00C736F6" w:rsidRPr="00C736F6">
        <w:rPr>
          <w:rFonts w:cs="Times New Roman"/>
          <w:lang w:val="hu-HU"/>
        </w:rPr>
        <w:lastRenderedPageBreak/>
        <w:t xml:space="preserve">elnökválasztás eredménye rövid távon szignifikáns abnormális hozamokat generál a kiválasztott részvényeken. Ugyanakkor a hatások nem lesznek egységesek a részvénypiacon: a várakozás szerint a </w:t>
      </w:r>
      <w:proofErr w:type="spellStart"/>
      <w:r w:rsidR="00C736F6" w:rsidRPr="00C736F6">
        <w:rPr>
          <w:rFonts w:cs="Times New Roman"/>
          <w:lang w:val="hu-HU"/>
        </w:rPr>
        <w:t>Trump</w:t>
      </w:r>
      <w:proofErr w:type="spellEnd"/>
      <w:r w:rsidR="00C736F6" w:rsidRPr="00C736F6">
        <w:rPr>
          <w:rFonts w:cs="Times New Roman"/>
          <w:lang w:val="hu-HU"/>
        </w:rPr>
        <w:t>-hoz és a technológiai szektorhoz kötődő vállalatok részvényei pozitív irányban reagálnak, míg a Harris-hez kötődő vállalatok esetében a hatás negatív lesz.</w:t>
      </w:r>
    </w:p>
    <w:p w14:paraId="6FE2FE11" w14:textId="0A55AC0F" w:rsidR="00EC0BB1" w:rsidRPr="00A42090" w:rsidRDefault="004A3707" w:rsidP="00EC0BB1">
      <w:pPr>
        <w:pStyle w:val="Cmsor1"/>
        <w:spacing w:before="0"/>
        <w:rPr>
          <w:rFonts w:cs="Times New Roman"/>
          <w:bCs/>
          <w:sz w:val="28"/>
          <w:szCs w:val="28"/>
        </w:rPr>
      </w:pPr>
      <w:bookmarkStart w:id="1" w:name="_Toc218075145"/>
      <w:r w:rsidRPr="00A42090">
        <w:rPr>
          <w:rFonts w:cs="Times New Roman"/>
          <w:lang w:val="hu-HU"/>
        </w:rPr>
        <w:t>Sz</w:t>
      </w:r>
      <w:r w:rsidR="00EC0BB1" w:rsidRPr="00A42090">
        <w:rPr>
          <w:rFonts w:cs="Times New Roman"/>
          <w:lang w:val="hu-HU"/>
        </w:rPr>
        <w:t>akirodalmi</w:t>
      </w:r>
      <w:r w:rsidR="00EC0BB1" w:rsidRPr="00A42090">
        <w:rPr>
          <w:rFonts w:cs="Times New Roman"/>
          <w:bCs/>
          <w:sz w:val="28"/>
          <w:szCs w:val="28"/>
        </w:rPr>
        <w:t xml:space="preserve"> </w:t>
      </w:r>
      <w:proofErr w:type="spellStart"/>
      <w:r w:rsidR="00EC0BB1" w:rsidRPr="00A42090">
        <w:rPr>
          <w:rFonts w:cs="Times New Roman"/>
          <w:bCs/>
          <w:sz w:val="28"/>
          <w:szCs w:val="28"/>
        </w:rPr>
        <w:t>áttekintés</w:t>
      </w:r>
      <w:bookmarkEnd w:id="1"/>
      <w:proofErr w:type="spellEnd"/>
    </w:p>
    <w:p w14:paraId="2E763C7C" w14:textId="141C4128" w:rsidR="00EC0BB1" w:rsidRPr="00A42090" w:rsidRDefault="0053674A" w:rsidP="0053674A">
      <w:pPr>
        <w:pStyle w:val="Cmsor2"/>
        <w:rPr>
          <w:rFonts w:cs="Times New Roman"/>
          <w:bCs/>
          <w:szCs w:val="24"/>
        </w:rPr>
      </w:pPr>
      <w:bookmarkStart w:id="2" w:name="_Toc218075146"/>
      <w:r w:rsidRPr="00A42090">
        <w:rPr>
          <w:rFonts w:cs="Times New Roman"/>
          <w:bCs/>
          <w:szCs w:val="24"/>
        </w:rPr>
        <w:t xml:space="preserve">Az </w:t>
      </w:r>
      <w:r w:rsidRPr="00A42090">
        <w:rPr>
          <w:rFonts w:cs="Times New Roman"/>
          <w:lang w:val="hu-HU"/>
        </w:rPr>
        <w:t>eseményvizsgálat</w:t>
      </w:r>
      <w:r w:rsidRPr="00A42090">
        <w:rPr>
          <w:rFonts w:cs="Times New Roman"/>
          <w:bCs/>
          <w:szCs w:val="24"/>
        </w:rPr>
        <w:t xml:space="preserve"> </w:t>
      </w:r>
      <w:proofErr w:type="spellStart"/>
      <w:r w:rsidRPr="00A42090">
        <w:rPr>
          <w:rFonts w:cs="Times New Roman"/>
          <w:bCs/>
          <w:szCs w:val="24"/>
        </w:rPr>
        <w:t>módszertani</w:t>
      </w:r>
      <w:proofErr w:type="spellEnd"/>
      <w:r w:rsidRPr="00A42090">
        <w:rPr>
          <w:rFonts w:cs="Times New Roman"/>
          <w:bCs/>
          <w:szCs w:val="24"/>
        </w:rPr>
        <w:t xml:space="preserve"> </w:t>
      </w:r>
      <w:proofErr w:type="spellStart"/>
      <w:r w:rsidRPr="00A42090">
        <w:rPr>
          <w:rFonts w:cs="Times New Roman"/>
          <w:bCs/>
          <w:szCs w:val="24"/>
        </w:rPr>
        <w:t>alapjai</w:t>
      </w:r>
      <w:proofErr w:type="spellEnd"/>
      <w:r w:rsidRPr="00A42090">
        <w:rPr>
          <w:rFonts w:cs="Times New Roman"/>
          <w:bCs/>
          <w:szCs w:val="24"/>
        </w:rPr>
        <w:t xml:space="preserve"> </w:t>
      </w:r>
      <w:proofErr w:type="spellStart"/>
      <w:r w:rsidRPr="00A42090">
        <w:rPr>
          <w:rFonts w:cs="Times New Roman"/>
          <w:bCs/>
          <w:szCs w:val="24"/>
        </w:rPr>
        <w:t>és</w:t>
      </w:r>
      <w:proofErr w:type="spellEnd"/>
      <w:r w:rsidRPr="00A42090">
        <w:rPr>
          <w:rFonts w:cs="Times New Roman"/>
          <w:bCs/>
          <w:szCs w:val="24"/>
        </w:rPr>
        <w:t xml:space="preserve"> </w:t>
      </w:r>
      <w:proofErr w:type="spellStart"/>
      <w:r w:rsidRPr="00A42090">
        <w:rPr>
          <w:rFonts w:cs="Times New Roman"/>
          <w:bCs/>
          <w:szCs w:val="24"/>
        </w:rPr>
        <w:t>alkalmazhatósága</w:t>
      </w:r>
      <w:proofErr w:type="spellEnd"/>
      <w:r w:rsidRPr="00A42090">
        <w:rPr>
          <w:rFonts w:cs="Times New Roman"/>
          <w:bCs/>
          <w:szCs w:val="24"/>
        </w:rPr>
        <w:t xml:space="preserve"> </w:t>
      </w:r>
      <w:proofErr w:type="spellStart"/>
      <w:r w:rsidRPr="00A42090">
        <w:rPr>
          <w:rFonts w:cs="Times New Roman"/>
          <w:bCs/>
          <w:szCs w:val="24"/>
        </w:rPr>
        <w:t>politikai</w:t>
      </w:r>
      <w:proofErr w:type="spellEnd"/>
      <w:r w:rsidRPr="00A42090">
        <w:rPr>
          <w:rFonts w:cs="Times New Roman"/>
          <w:bCs/>
          <w:szCs w:val="24"/>
        </w:rPr>
        <w:t xml:space="preserve"> </w:t>
      </w:r>
      <w:proofErr w:type="spellStart"/>
      <w:r w:rsidRPr="00A42090">
        <w:rPr>
          <w:rFonts w:cs="Times New Roman"/>
          <w:bCs/>
          <w:szCs w:val="24"/>
        </w:rPr>
        <w:t>események</w:t>
      </w:r>
      <w:proofErr w:type="spellEnd"/>
      <w:r w:rsidRPr="00A42090">
        <w:rPr>
          <w:rFonts w:cs="Times New Roman"/>
          <w:bCs/>
          <w:szCs w:val="24"/>
        </w:rPr>
        <w:t xml:space="preserve"> </w:t>
      </w:r>
      <w:proofErr w:type="spellStart"/>
      <w:r w:rsidRPr="00A42090">
        <w:rPr>
          <w:rFonts w:cs="Times New Roman"/>
          <w:bCs/>
          <w:szCs w:val="24"/>
        </w:rPr>
        <w:t>esetén</w:t>
      </w:r>
      <w:bookmarkEnd w:id="2"/>
      <w:proofErr w:type="spellEnd"/>
    </w:p>
    <w:p w14:paraId="59EB4220" w14:textId="77777777" w:rsidR="008136C9" w:rsidRPr="00A42090" w:rsidRDefault="008136C9" w:rsidP="008136C9">
      <w:pPr>
        <w:rPr>
          <w:rFonts w:cs="Times New Roman"/>
          <w:lang w:val="hu-HU"/>
        </w:rPr>
      </w:pPr>
      <w:r w:rsidRPr="00A42090">
        <w:rPr>
          <w:rFonts w:cs="Times New Roman"/>
          <w:lang w:val="hu-HU"/>
        </w:rPr>
        <w:t>Az eseményvizsgálat (</w:t>
      </w:r>
      <w:proofErr w:type="spellStart"/>
      <w:r w:rsidRPr="00A42090">
        <w:rPr>
          <w:rFonts w:cs="Times New Roman"/>
          <w:lang w:val="hu-HU"/>
        </w:rPr>
        <w:t>event</w:t>
      </w:r>
      <w:proofErr w:type="spellEnd"/>
      <w:r w:rsidRPr="00A42090">
        <w:rPr>
          <w:rFonts w:cs="Times New Roman"/>
          <w:lang w:val="hu-HU"/>
        </w:rPr>
        <w:t xml:space="preserve"> </w:t>
      </w:r>
      <w:proofErr w:type="spellStart"/>
      <w:r w:rsidRPr="00A42090">
        <w:rPr>
          <w:rFonts w:cs="Times New Roman"/>
          <w:lang w:val="hu-HU"/>
        </w:rPr>
        <w:t>study</w:t>
      </w:r>
      <w:proofErr w:type="spellEnd"/>
      <w:r w:rsidRPr="00A42090">
        <w:rPr>
          <w:rFonts w:cs="Times New Roman"/>
          <w:lang w:val="hu-HU"/>
        </w:rPr>
        <w:t xml:space="preserve">) a pénzügyi közgazdaságtan egyik legszélesebb körben alkalmazott empirikus módszere, amely lehetővé teszi egy jól </w:t>
      </w:r>
      <w:proofErr w:type="spellStart"/>
      <w:r w:rsidRPr="00A42090">
        <w:rPr>
          <w:rFonts w:cs="Times New Roman"/>
          <w:lang w:val="hu-HU"/>
        </w:rPr>
        <w:t>körülhatárolható</w:t>
      </w:r>
      <w:proofErr w:type="spellEnd"/>
      <w:r w:rsidRPr="00A42090">
        <w:rPr>
          <w:rFonts w:cs="Times New Roman"/>
          <w:lang w:val="hu-HU"/>
        </w:rPr>
        <w:t xml:space="preserve"> esemény rövid távú hatásának mérését a részvényárfolyamokra. A módszer különösen alkalmas olyan hirtelen információs sokkok elemzésére, mint amilyen egy választási eredmény bejelentése, mivel feltételezi, hogy a pénzügyi piacok gyorsan reagálnak az új információkra.</w:t>
      </w:r>
    </w:p>
    <w:p w14:paraId="3154B57F" w14:textId="77777777" w:rsidR="008136C9" w:rsidRPr="00A42090" w:rsidRDefault="008136C9" w:rsidP="008136C9">
      <w:pPr>
        <w:rPr>
          <w:rFonts w:cs="Times New Roman"/>
          <w:lang w:val="hu-HU"/>
        </w:rPr>
      </w:pPr>
      <w:r w:rsidRPr="00A42090">
        <w:rPr>
          <w:rFonts w:cs="Times New Roman"/>
          <w:lang w:val="hu-HU"/>
        </w:rPr>
        <w:t xml:space="preserve">A módszertan klasszikus alapművének tekinthető Brown és Warner (1985) tanulmánya, amely empirikusan igazolja, hogy az eseményvizsgálati eljárások napi részvényhozamok esetén is megbízhatóan működnek. A szerzők kimutatják, hogy még egyszerű normálhozam-modellek (például az átlaghozam-modell vagy a market </w:t>
      </w:r>
      <w:proofErr w:type="spellStart"/>
      <w:r w:rsidRPr="00A42090">
        <w:rPr>
          <w:rFonts w:cs="Times New Roman"/>
          <w:lang w:val="hu-HU"/>
        </w:rPr>
        <w:t>model</w:t>
      </w:r>
      <w:proofErr w:type="spellEnd"/>
      <w:r w:rsidRPr="00A42090">
        <w:rPr>
          <w:rFonts w:cs="Times New Roman"/>
          <w:lang w:val="hu-HU"/>
        </w:rPr>
        <w:t xml:space="preserve">) alkalmazása mellett is jól specifikált statisztikai tesztekhez juthatunk, még akkor is, ha az adatok </w:t>
      </w:r>
      <w:proofErr w:type="spellStart"/>
      <w:r w:rsidRPr="00A42090">
        <w:rPr>
          <w:rFonts w:cs="Times New Roman"/>
          <w:lang w:val="hu-HU"/>
        </w:rPr>
        <w:t>autokorrelációt</w:t>
      </w:r>
      <w:proofErr w:type="spellEnd"/>
      <w:r w:rsidRPr="00A42090">
        <w:rPr>
          <w:rFonts w:cs="Times New Roman"/>
          <w:lang w:val="hu-HU"/>
        </w:rPr>
        <w:t xml:space="preserve"> vagy </w:t>
      </w:r>
      <w:proofErr w:type="spellStart"/>
      <w:r w:rsidRPr="00A42090">
        <w:rPr>
          <w:rFonts w:cs="Times New Roman"/>
          <w:lang w:val="hu-HU"/>
        </w:rPr>
        <w:t>heteroszkedaszticitást</w:t>
      </w:r>
      <w:proofErr w:type="spellEnd"/>
      <w:r w:rsidRPr="00A42090">
        <w:rPr>
          <w:rFonts w:cs="Times New Roman"/>
          <w:lang w:val="hu-HU"/>
        </w:rPr>
        <w:t xml:space="preserve"> mutatnak (Brown &amp; Warner, 1985). Ezek az eredmények kulcsfontosságúak jelen kutatás szempontjából, mivel a 2024-es amerikai elnökválasztás hatásait napi részvényárfolyam-adatokon, rövid eseményablak segítségével vizsgáljuk.</w:t>
      </w:r>
    </w:p>
    <w:p w14:paraId="19C383E2" w14:textId="77777777" w:rsidR="008136C9" w:rsidRPr="00A42090" w:rsidRDefault="008136C9" w:rsidP="008136C9">
      <w:pPr>
        <w:rPr>
          <w:rFonts w:cs="Times New Roman"/>
          <w:lang w:val="hu-HU"/>
        </w:rPr>
      </w:pPr>
      <w:r w:rsidRPr="00A42090">
        <w:rPr>
          <w:rFonts w:cs="Times New Roman"/>
          <w:lang w:val="hu-HU"/>
        </w:rPr>
        <w:t xml:space="preserve">A módszertani keretet </w:t>
      </w:r>
      <w:proofErr w:type="spellStart"/>
      <w:r w:rsidRPr="00A42090">
        <w:rPr>
          <w:rFonts w:cs="Times New Roman"/>
          <w:lang w:val="hu-HU"/>
        </w:rPr>
        <w:t>MacKinlay</w:t>
      </w:r>
      <w:proofErr w:type="spellEnd"/>
      <w:r w:rsidRPr="00A42090">
        <w:rPr>
          <w:rFonts w:cs="Times New Roman"/>
          <w:lang w:val="hu-HU"/>
        </w:rPr>
        <w:t xml:space="preserve"> (1997) foglalja össze átfogó módon. A szerző részletesen bemutatja az eseményvizsgálat lépéseit: az esemény pontos definiálását, az esemény- és becslési </w:t>
      </w:r>
      <w:r w:rsidRPr="00A42090">
        <w:rPr>
          <w:rFonts w:cs="Times New Roman"/>
          <w:lang w:val="hu-HU"/>
        </w:rPr>
        <w:lastRenderedPageBreak/>
        <w:t xml:space="preserve">ablak meghatározását, a normál hozamok becslését, az abnormális és kumulált abnormális hozamok kiszámítását, valamint a statisztikai tesztelés módjait. </w:t>
      </w:r>
      <w:proofErr w:type="spellStart"/>
      <w:r w:rsidRPr="00A42090">
        <w:rPr>
          <w:rFonts w:cs="Times New Roman"/>
          <w:lang w:val="hu-HU"/>
        </w:rPr>
        <w:t>MacKinlay</w:t>
      </w:r>
      <w:proofErr w:type="spellEnd"/>
      <w:r w:rsidRPr="00A42090">
        <w:rPr>
          <w:rFonts w:cs="Times New Roman"/>
          <w:lang w:val="hu-HU"/>
        </w:rPr>
        <w:t xml:space="preserve"> hangsúlyozza, hogy az eseményvizsgálat különösen alkalmas rövid távú piaci reakciók elemzésére, ugyanakkor felhívja a figyelmet az egyidejű zavaró események és a modellválasztásból fakadó torzítások kezelésének fontosságára (</w:t>
      </w:r>
      <w:proofErr w:type="spellStart"/>
      <w:r w:rsidRPr="00A42090">
        <w:rPr>
          <w:rFonts w:cs="Times New Roman"/>
          <w:lang w:val="hu-HU"/>
        </w:rPr>
        <w:t>MacKinlay</w:t>
      </w:r>
      <w:proofErr w:type="spellEnd"/>
      <w:r w:rsidRPr="00A42090">
        <w:rPr>
          <w:rFonts w:cs="Times New Roman"/>
          <w:lang w:val="hu-HU"/>
        </w:rPr>
        <w:t>, 1997). Ezek az elvek közvetlenül meghatározzák jelen kutatás empirikus felépítését.</w:t>
      </w:r>
    </w:p>
    <w:p w14:paraId="7CA73829" w14:textId="77777777" w:rsidR="008136C9" w:rsidRPr="00A42090" w:rsidRDefault="008136C9" w:rsidP="008136C9">
      <w:pPr>
        <w:rPr>
          <w:rFonts w:cs="Times New Roman"/>
          <w:lang w:val="hu-HU"/>
        </w:rPr>
      </w:pPr>
      <w:proofErr w:type="spellStart"/>
      <w:r w:rsidRPr="00A42090">
        <w:rPr>
          <w:rFonts w:cs="Times New Roman"/>
          <w:lang w:val="hu-HU"/>
        </w:rPr>
        <w:t>Oehler</w:t>
      </w:r>
      <w:proofErr w:type="spellEnd"/>
      <w:r w:rsidRPr="00A42090">
        <w:rPr>
          <w:rFonts w:cs="Times New Roman"/>
          <w:lang w:val="hu-HU"/>
        </w:rPr>
        <w:t xml:space="preserve"> és társai (2014) tanulmányukban azt vizsgálják, hogy az Amerikai Egyesült Államok elnökválasztási eredményeinek kihirdetése hogyan befolyásolta a részvényárfolyamok teljesítményét 1980 és 2008 között. Empirikus elemzésükben eseményelemzési módszert alkalmaznak, amely lehetővé teszi, hogy a választási esemény eredményének közzétételéhez kapcsolódó abnormális hozamokat azonosítsanak a választási döntés körüli időszakban. Az eredmények rámutatnak, hogy a választási eredmények nyilvánosságra kerülése jelentős reakciókat vált ki a részvénypiacokon, ami alátámasztja azt a feltételezést, hogy a politikai bizonytalanság feloldódása vagy </w:t>
      </w:r>
      <w:proofErr w:type="spellStart"/>
      <w:r w:rsidRPr="00A42090">
        <w:rPr>
          <w:rFonts w:cs="Times New Roman"/>
          <w:lang w:val="hu-HU"/>
        </w:rPr>
        <w:t>újraértékelődése</w:t>
      </w:r>
      <w:proofErr w:type="spellEnd"/>
      <w:r w:rsidRPr="00A42090">
        <w:rPr>
          <w:rFonts w:cs="Times New Roman"/>
          <w:lang w:val="hu-HU"/>
        </w:rPr>
        <w:t xml:space="preserve"> közvetlenül hat a részvényárfolyamokra. A tanulmány továbbá arra is rávilágít, hogy a piacok érzékenyek a politikai eredményekre, és ez a hatás nem korlátozódik csupán a volatilitás növekedésére, hanem az abnormális hozamok eloszlásában is kimutatható (</w:t>
      </w:r>
      <w:proofErr w:type="spellStart"/>
      <w:r w:rsidRPr="00A42090">
        <w:rPr>
          <w:rFonts w:cs="Times New Roman"/>
          <w:lang w:val="hu-HU"/>
        </w:rPr>
        <w:t>Oehler</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2014). Ezek az empirikus bizonyítékok hasznos összevetést nyújtanak a 2024-es amerikai elnökválasztásra vonatkozó vizsgálatokhoz, mivel rámutatnak arra, hogy a választási eredmények piaci árazása már hosszabb időszakban is kimutatható jelenség volt az amerikai részvénypiacokon.</w:t>
      </w:r>
    </w:p>
    <w:p w14:paraId="765FFACB" w14:textId="2B5AB88B" w:rsidR="0053674A" w:rsidRPr="00A42090" w:rsidRDefault="00B46AB7" w:rsidP="00B46AB7">
      <w:pPr>
        <w:pStyle w:val="Cmsor2"/>
        <w:rPr>
          <w:rFonts w:cs="Times New Roman"/>
          <w:bCs/>
          <w:szCs w:val="24"/>
        </w:rPr>
      </w:pPr>
      <w:bookmarkStart w:id="3" w:name="_Toc218075147"/>
      <w:r w:rsidRPr="00A42090">
        <w:rPr>
          <w:rFonts w:cs="Times New Roman"/>
          <w:lang w:val="hu-HU"/>
        </w:rPr>
        <w:lastRenderedPageBreak/>
        <w:t>Politikai</w:t>
      </w:r>
      <w:r w:rsidRPr="00A42090">
        <w:rPr>
          <w:rFonts w:cs="Times New Roman"/>
          <w:bCs/>
          <w:szCs w:val="24"/>
        </w:rPr>
        <w:t xml:space="preserve"> </w:t>
      </w:r>
      <w:proofErr w:type="spellStart"/>
      <w:r w:rsidRPr="00A42090">
        <w:rPr>
          <w:rFonts w:cs="Times New Roman"/>
          <w:bCs/>
          <w:szCs w:val="24"/>
        </w:rPr>
        <w:t>bizonytalanság</w:t>
      </w:r>
      <w:proofErr w:type="spellEnd"/>
      <w:r w:rsidRPr="00A42090">
        <w:rPr>
          <w:rFonts w:cs="Times New Roman"/>
          <w:bCs/>
          <w:szCs w:val="24"/>
        </w:rPr>
        <w:t xml:space="preserve"> </w:t>
      </w:r>
      <w:proofErr w:type="spellStart"/>
      <w:r w:rsidRPr="00A42090">
        <w:rPr>
          <w:rFonts w:cs="Times New Roman"/>
          <w:bCs/>
          <w:szCs w:val="24"/>
        </w:rPr>
        <w:t>és</w:t>
      </w:r>
      <w:proofErr w:type="spellEnd"/>
      <w:r w:rsidRPr="00A42090">
        <w:rPr>
          <w:rFonts w:cs="Times New Roman"/>
          <w:bCs/>
          <w:szCs w:val="24"/>
        </w:rPr>
        <w:t xml:space="preserve"> </w:t>
      </w:r>
      <w:proofErr w:type="spellStart"/>
      <w:r w:rsidRPr="00A42090">
        <w:rPr>
          <w:rFonts w:cs="Times New Roman"/>
          <w:bCs/>
          <w:szCs w:val="24"/>
        </w:rPr>
        <w:t>részvénypiaci</w:t>
      </w:r>
      <w:proofErr w:type="spellEnd"/>
      <w:r w:rsidRPr="00A42090">
        <w:rPr>
          <w:rFonts w:cs="Times New Roman"/>
          <w:bCs/>
          <w:szCs w:val="24"/>
        </w:rPr>
        <w:t xml:space="preserve"> </w:t>
      </w:r>
      <w:proofErr w:type="spellStart"/>
      <w:r w:rsidRPr="00A42090">
        <w:rPr>
          <w:rFonts w:cs="Times New Roman"/>
          <w:bCs/>
          <w:szCs w:val="24"/>
        </w:rPr>
        <w:t>reakciók</w:t>
      </w:r>
      <w:proofErr w:type="spellEnd"/>
      <w:r w:rsidRPr="00A42090">
        <w:rPr>
          <w:rFonts w:cs="Times New Roman"/>
          <w:bCs/>
          <w:szCs w:val="24"/>
        </w:rPr>
        <w:t xml:space="preserve"> </w:t>
      </w:r>
      <w:proofErr w:type="spellStart"/>
      <w:r w:rsidRPr="00A42090">
        <w:rPr>
          <w:rFonts w:cs="Times New Roman"/>
          <w:bCs/>
          <w:szCs w:val="24"/>
        </w:rPr>
        <w:t>elméleti</w:t>
      </w:r>
      <w:proofErr w:type="spellEnd"/>
      <w:r w:rsidRPr="00A42090">
        <w:rPr>
          <w:rFonts w:cs="Times New Roman"/>
          <w:bCs/>
          <w:szCs w:val="24"/>
        </w:rPr>
        <w:t xml:space="preserve"> </w:t>
      </w:r>
      <w:proofErr w:type="spellStart"/>
      <w:r w:rsidRPr="00A42090">
        <w:rPr>
          <w:rFonts w:cs="Times New Roman"/>
          <w:bCs/>
          <w:szCs w:val="24"/>
        </w:rPr>
        <w:t>háttere</w:t>
      </w:r>
      <w:bookmarkEnd w:id="3"/>
      <w:proofErr w:type="spellEnd"/>
    </w:p>
    <w:p w14:paraId="0F9819D2" w14:textId="77777777" w:rsidR="00DD329B" w:rsidRPr="00A42090" w:rsidRDefault="00DD329B" w:rsidP="00DD329B">
      <w:pPr>
        <w:rPr>
          <w:rFonts w:cs="Times New Roman"/>
          <w:lang w:val="hu-HU"/>
        </w:rPr>
      </w:pPr>
      <w:r w:rsidRPr="00A42090">
        <w:rPr>
          <w:rFonts w:cs="Times New Roman"/>
          <w:lang w:val="hu-HU"/>
        </w:rPr>
        <w:t xml:space="preserve">A politikai események részvénypiaci hatásainak értelmezéséhez elengedhetetlen a politikai és gazdasági bizonytalanság szerepének megértése. Baker és szerzőtársai (2016) az </w:t>
      </w:r>
      <w:proofErr w:type="spellStart"/>
      <w:r w:rsidRPr="00A42090">
        <w:rPr>
          <w:rFonts w:cs="Times New Roman"/>
          <w:lang w:val="hu-HU"/>
        </w:rPr>
        <w:t>Economic</w:t>
      </w:r>
      <w:proofErr w:type="spellEnd"/>
      <w:r w:rsidRPr="00A42090">
        <w:rPr>
          <w:rFonts w:cs="Times New Roman"/>
          <w:lang w:val="hu-HU"/>
        </w:rPr>
        <w:t xml:space="preserve"> Policy </w:t>
      </w:r>
      <w:proofErr w:type="spellStart"/>
      <w:r w:rsidRPr="00A42090">
        <w:rPr>
          <w:rFonts w:cs="Times New Roman"/>
          <w:lang w:val="hu-HU"/>
        </w:rPr>
        <w:t>Uncertainty</w:t>
      </w:r>
      <w:proofErr w:type="spellEnd"/>
      <w:r w:rsidRPr="00A42090">
        <w:rPr>
          <w:rFonts w:cs="Times New Roman"/>
          <w:lang w:val="hu-HU"/>
        </w:rPr>
        <w:t xml:space="preserve"> (EPU) index bevezetésével </w:t>
      </w:r>
      <w:proofErr w:type="spellStart"/>
      <w:r w:rsidRPr="00A42090">
        <w:rPr>
          <w:rFonts w:cs="Times New Roman"/>
          <w:lang w:val="hu-HU"/>
        </w:rPr>
        <w:t>kvantifikálhatóvá</w:t>
      </w:r>
      <w:proofErr w:type="spellEnd"/>
      <w:r w:rsidRPr="00A42090">
        <w:rPr>
          <w:rFonts w:cs="Times New Roman"/>
          <w:lang w:val="hu-HU"/>
        </w:rPr>
        <w:t xml:space="preserve"> teszik a politikai bizonytalanságot. Az index újságcikkek tartalomelemzésén, adópolitikai szabályok lejáratán és közgazdász-előrejelzések szórásán alapul, és empirikusan igazolható módon megugrik szoros elnökválasztások, geopolitikai konfliktusok és nagy gazdasági sokkok idején (Baker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2016).</w:t>
      </w:r>
    </w:p>
    <w:p w14:paraId="592338AC" w14:textId="77777777" w:rsidR="00DD329B" w:rsidRPr="00A42090" w:rsidRDefault="00DD329B" w:rsidP="00DD329B">
      <w:pPr>
        <w:rPr>
          <w:rFonts w:cs="Times New Roman"/>
          <w:lang w:val="hu-HU"/>
        </w:rPr>
      </w:pPr>
      <w:r w:rsidRPr="00A42090">
        <w:rPr>
          <w:rFonts w:cs="Times New Roman"/>
          <w:lang w:val="hu-HU"/>
        </w:rPr>
        <w:t xml:space="preserve">A szerzők kimutatják, hogy a magasabb politikai bizonytalanság növeli a részvénypiaci volatilitást, és különösen erősen érinti azokat az </w:t>
      </w:r>
      <w:proofErr w:type="spellStart"/>
      <w:r w:rsidRPr="00A42090">
        <w:rPr>
          <w:rFonts w:cs="Times New Roman"/>
          <w:lang w:val="hu-HU"/>
        </w:rPr>
        <w:t>ágazatokat</w:t>
      </w:r>
      <w:proofErr w:type="spellEnd"/>
      <w:r w:rsidRPr="00A42090">
        <w:rPr>
          <w:rFonts w:cs="Times New Roman"/>
          <w:lang w:val="hu-HU"/>
        </w:rPr>
        <w:t>, amelyek erősebben függenek a kormányzati szabályozástól. Ez a megállapítás közvetlen kapcsolatot teremt a jelen kutatás céljával, amely szektorspecifikusan vizsgálja a 2024-es amerikai elnökválasztás rövid távú árfolyamhatásait.</w:t>
      </w:r>
    </w:p>
    <w:p w14:paraId="3741FED8" w14:textId="77777777" w:rsidR="00DD329B" w:rsidRPr="00A42090" w:rsidRDefault="00DD329B" w:rsidP="00DD329B">
      <w:pPr>
        <w:rPr>
          <w:rFonts w:cs="Times New Roman"/>
          <w:lang w:val="hu-HU"/>
        </w:rPr>
      </w:pPr>
      <w:r w:rsidRPr="00A42090">
        <w:rPr>
          <w:rFonts w:cs="Times New Roman"/>
          <w:lang w:val="hu-HU"/>
        </w:rPr>
        <w:t xml:space="preserve">Az elméleti hátteret tovább mélyíti Pástor és </w:t>
      </w:r>
      <w:proofErr w:type="spellStart"/>
      <w:r w:rsidRPr="00A42090">
        <w:rPr>
          <w:rFonts w:cs="Times New Roman"/>
          <w:lang w:val="hu-HU"/>
        </w:rPr>
        <w:t>Veronesi</w:t>
      </w:r>
      <w:proofErr w:type="spellEnd"/>
      <w:r w:rsidRPr="00A42090">
        <w:rPr>
          <w:rFonts w:cs="Times New Roman"/>
          <w:lang w:val="hu-HU"/>
        </w:rPr>
        <w:t xml:space="preserve"> (2013) általános egyensúlyi modellje, amely szerint a politikai bizonytalanság önálló kockázati tényezőként jelenik meg a pénzügyi piacokon. A modell előrejelzése szerint a bizonytalanság magasabb elvárt hozamokat, növekvő volatilitást és erősebb részvényhozam-korrelációt eredményez. Empirikus eredményeik alátámasztják, hogy választások és kormányzati bizonytalanság idején emelkedik a részvénykockázati prémium, ami arra utal, hogy a befektetők kockázatkompenzációt igényelnek a politikai döntések kiszámíthatatlansága miatt (Pástor &amp; </w:t>
      </w:r>
      <w:proofErr w:type="spellStart"/>
      <w:r w:rsidRPr="00A42090">
        <w:rPr>
          <w:rFonts w:cs="Times New Roman"/>
          <w:lang w:val="hu-HU"/>
        </w:rPr>
        <w:t>Veronesi</w:t>
      </w:r>
      <w:proofErr w:type="spellEnd"/>
      <w:r w:rsidRPr="00A42090">
        <w:rPr>
          <w:rFonts w:cs="Times New Roman"/>
          <w:lang w:val="hu-HU"/>
        </w:rPr>
        <w:t>, 2013).</w:t>
      </w:r>
    </w:p>
    <w:p w14:paraId="79DA6E92" w14:textId="77777777" w:rsidR="00DD329B" w:rsidRPr="00A42090" w:rsidRDefault="00DD329B" w:rsidP="00DD329B">
      <w:pPr>
        <w:rPr>
          <w:rFonts w:cs="Times New Roman"/>
          <w:lang w:val="hu-HU"/>
        </w:rPr>
      </w:pPr>
      <w:proofErr w:type="spellStart"/>
      <w:r w:rsidRPr="00A42090">
        <w:rPr>
          <w:rFonts w:cs="Times New Roman"/>
          <w:lang w:val="hu-HU"/>
        </w:rPr>
        <w:t>Białkowski</w:t>
      </w:r>
      <w:proofErr w:type="spellEnd"/>
      <w:r w:rsidRPr="00A42090">
        <w:rPr>
          <w:rFonts w:cs="Times New Roman"/>
          <w:lang w:val="hu-HU"/>
        </w:rPr>
        <w:t xml:space="preserve"> és szerzőtársai (2008) tanulmányukban 27 OECD-ország részvénypiacának viselkedését vizsgálják a nemzeti választások körül azzal a kérdéssel, hogy vajon ezek a politikai események növelik-e a piaci volatilitást. A szerzők volatilitási eseményelemzést alkalmaznak, ahol </w:t>
      </w:r>
      <w:r w:rsidRPr="00A42090">
        <w:rPr>
          <w:rFonts w:cs="Times New Roman"/>
          <w:lang w:val="hu-HU"/>
        </w:rPr>
        <w:lastRenderedPageBreak/>
        <w:t xml:space="preserve">a választások környezetében a </w:t>
      </w:r>
      <w:proofErr w:type="gramStart"/>
      <w:r w:rsidRPr="00A42090">
        <w:rPr>
          <w:rFonts w:cs="Times New Roman"/>
          <w:lang w:val="hu-HU"/>
        </w:rPr>
        <w:t>GARCH(</w:t>
      </w:r>
      <w:proofErr w:type="gramEnd"/>
      <w:r w:rsidRPr="00A42090">
        <w:rPr>
          <w:rFonts w:cs="Times New Roman"/>
          <w:lang w:val="hu-HU"/>
        </w:rPr>
        <w:t>1,1) modelleket</w:t>
      </w:r>
      <w:r w:rsidRPr="00A42090">
        <w:rPr>
          <w:rFonts w:cs="Times New Roman"/>
          <w:vertAlign w:val="superscript"/>
          <w:lang w:val="hu-HU"/>
        </w:rPr>
        <w:footnoteReference w:id="1"/>
      </w:r>
      <w:r w:rsidRPr="00A42090">
        <w:rPr>
          <w:rFonts w:cs="Times New Roman"/>
          <w:lang w:val="hu-HU"/>
        </w:rPr>
        <w:t xml:space="preserve"> használják a tőzsdei indexek hozamainak abnormális volatilitásának mérésére. Empirikus eredményeik azt mutatják, hogy az egyes országok részvénypiacainak volatilitása jelentősen megnő az adott ország választási hete körül, ami arra utal, hogy a befektetők nem teljesen képesek előre beárazni a választási kimeneteleket, és ezzel együtt a jövőbeli politikai irányokat. A volatilitás emelkedését tovább erősíthetik olyan tényezők, mint a szoros győzelmi különbség, kormányváltás, illetve a parlamenti többség hiánya, amelyek mind növelik a politikai kockázat mértékét (</w:t>
      </w:r>
      <w:proofErr w:type="spellStart"/>
      <w:r w:rsidRPr="00A42090">
        <w:rPr>
          <w:rFonts w:cs="Times New Roman"/>
          <w:lang w:val="hu-HU"/>
        </w:rPr>
        <w:t>Białkowski</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2008). Ezek az eredmények alátámasztják azt az elméleti feltételezést, hogy a választási bizonytalanság azonnali és mérhető hatással van a pénzügyi piacokra, beleértve a hozamok bizonytalanságát is.</w:t>
      </w:r>
    </w:p>
    <w:p w14:paraId="01D68B39" w14:textId="77777777" w:rsidR="00D3018D" w:rsidRPr="00A42090" w:rsidRDefault="00D3018D" w:rsidP="00D3018D">
      <w:pPr>
        <w:rPr>
          <w:rFonts w:cs="Times New Roman"/>
          <w:lang w:val="hu-HU"/>
        </w:rPr>
      </w:pPr>
      <w:proofErr w:type="spellStart"/>
      <w:r w:rsidRPr="00A42090">
        <w:rPr>
          <w:rFonts w:cs="Times New Roman"/>
          <w:lang w:val="hu-HU"/>
        </w:rPr>
        <w:t>Chau</w:t>
      </w:r>
      <w:proofErr w:type="spellEnd"/>
      <w:r w:rsidRPr="00A42090">
        <w:rPr>
          <w:rFonts w:cs="Times New Roman"/>
          <w:lang w:val="hu-HU"/>
        </w:rPr>
        <w:t xml:space="preserve"> és társai (2014) a politikai bizonytalanság és a részvénypiaci volatilitás kapcsolatát vizsgálják a Közel-Kelet és Észak-Afrika országaiban. Eredményeik szerint a politikai instabilitás szignifikánsan növeli a részvénypiaci volatilitást, ami arra utal, hogy a befektetők fokozott kockázatkerüléssel reagálnak a bizonytalan politikai környezetre (</w:t>
      </w:r>
      <w:proofErr w:type="spellStart"/>
      <w:r w:rsidRPr="00A42090">
        <w:rPr>
          <w:rFonts w:cs="Times New Roman"/>
          <w:lang w:val="hu-HU"/>
        </w:rPr>
        <w:t>Chau</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2014). Bár a tanulmány eltérő geopolitikai kontextusban készült, megállapításai jól illeszkednek a politikai események és a pénzügyi piacok kapcsolatát vizsgáló szakirodalomba, és alátámasztják azt a feltételezést, hogy a 2024-es amerikai elnökválasztás is érdemi hatással lehet a részvénypiaci volatilitás alakulására.</w:t>
      </w:r>
    </w:p>
    <w:p w14:paraId="1EA7BAF0" w14:textId="77777777" w:rsidR="00D3018D" w:rsidRPr="00A42090" w:rsidRDefault="00D3018D" w:rsidP="00D3018D">
      <w:pPr>
        <w:rPr>
          <w:rFonts w:cs="Times New Roman"/>
          <w:lang w:val="hu-HU"/>
        </w:rPr>
      </w:pPr>
      <w:proofErr w:type="spellStart"/>
      <w:r w:rsidRPr="00A42090">
        <w:rPr>
          <w:rFonts w:cs="Times New Roman"/>
          <w:lang w:val="hu-HU"/>
        </w:rPr>
        <w:t>Hillier</w:t>
      </w:r>
      <w:proofErr w:type="spellEnd"/>
      <w:r w:rsidRPr="00A42090">
        <w:rPr>
          <w:rFonts w:cs="Times New Roman"/>
          <w:lang w:val="hu-HU"/>
        </w:rPr>
        <w:t xml:space="preserve"> és Loncan (2019) tanulmányukban a politikai bizonytalanság részvénypiaci hozamokra gyakorolt hatását elemzik egy </w:t>
      </w:r>
      <w:proofErr w:type="spellStart"/>
      <w:r w:rsidRPr="00A42090">
        <w:rPr>
          <w:rFonts w:cs="Times New Roman"/>
          <w:lang w:val="hu-HU"/>
        </w:rPr>
        <w:t>exogén</w:t>
      </w:r>
      <w:proofErr w:type="spellEnd"/>
      <w:r w:rsidRPr="00A42090">
        <w:rPr>
          <w:rFonts w:cs="Times New Roman"/>
          <w:lang w:val="hu-HU"/>
        </w:rPr>
        <w:t xml:space="preserve"> politikai sokk (a brazil elnök és egy üzletember telefonbeszélgetésének nyilvánosságra kerülése) alapján, amely 2017 májusában hirtelen politikai instabilitást idézett elő Brazíliában. A szerzők eseményelemzést és regressziós modelleket </w:t>
      </w:r>
      <w:r w:rsidRPr="00A42090">
        <w:rPr>
          <w:rFonts w:cs="Times New Roman"/>
          <w:lang w:val="hu-HU"/>
        </w:rPr>
        <w:lastRenderedPageBreak/>
        <w:t xml:space="preserve">alkalmaznak annak feltárására, hogy az abnormális hozamok miként reagálnak erre a politikai sokkra különböző vállalati jellemzők függvényében. Eredményeik szerint a politikai kapcsolatokkal rendelkező vállalatok, valamint azok, amelyek nagyobb mértékben ki voltak téve külföldi tőkének, jelentősebb negatív hozamreakciókat mutattak a politikai bizonytalanság következtében, ami arra utal, hogy a politikai kockázat anyagilag is </w:t>
      </w:r>
      <w:proofErr w:type="spellStart"/>
      <w:r w:rsidRPr="00A42090">
        <w:rPr>
          <w:rFonts w:cs="Times New Roman"/>
          <w:lang w:val="hu-HU"/>
        </w:rPr>
        <w:t>beárazódik</w:t>
      </w:r>
      <w:proofErr w:type="spellEnd"/>
      <w:r w:rsidRPr="00A42090">
        <w:rPr>
          <w:rFonts w:cs="Times New Roman"/>
          <w:lang w:val="hu-HU"/>
        </w:rPr>
        <w:t xml:space="preserve"> az eszközárakba (</w:t>
      </w:r>
      <w:proofErr w:type="spellStart"/>
      <w:r w:rsidRPr="00A42090">
        <w:rPr>
          <w:rFonts w:cs="Times New Roman"/>
          <w:lang w:val="hu-HU"/>
        </w:rPr>
        <w:t>Hillier</w:t>
      </w:r>
      <w:proofErr w:type="spellEnd"/>
      <w:r w:rsidRPr="00A42090">
        <w:rPr>
          <w:rFonts w:cs="Times New Roman"/>
          <w:lang w:val="hu-HU"/>
        </w:rPr>
        <w:t xml:space="preserve"> &amp; Loncan, 2019). Ezek a megállapítások alátámasztják, hogy a politikai bizonytalanság negatív hatással lehet a részvényhozamokra, különösen, ha a vállalat politikailag érzékeny tényezőkkel rendelkezik vagy erősebben kitett a nemzetközi tőkepiaci áramlásoknak.</w:t>
      </w:r>
    </w:p>
    <w:p w14:paraId="23BB49A1" w14:textId="77777777" w:rsidR="00D3018D" w:rsidRPr="00A42090" w:rsidRDefault="00D3018D" w:rsidP="00D3018D">
      <w:pPr>
        <w:rPr>
          <w:rFonts w:cs="Times New Roman"/>
          <w:lang w:val="hu-HU"/>
        </w:rPr>
      </w:pPr>
      <w:proofErr w:type="spellStart"/>
      <w:r w:rsidRPr="00A42090">
        <w:rPr>
          <w:rFonts w:cs="Times New Roman"/>
          <w:lang w:val="hu-HU"/>
        </w:rPr>
        <w:t>Beaulieu</w:t>
      </w:r>
      <w:proofErr w:type="spellEnd"/>
      <w:r w:rsidRPr="00A42090">
        <w:rPr>
          <w:rFonts w:cs="Times New Roman"/>
          <w:lang w:val="hu-HU"/>
        </w:rPr>
        <w:t xml:space="preserve"> és </w:t>
      </w:r>
      <w:proofErr w:type="spellStart"/>
      <w:r w:rsidRPr="00A42090">
        <w:rPr>
          <w:rFonts w:cs="Times New Roman"/>
          <w:lang w:val="hu-HU"/>
        </w:rPr>
        <w:t>szárzőtársai</w:t>
      </w:r>
      <w:proofErr w:type="spellEnd"/>
      <w:r w:rsidRPr="00A42090">
        <w:rPr>
          <w:rFonts w:cs="Times New Roman"/>
          <w:lang w:val="hu-HU"/>
        </w:rPr>
        <w:t xml:space="preserve"> (2005) tanulmányukban a politikai bizonytalanság rövid távú hatását vizsgálták a részvényhozamokra egy konkrét politikai esemény, az 1995. október 30-i </w:t>
      </w:r>
      <w:proofErr w:type="spellStart"/>
      <w:r w:rsidRPr="00A42090">
        <w:rPr>
          <w:rFonts w:cs="Times New Roman"/>
          <w:lang w:val="hu-HU"/>
        </w:rPr>
        <w:t>quebeci</w:t>
      </w:r>
      <w:proofErr w:type="spellEnd"/>
      <w:r w:rsidRPr="00A42090">
        <w:rPr>
          <w:rFonts w:cs="Times New Roman"/>
          <w:lang w:val="hu-HU"/>
        </w:rPr>
        <w:t xml:space="preserve"> népszavazás kapcsán. A szerzők klasszikus esettanulmány- és GARCH-alapú metodológiát alkalmaznak annak feltérképezésére, hogy a referendum körüli bizonytalanság miként befolyásolta a </w:t>
      </w:r>
      <w:proofErr w:type="spellStart"/>
      <w:r w:rsidRPr="00A42090">
        <w:rPr>
          <w:rFonts w:cs="Times New Roman"/>
          <w:lang w:val="hu-HU"/>
        </w:rPr>
        <w:t>quebeci</w:t>
      </w:r>
      <w:proofErr w:type="spellEnd"/>
      <w:r w:rsidRPr="00A42090">
        <w:rPr>
          <w:rFonts w:cs="Times New Roman"/>
          <w:lang w:val="hu-HU"/>
        </w:rPr>
        <w:t xml:space="preserve"> vállalatok részvényhozamait. Eredményeik azt mutatják, hogy az esemény körüli politikai bizonytalanság szignifikáns hatással volt a részvényhozamokra, és az érintett hatás változott az egyes vállalatok politikai kitettsége és külföldi tevékenysége függvényében. Azok a vállalatok, amelyek nagyobb mérvű politikai kockázatnak vagy erősebb külföldi kitettségnek voltak kitéve, érzékenyebben reagáltak a referendum bizonytalanságára (</w:t>
      </w:r>
      <w:proofErr w:type="spellStart"/>
      <w:r w:rsidRPr="00A42090">
        <w:rPr>
          <w:rFonts w:cs="Times New Roman"/>
          <w:lang w:val="hu-HU"/>
        </w:rPr>
        <w:t>Beaulieu</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2005). Ez az eredmény alátámasztja, hogy a politikai kockázathoz kapcsolódó bizonytalanságot a piacok beárazzák a hozamokba, még olyan politikai események esetén is, amelyek nem közvetlenül egy elnökválasztás körül zajlanak, de a hiteles bizonytalanság mechanizmusát jól illusztrálják.</w:t>
      </w:r>
    </w:p>
    <w:p w14:paraId="6304780F" w14:textId="77777777" w:rsidR="00D3018D" w:rsidRPr="00A42090" w:rsidRDefault="00D3018D" w:rsidP="00D3018D">
      <w:pPr>
        <w:rPr>
          <w:rFonts w:cs="Times New Roman"/>
          <w:lang w:val="hu-HU"/>
        </w:rPr>
      </w:pPr>
      <w:proofErr w:type="spellStart"/>
      <w:r w:rsidRPr="00A42090">
        <w:rPr>
          <w:rFonts w:cs="Times New Roman"/>
          <w:lang w:val="hu-HU"/>
        </w:rPr>
        <w:t>Kwabi</w:t>
      </w:r>
      <w:proofErr w:type="spellEnd"/>
      <w:r w:rsidRPr="00A42090">
        <w:rPr>
          <w:rFonts w:cs="Times New Roman"/>
          <w:lang w:val="hu-HU"/>
        </w:rPr>
        <w:t xml:space="preserve"> és szerzőtársai (2024) tanulmányukban a politikai bizonytalanság szélesebb gazdasági hatásait vizsgálják a részvénypiac fejlettsége szempontjából, különösen a piaci likviditás, piacméret és tranzakciós költségek összefüggésében. A szerzők 42 ország 2001–2019 közötti </w:t>
      </w:r>
      <w:r w:rsidRPr="00A42090">
        <w:rPr>
          <w:rFonts w:cs="Times New Roman"/>
          <w:lang w:val="hu-HU"/>
        </w:rPr>
        <w:lastRenderedPageBreak/>
        <w:t>paneladatait használják, hogy feltárják, miként befolyásolja a nemzeti választásokkal kapcsolatos politikai bizonytalanság a részvénypiacok fejlődését, és hogy az intézményi minőség hogyan módosítja ezt a kapcsolatot. Eredményeik szerint a politikai bizonytalanság csökkenti a részvénypiac likviditását és méretét, miközben növeli a tranzakciós költségeket, ami összességében rontja a piac működési feltételeit. Ugyanakkor az erős intézményi háttér moderálni képes ezeknek a negatív hatásoknak a mértékét, míg gyenge intézmények esetén a politikai bizonytalanság kedvezőtlen hatásai különösen erősek maradnak (</w:t>
      </w:r>
      <w:proofErr w:type="spellStart"/>
      <w:r w:rsidRPr="00A42090">
        <w:rPr>
          <w:rFonts w:cs="Times New Roman"/>
          <w:lang w:val="hu-HU"/>
        </w:rPr>
        <w:t>Kwabi</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2024). Ezen megállapítások rámutatnak arra, hogy a politikai bizonytalanság nem csupán hozamok vagy volatilitás szintjén jelent kockázatot, hanem a piac mélyebb szerkezeti jellemzőit is befolyásolja, ami fontos szempont lehet a választási események piacokra gyakorolt hatásának átfogó megértéséhez.</w:t>
      </w:r>
    </w:p>
    <w:p w14:paraId="0FA6FDE8" w14:textId="5EC170A6" w:rsidR="00B46AB7" w:rsidRPr="00A42090" w:rsidRDefault="004547F7" w:rsidP="004547F7">
      <w:pPr>
        <w:pStyle w:val="Cmsor2"/>
        <w:rPr>
          <w:rFonts w:cs="Times New Roman"/>
          <w:bCs/>
          <w:szCs w:val="24"/>
        </w:rPr>
      </w:pPr>
      <w:bookmarkStart w:id="4" w:name="_Toc218075148"/>
      <w:r w:rsidRPr="00A42090">
        <w:rPr>
          <w:rFonts w:cs="Times New Roman"/>
          <w:bCs/>
          <w:szCs w:val="24"/>
        </w:rPr>
        <w:t xml:space="preserve">Az </w:t>
      </w:r>
      <w:proofErr w:type="spellStart"/>
      <w:r w:rsidRPr="00A42090">
        <w:rPr>
          <w:rFonts w:cs="Times New Roman"/>
          <w:bCs/>
          <w:szCs w:val="24"/>
        </w:rPr>
        <w:t>amerikai</w:t>
      </w:r>
      <w:proofErr w:type="spellEnd"/>
      <w:r w:rsidRPr="00A42090">
        <w:rPr>
          <w:rFonts w:cs="Times New Roman"/>
          <w:bCs/>
          <w:szCs w:val="24"/>
        </w:rPr>
        <w:t xml:space="preserve"> </w:t>
      </w:r>
      <w:proofErr w:type="spellStart"/>
      <w:r w:rsidRPr="00A42090">
        <w:rPr>
          <w:rFonts w:cs="Times New Roman"/>
          <w:bCs/>
          <w:szCs w:val="24"/>
        </w:rPr>
        <w:t>elnökválasztások</w:t>
      </w:r>
      <w:proofErr w:type="spellEnd"/>
      <w:r w:rsidRPr="00A42090">
        <w:rPr>
          <w:rFonts w:cs="Times New Roman"/>
          <w:bCs/>
          <w:szCs w:val="24"/>
        </w:rPr>
        <w:t xml:space="preserve"> </w:t>
      </w:r>
      <w:proofErr w:type="spellStart"/>
      <w:r w:rsidRPr="00A42090">
        <w:rPr>
          <w:rFonts w:cs="Times New Roman"/>
          <w:bCs/>
          <w:szCs w:val="24"/>
        </w:rPr>
        <w:t>rövid</w:t>
      </w:r>
      <w:proofErr w:type="spellEnd"/>
      <w:r w:rsidRPr="00A42090">
        <w:rPr>
          <w:rFonts w:cs="Times New Roman"/>
          <w:bCs/>
          <w:szCs w:val="24"/>
        </w:rPr>
        <w:t xml:space="preserve"> </w:t>
      </w:r>
      <w:proofErr w:type="spellStart"/>
      <w:r w:rsidRPr="00A42090">
        <w:rPr>
          <w:rFonts w:cs="Times New Roman"/>
          <w:bCs/>
          <w:szCs w:val="24"/>
        </w:rPr>
        <w:t>távú</w:t>
      </w:r>
      <w:proofErr w:type="spellEnd"/>
      <w:r w:rsidRPr="00A42090">
        <w:rPr>
          <w:rFonts w:cs="Times New Roman"/>
          <w:bCs/>
          <w:szCs w:val="24"/>
        </w:rPr>
        <w:t xml:space="preserve"> </w:t>
      </w:r>
      <w:proofErr w:type="spellStart"/>
      <w:r w:rsidRPr="00A42090">
        <w:rPr>
          <w:rFonts w:cs="Times New Roman"/>
          <w:bCs/>
          <w:szCs w:val="24"/>
        </w:rPr>
        <w:t>piaci</w:t>
      </w:r>
      <w:proofErr w:type="spellEnd"/>
      <w:r w:rsidRPr="00A42090">
        <w:rPr>
          <w:rFonts w:cs="Times New Roman"/>
          <w:bCs/>
          <w:szCs w:val="24"/>
        </w:rPr>
        <w:t xml:space="preserve"> </w:t>
      </w:r>
      <w:proofErr w:type="spellStart"/>
      <w:r w:rsidRPr="00A42090">
        <w:rPr>
          <w:rFonts w:cs="Times New Roman"/>
          <w:bCs/>
          <w:szCs w:val="24"/>
        </w:rPr>
        <w:t>hatásai</w:t>
      </w:r>
      <w:proofErr w:type="spellEnd"/>
      <w:r w:rsidRPr="00A42090">
        <w:rPr>
          <w:rFonts w:cs="Times New Roman"/>
          <w:bCs/>
          <w:szCs w:val="24"/>
        </w:rPr>
        <w:t xml:space="preserve"> </w:t>
      </w:r>
      <w:proofErr w:type="spellStart"/>
      <w:r w:rsidRPr="00A42090">
        <w:rPr>
          <w:rFonts w:cs="Times New Roman"/>
          <w:bCs/>
          <w:szCs w:val="24"/>
        </w:rPr>
        <w:t>eseményvizsgálatok</w:t>
      </w:r>
      <w:proofErr w:type="spellEnd"/>
      <w:r w:rsidRPr="00A42090">
        <w:rPr>
          <w:rFonts w:cs="Times New Roman"/>
          <w:bCs/>
          <w:szCs w:val="24"/>
        </w:rPr>
        <w:t xml:space="preserve"> </w:t>
      </w:r>
      <w:proofErr w:type="spellStart"/>
      <w:r w:rsidRPr="00A42090">
        <w:rPr>
          <w:rFonts w:cs="Times New Roman"/>
          <w:bCs/>
          <w:szCs w:val="24"/>
        </w:rPr>
        <w:t>alapján</w:t>
      </w:r>
      <w:bookmarkEnd w:id="4"/>
      <w:proofErr w:type="spellEnd"/>
    </w:p>
    <w:p w14:paraId="70B0396F" w14:textId="77777777" w:rsidR="000949BF" w:rsidRPr="00A42090" w:rsidRDefault="000949BF" w:rsidP="000949BF">
      <w:pPr>
        <w:rPr>
          <w:rFonts w:cs="Times New Roman"/>
          <w:lang w:val="hu-HU"/>
        </w:rPr>
      </w:pPr>
      <w:r w:rsidRPr="00A42090">
        <w:rPr>
          <w:rFonts w:cs="Times New Roman"/>
          <w:lang w:val="hu-HU"/>
        </w:rPr>
        <w:t xml:space="preserve">Az empirikus szakirodalom jelentős része eseményvizsgálati módszert alkalmaz az amerikai elnökválasztások rövid távú részvénypiaci hatásainak elemzésére. </w:t>
      </w:r>
      <w:proofErr w:type="spellStart"/>
      <w:r w:rsidRPr="00A42090">
        <w:rPr>
          <w:rFonts w:cs="Times New Roman"/>
          <w:lang w:val="hu-HU"/>
        </w:rPr>
        <w:t>Diaconaşu</w:t>
      </w:r>
      <w:proofErr w:type="spellEnd"/>
      <w:r w:rsidRPr="00A42090">
        <w:rPr>
          <w:rFonts w:cs="Times New Roman"/>
          <w:lang w:val="hu-HU"/>
        </w:rPr>
        <w:t xml:space="preserve"> és szerzőtársai (2023) a 2016-os elnökválasztás globális tőkepiaci következményeit vizsgálva azt találják, hogy a legtöbb ország részvényindexe kezdetben negatívan reagált a váratlan eredményre, majd gyors árfolyam-korrekció következett be (</w:t>
      </w:r>
      <w:proofErr w:type="spellStart"/>
      <w:r w:rsidRPr="00A42090">
        <w:rPr>
          <w:rFonts w:cs="Times New Roman"/>
          <w:lang w:val="hu-HU"/>
        </w:rPr>
        <w:t>Diaconaşu</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2023). Ez a mintázat összhangban áll a túlreagálás és az információk gyors piaci beépülésének elméletével.</w:t>
      </w:r>
    </w:p>
    <w:p w14:paraId="33984073" w14:textId="77777777" w:rsidR="000949BF" w:rsidRPr="00A42090" w:rsidRDefault="000949BF" w:rsidP="000949BF">
      <w:pPr>
        <w:rPr>
          <w:rFonts w:cs="Times New Roman"/>
          <w:lang w:val="hu-HU"/>
        </w:rPr>
      </w:pPr>
      <w:proofErr w:type="spellStart"/>
      <w:r w:rsidRPr="00A42090">
        <w:rPr>
          <w:rFonts w:cs="Times New Roman"/>
          <w:lang w:val="hu-HU"/>
        </w:rPr>
        <w:t>Hashim</w:t>
      </w:r>
      <w:proofErr w:type="spellEnd"/>
      <w:r w:rsidRPr="00A42090">
        <w:rPr>
          <w:rFonts w:cs="Times New Roman"/>
          <w:lang w:val="hu-HU"/>
        </w:rPr>
        <w:t xml:space="preserve"> és El </w:t>
      </w:r>
      <w:proofErr w:type="spellStart"/>
      <w:r w:rsidRPr="00A42090">
        <w:rPr>
          <w:rFonts w:cs="Times New Roman"/>
          <w:lang w:val="hu-HU"/>
        </w:rPr>
        <w:t>Mosallamy</w:t>
      </w:r>
      <w:proofErr w:type="spellEnd"/>
      <w:r w:rsidRPr="00A42090">
        <w:rPr>
          <w:rFonts w:cs="Times New Roman"/>
          <w:lang w:val="hu-HU"/>
        </w:rPr>
        <w:t xml:space="preserve"> (2020) összehasonlító elemzése fejlett és fejlődő piacok között azt mutatja, hogy a választási eredmény bejelentése nem minden esetben jár </w:t>
      </w:r>
      <w:proofErr w:type="spellStart"/>
      <w:r w:rsidRPr="00A42090">
        <w:rPr>
          <w:rFonts w:cs="Times New Roman"/>
          <w:lang w:val="hu-HU"/>
        </w:rPr>
        <w:t>statisztikailag</w:t>
      </w:r>
      <w:proofErr w:type="spellEnd"/>
      <w:r w:rsidRPr="00A42090">
        <w:rPr>
          <w:rFonts w:cs="Times New Roman"/>
          <w:lang w:val="hu-HU"/>
        </w:rPr>
        <w:t xml:space="preserve"> szignifikáns abnormális hozamokkal vagy tartós volatilitásnövekedéssel (</w:t>
      </w:r>
      <w:proofErr w:type="spellStart"/>
      <w:r w:rsidRPr="00A42090">
        <w:rPr>
          <w:rFonts w:cs="Times New Roman"/>
          <w:lang w:val="hu-HU"/>
        </w:rPr>
        <w:t>Hashim</w:t>
      </w:r>
      <w:proofErr w:type="spellEnd"/>
      <w:r w:rsidRPr="00A42090">
        <w:rPr>
          <w:rFonts w:cs="Times New Roman"/>
          <w:lang w:val="hu-HU"/>
        </w:rPr>
        <w:t xml:space="preserve"> &amp; El </w:t>
      </w:r>
      <w:proofErr w:type="spellStart"/>
      <w:r w:rsidRPr="00A42090">
        <w:rPr>
          <w:rFonts w:cs="Times New Roman"/>
          <w:lang w:val="hu-HU"/>
        </w:rPr>
        <w:lastRenderedPageBreak/>
        <w:t>Mosallamy</w:t>
      </w:r>
      <w:proofErr w:type="spellEnd"/>
      <w:r w:rsidRPr="00A42090">
        <w:rPr>
          <w:rFonts w:cs="Times New Roman"/>
          <w:lang w:val="hu-HU"/>
        </w:rPr>
        <w:t>, 2020). a piaci hatékonyság fennállását hangsúlyozzák, ugyanakkor rávilágítanak arra, hogy a választási sokkok piaci hatása heterogén lehet.</w:t>
      </w:r>
    </w:p>
    <w:p w14:paraId="72ED4F9F" w14:textId="77777777" w:rsidR="000949BF" w:rsidRPr="00A42090" w:rsidRDefault="000949BF" w:rsidP="000949BF">
      <w:pPr>
        <w:rPr>
          <w:rFonts w:cs="Times New Roman"/>
          <w:lang w:val="hu-HU"/>
        </w:rPr>
      </w:pPr>
      <w:r w:rsidRPr="00A42090">
        <w:rPr>
          <w:rFonts w:cs="Times New Roman"/>
          <w:lang w:val="hu-HU"/>
        </w:rPr>
        <w:t xml:space="preserve">Jones és </w:t>
      </w:r>
      <w:proofErr w:type="spellStart"/>
      <w:r w:rsidRPr="00A42090">
        <w:rPr>
          <w:rFonts w:cs="Times New Roman"/>
          <w:lang w:val="hu-HU"/>
        </w:rPr>
        <w:t>Banning</w:t>
      </w:r>
      <w:proofErr w:type="spellEnd"/>
      <w:r w:rsidRPr="00A42090">
        <w:rPr>
          <w:rFonts w:cs="Times New Roman"/>
          <w:lang w:val="hu-HU"/>
        </w:rPr>
        <w:t xml:space="preserve"> (2009) havi hozamok alapján vizsgálják az amerikai elnökválasztások hatását, és arra a következtetésre jutnak, hogy havi frekvencián nem mutatható ki következetes, szignifikáns piaci reakció (Jones &amp; </w:t>
      </w:r>
      <w:proofErr w:type="spellStart"/>
      <w:r w:rsidRPr="00A42090">
        <w:rPr>
          <w:rFonts w:cs="Times New Roman"/>
          <w:lang w:val="hu-HU"/>
        </w:rPr>
        <w:t>Banning</w:t>
      </w:r>
      <w:proofErr w:type="spellEnd"/>
      <w:r w:rsidRPr="00A42090">
        <w:rPr>
          <w:rFonts w:cs="Times New Roman"/>
          <w:lang w:val="hu-HU"/>
        </w:rPr>
        <w:t>, 2009). Ez az eredmény aláhúzza az adatok időbeli felbontásának fontosságát, és indokolja, hogy jelen kutatás napi adatokkal, rövid eseményablak alkalmazásával vizsgálja a választási hatásokat.</w:t>
      </w:r>
    </w:p>
    <w:p w14:paraId="15146A6B" w14:textId="77777777" w:rsidR="000949BF" w:rsidRPr="00A42090" w:rsidRDefault="000949BF" w:rsidP="000949BF">
      <w:pPr>
        <w:rPr>
          <w:rFonts w:cs="Times New Roman"/>
          <w:lang w:val="hu-HU"/>
        </w:rPr>
      </w:pPr>
      <w:proofErr w:type="spellStart"/>
      <w:r w:rsidRPr="00A42090">
        <w:rPr>
          <w:rFonts w:cs="Times New Roman"/>
          <w:lang w:val="hu-HU"/>
        </w:rPr>
        <w:t>Nippani</w:t>
      </w:r>
      <w:proofErr w:type="spellEnd"/>
      <w:r w:rsidRPr="00A42090">
        <w:rPr>
          <w:rFonts w:cs="Times New Roman"/>
          <w:lang w:val="hu-HU"/>
        </w:rPr>
        <w:t xml:space="preserve"> és </w:t>
      </w:r>
      <w:proofErr w:type="spellStart"/>
      <w:r w:rsidRPr="00A42090">
        <w:rPr>
          <w:rFonts w:cs="Times New Roman"/>
          <w:lang w:val="hu-HU"/>
        </w:rPr>
        <w:t>Arize</w:t>
      </w:r>
      <w:proofErr w:type="spellEnd"/>
      <w:r w:rsidRPr="00A42090">
        <w:rPr>
          <w:rFonts w:cs="Times New Roman"/>
          <w:lang w:val="hu-HU"/>
        </w:rPr>
        <w:t xml:space="preserve"> (2005) tanulmányukban azt vizsgálták, hogyan hatott a 2000-es amerikai elnökválasztás eredményének kihirdetésének csúszása a kanadai és mexikói részvénypiacokra. A szerzők empirikus elemzésükben arra jutnak, hogy a választási eredmény késedelmes kihirdetése negatívan befolyásolta mind a kanadai, mind a mexikói részvényindexek teljesítményét, hasonlóan ahhoz, amit korábbi kutatások az amerikai tőzsdén is kimutattak. Eredményeik alátámasztják, hogy a kanadai és mexikói piacok erősen integráltak az amerikai részvénypiacokkal, és a politikai bizonytalanság, amelyet a választási eredmény elhúzódó kihirdetése okozott, átgyűrűzött ezeken a szomszédos piacokon is (</w:t>
      </w:r>
      <w:proofErr w:type="spellStart"/>
      <w:r w:rsidRPr="00A42090">
        <w:rPr>
          <w:rFonts w:cs="Times New Roman"/>
          <w:lang w:val="hu-HU"/>
        </w:rPr>
        <w:t>Nippani</w:t>
      </w:r>
      <w:proofErr w:type="spellEnd"/>
      <w:r w:rsidRPr="00A42090">
        <w:rPr>
          <w:rFonts w:cs="Times New Roman"/>
          <w:lang w:val="hu-HU"/>
        </w:rPr>
        <w:t xml:space="preserve"> &amp; </w:t>
      </w:r>
      <w:proofErr w:type="spellStart"/>
      <w:r w:rsidRPr="00A42090">
        <w:rPr>
          <w:rFonts w:cs="Times New Roman"/>
          <w:lang w:val="hu-HU"/>
        </w:rPr>
        <w:t>Arize</w:t>
      </w:r>
      <w:proofErr w:type="spellEnd"/>
      <w:r w:rsidRPr="00A42090">
        <w:rPr>
          <w:rFonts w:cs="Times New Roman"/>
          <w:lang w:val="hu-HU"/>
        </w:rPr>
        <w:t>, 2005). Ez az eredmény arra utal, hogy a nemzetközi tőkepiacok hatással vannak egymásra politikai események idején, és az amerikai elnökválasztások bizonytalansága nemcsak az USA piacára van hatással, hanem a regionális partnerpiacokra is.</w:t>
      </w:r>
    </w:p>
    <w:p w14:paraId="5EFB4453" w14:textId="500F38D6" w:rsidR="004547F7" w:rsidRPr="00A42090" w:rsidRDefault="008C6658" w:rsidP="008C6658">
      <w:pPr>
        <w:pStyle w:val="Cmsor2"/>
        <w:rPr>
          <w:rFonts w:cs="Times New Roman"/>
          <w:bCs/>
          <w:lang w:val="hu-HU"/>
        </w:rPr>
      </w:pPr>
      <w:bookmarkStart w:id="5" w:name="_Toc218075149"/>
      <w:proofErr w:type="spellStart"/>
      <w:r w:rsidRPr="00A42090">
        <w:rPr>
          <w:rFonts w:cs="Times New Roman"/>
          <w:bCs/>
          <w:szCs w:val="24"/>
        </w:rPr>
        <w:t>Választási</w:t>
      </w:r>
      <w:proofErr w:type="spellEnd"/>
      <w:r w:rsidRPr="00A42090">
        <w:rPr>
          <w:rFonts w:cs="Times New Roman"/>
          <w:bCs/>
          <w:lang w:val="hu-HU"/>
        </w:rPr>
        <w:t xml:space="preserve"> bizonytalanság, piaci várakozások és előzetes reakciók</w:t>
      </w:r>
      <w:bookmarkEnd w:id="5"/>
    </w:p>
    <w:p w14:paraId="53191C65" w14:textId="77777777" w:rsidR="00B63510" w:rsidRPr="00A42090" w:rsidRDefault="00B63510" w:rsidP="00B63510">
      <w:pPr>
        <w:rPr>
          <w:rFonts w:cs="Times New Roman"/>
          <w:lang w:val="hu-HU"/>
        </w:rPr>
      </w:pPr>
      <w:r w:rsidRPr="00A42090">
        <w:rPr>
          <w:rFonts w:cs="Times New Roman"/>
          <w:lang w:val="hu-HU"/>
        </w:rPr>
        <w:t xml:space="preserve">A választások piaci hatásai nem kizárólag az eredmény kihirdetésének napján jelentkeznek. Li és </w:t>
      </w:r>
      <w:proofErr w:type="spellStart"/>
      <w:r w:rsidRPr="00A42090">
        <w:rPr>
          <w:rFonts w:cs="Times New Roman"/>
          <w:lang w:val="hu-HU"/>
        </w:rPr>
        <w:t>Born</w:t>
      </w:r>
      <w:proofErr w:type="spellEnd"/>
      <w:r w:rsidRPr="00A42090">
        <w:rPr>
          <w:rFonts w:cs="Times New Roman"/>
          <w:lang w:val="hu-HU"/>
        </w:rPr>
        <w:t xml:space="preserve"> (2006) </w:t>
      </w:r>
      <w:proofErr w:type="spellStart"/>
      <w:r w:rsidRPr="00A42090">
        <w:rPr>
          <w:rFonts w:cs="Times New Roman"/>
          <w:lang w:val="hu-HU"/>
        </w:rPr>
        <w:t>polling</w:t>
      </w:r>
      <w:proofErr w:type="spellEnd"/>
      <w:r w:rsidRPr="00A42090">
        <w:rPr>
          <w:rFonts w:cs="Times New Roman"/>
          <w:lang w:val="hu-HU"/>
        </w:rPr>
        <w:t xml:space="preserve"> adatok felhasználásával kimutatják, hogy a szoros, bizonytalan kimenetelű választások időszakában nő a részvénypiaci volatilitás, és átlagosan emelkednek a hozamok is (Li </w:t>
      </w:r>
      <w:r w:rsidRPr="00A42090">
        <w:rPr>
          <w:rFonts w:cs="Times New Roman"/>
          <w:lang w:val="hu-HU"/>
        </w:rPr>
        <w:lastRenderedPageBreak/>
        <w:t xml:space="preserve">&amp; </w:t>
      </w:r>
      <w:proofErr w:type="spellStart"/>
      <w:r w:rsidRPr="00A42090">
        <w:rPr>
          <w:rFonts w:cs="Times New Roman"/>
          <w:lang w:val="hu-HU"/>
        </w:rPr>
        <w:t>Born</w:t>
      </w:r>
      <w:proofErr w:type="spellEnd"/>
      <w:r w:rsidRPr="00A42090">
        <w:rPr>
          <w:rFonts w:cs="Times New Roman"/>
          <w:lang w:val="hu-HU"/>
        </w:rPr>
        <w:t>, 2006). Ez arra utal, hogy a politikai bizonytalanság már a kampányidőszak során beépül a részvényárakba.</w:t>
      </w:r>
    </w:p>
    <w:p w14:paraId="05633486" w14:textId="77777777" w:rsidR="00B63510" w:rsidRPr="00A42090" w:rsidRDefault="00B63510" w:rsidP="00B63510">
      <w:pPr>
        <w:rPr>
          <w:rFonts w:cs="Times New Roman"/>
          <w:lang w:val="hu-HU"/>
        </w:rPr>
      </w:pPr>
      <w:r w:rsidRPr="00A42090">
        <w:rPr>
          <w:rFonts w:cs="Times New Roman"/>
          <w:lang w:val="hu-HU"/>
        </w:rPr>
        <w:t xml:space="preserve">Ezt a megközelítést egészíti ki </w:t>
      </w:r>
      <w:proofErr w:type="spellStart"/>
      <w:r w:rsidRPr="00A42090">
        <w:rPr>
          <w:rFonts w:cs="Times New Roman"/>
          <w:lang w:val="hu-HU"/>
        </w:rPr>
        <w:t>Kumar</w:t>
      </w:r>
      <w:proofErr w:type="spellEnd"/>
      <w:r w:rsidRPr="00A42090">
        <w:rPr>
          <w:rFonts w:cs="Times New Roman"/>
          <w:lang w:val="hu-HU"/>
        </w:rPr>
        <w:t xml:space="preserve"> </w:t>
      </w:r>
      <w:proofErr w:type="spellStart"/>
      <w:r w:rsidRPr="00A42090">
        <w:rPr>
          <w:rFonts w:cs="Times New Roman"/>
          <w:lang w:val="hu-HU"/>
        </w:rPr>
        <w:t>Jaiswal</w:t>
      </w:r>
      <w:proofErr w:type="spellEnd"/>
      <w:r w:rsidRPr="00A42090">
        <w:rPr>
          <w:rFonts w:cs="Times New Roman"/>
          <w:lang w:val="hu-HU"/>
        </w:rPr>
        <w:t xml:space="preserve"> és szerzőtársai (2025) tanulmánya, amely napi szintű választási győzelmi valószínűségeket használ annak vizsgálatára, hogy a piaci várakozások változása miként hat a globális részvénypiacokra (</w:t>
      </w:r>
      <w:proofErr w:type="spellStart"/>
      <w:r w:rsidRPr="00A42090">
        <w:rPr>
          <w:rFonts w:cs="Times New Roman"/>
          <w:lang w:val="hu-HU"/>
        </w:rPr>
        <w:t>Kuwar</w:t>
      </w:r>
      <w:proofErr w:type="spellEnd"/>
      <w:r w:rsidRPr="00A42090">
        <w:rPr>
          <w:rFonts w:cs="Times New Roman"/>
          <w:lang w:val="hu-HU"/>
        </w:rPr>
        <w:t xml:space="preserve"> </w:t>
      </w:r>
      <w:proofErr w:type="spellStart"/>
      <w:r w:rsidRPr="00A42090">
        <w:rPr>
          <w:rFonts w:cs="Times New Roman"/>
          <w:lang w:val="hu-HU"/>
        </w:rPr>
        <w:t>Jaiswal</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2025). Az eredmények szerint nem csupán a választás tényleges kimenetele, hanem annak változó valószínűségei is jelentős hatást gyakorolhatnak a részvényárakra, ami túlmutat a klasszikus, egyetlen eseménynapra fókuszáló eseményvizsgálatokon.</w:t>
      </w:r>
    </w:p>
    <w:p w14:paraId="49E2A663" w14:textId="77777777" w:rsidR="00B63510" w:rsidRPr="00A42090" w:rsidRDefault="00B63510" w:rsidP="00B63510">
      <w:pPr>
        <w:rPr>
          <w:rFonts w:cs="Times New Roman"/>
          <w:lang w:val="hu-HU"/>
        </w:rPr>
      </w:pPr>
      <w:r w:rsidRPr="00A42090">
        <w:rPr>
          <w:rFonts w:cs="Times New Roman"/>
          <w:lang w:val="hu-HU"/>
        </w:rPr>
        <w:t xml:space="preserve">Fan és szerzőtársai (2020) egy innovatív megközelítést alkalmaznak, amikor a politikai bizonytalanság hatását nem csupán hagyományos </w:t>
      </w:r>
      <w:proofErr w:type="spellStart"/>
      <w:r w:rsidRPr="00A42090">
        <w:rPr>
          <w:rFonts w:cs="Times New Roman"/>
          <w:lang w:val="hu-HU"/>
        </w:rPr>
        <w:t>makro</w:t>
      </w:r>
      <w:proofErr w:type="spellEnd"/>
      <w:r w:rsidRPr="00A42090">
        <w:rPr>
          <w:rFonts w:cs="Times New Roman"/>
          <w:lang w:val="hu-HU"/>
        </w:rPr>
        <w:t xml:space="preserve">-mutatókkal, hanem közösségi média-alapú információs jelzőkkel mérik. Több mint 23 millió </w:t>
      </w:r>
      <w:proofErr w:type="spellStart"/>
      <w:r w:rsidRPr="00A42090">
        <w:rPr>
          <w:rFonts w:cs="Times New Roman"/>
          <w:lang w:val="hu-HU"/>
        </w:rPr>
        <w:t>Twitter</w:t>
      </w:r>
      <w:proofErr w:type="spellEnd"/>
      <w:r w:rsidRPr="00A42090">
        <w:rPr>
          <w:rFonts w:cs="Times New Roman"/>
          <w:lang w:val="hu-HU"/>
        </w:rPr>
        <w:t xml:space="preserve">-üzenet elemzésével azt találják, hogy a választási esemény körüli nézeteltérések a közösségi médiában szignifikánsan növelik egyes S&amp;P 500-as vállalatok részvényeinek volatilitását és kereskedési volumenét a </w:t>
      </w:r>
      <w:proofErr w:type="spellStart"/>
      <w:r w:rsidRPr="00A42090">
        <w:rPr>
          <w:rFonts w:cs="Times New Roman"/>
          <w:lang w:val="hu-HU"/>
        </w:rPr>
        <w:t>Trump</w:t>
      </w:r>
      <w:proofErr w:type="spellEnd"/>
      <w:r w:rsidRPr="00A42090">
        <w:rPr>
          <w:rFonts w:cs="Times New Roman"/>
          <w:lang w:val="hu-HU"/>
        </w:rPr>
        <w:t xml:space="preserve">-jelöltség idején, különösen az elnöki beiktatás előtt (Fan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2020). Ez az eredmény rámutat arra, hogy a befektetői hangulat és a politikai narratívák a közösségi médiában fontos szerepet játszanak a pénzügyi eszközök </w:t>
      </w:r>
      <w:proofErr w:type="spellStart"/>
      <w:r w:rsidRPr="00A42090">
        <w:rPr>
          <w:rFonts w:cs="Times New Roman"/>
          <w:lang w:val="hu-HU"/>
        </w:rPr>
        <w:t>árképzésében</w:t>
      </w:r>
      <w:proofErr w:type="spellEnd"/>
      <w:r w:rsidRPr="00A42090">
        <w:rPr>
          <w:rFonts w:cs="Times New Roman"/>
          <w:lang w:val="hu-HU"/>
        </w:rPr>
        <w:t xml:space="preserve"> politikai események idején, és kiegészíti azokat a tanulmányokat, amelyek a politikai bizonytalanság és a részvénypiacok kapcsolatát hagyományos gazdasági mutatókkal vizsgálják.</w:t>
      </w:r>
    </w:p>
    <w:p w14:paraId="7364690D" w14:textId="08D476BF" w:rsidR="008C6658" w:rsidRPr="00A42090" w:rsidRDefault="0043244B" w:rsidP="0043244B">
      <w:pPr>
        <w:pStyle w:val="Cmsor2"/>
        <w:rPr>
          <w:rFonts w:cs="Times New Roman"/>
          <w:bCs/>
          <w:szCs w:val="24"/>
        </w:rPr>
      </w:pPr>
      <w:bookmarkStart w:id="6" w:name="_Toc218075150"/>
      <w:r w:rsidRPr="00A42090">
        <w:rPr>
          <w:rFonts w:cs="Times New Roman"/>
          <w:bCs/>
          <w:lang w:val="hu-HU"/>
        </w:rPr>
        <w:t>Szektorspecifikus</w:t>
      </w:r>
      <w:r w:rsidRPr="00A42090">
        <w:rPr>
          <w:rFonts w:cs="Times New Roman"/>
          <w:bCs/>
          <w:szCs w:val="24"/>
        </w:rPr>
        <w:t xml:space="preserve"> </w:t>
      </w:r>
      <w:proofErr w:type="spellStart"/>
      <w:r w:rsidRPr="00A42090">
        <w:rPr>
          <w:rFonts w:cs="Times New Roman"/>
          <w:bCs/>
          <w:szCs w:val="24"/>
        </w:rPr>
        <w:t>reakciók</w:t>
      </w:r>
      <w:proofErr w:type="spellEnd"/>
      <w:r w:rsidRPr="00A42090">
        <w:rPr>
          <w:rFonts w:cs="Times New Roman"/>
          <w:bCs/>
          <w:szCs w:val="24"/>
        </w:rPr>
        <w:t xml:space="preserve"> </w:t>
      </w:r>
      <w:proofErr w:type="spellStart"/>
      <w:r w:rsidRPr="00A42090">
        <w:rPr>
          <w:rFonts w:cs="Times New Roman"/>
          <w:bCs/>
          <w:szCs w:val="24"/>
        </w:rPr>
        <w:t>és</w:t>
      </w:r>
      <w:proofErr w:type="spellEnd"/>
      <w:r w:rsidRPr="00A42090">
        <w:rPr>
          <w:rFonts w:cs="Times New Roman"/>
          <w:bCs/>
          <w:szCs w:val="24"/>
        </w:rPr>
        <w:t xml:space="preserve"> </w:t>
      </w:r>
      <w:proofErr w:type="spellStart"/>
      <w:r w:rsidRPr="00A42090">
        <w:rPr>
          <w:rFonts w:cs="Times New Roman"/>
          <w:bCs/>
          <w:szCs w:val="24"/>
        </w:rPr>
        <w:t>vállalati</w:t>
      </w:r>
      <w:proofErr w:type="spellEnd"/>
      <w:r w:rsidRPr="00A42090">
        <w:rPr>
          <w:rFonts w:cs="Times New Roman"/>
          <w:bCs/>
          <w:szCs w:val="24"/>
        </w:rPr>
        <w:t xml:space="preserve"> </w:t>
      </w:r>
      <w:proofErr w:type="spellStart"/>
      <w:r w:rsidRPr="00A42090">
        <w:rPr>
          <w:rFonts w:cs="Times New Roman"/>
          <w:bCs/>
          <w:szCs w:val="24"/>
        </w:rPr>
        <w:t>szintű</w:t>
      </w:r>
      <w:proofErr w:type="spellEnd"/>
      <w:r w:rsidRPr="00A42090">
        <w:rPr>
          <w:rFonts w:cs="Times New Roman"/>
          <w:bCs/>
          <w:szCs w:val="24"/>
        </w:rPr>
        <w:t xml:space="preserve"> </w:t>
      </w:r>
      <w:proofErr w:type="spellStart"/>
      <w:r w:rsidRPr="00A42090">
        <w:rPr>
          <w:rFonts w:cs="Times New Roman"/>
          <w:bCs/>
          <w:szCs w:val="24"/>
        </w:rPr>
        <w:t>hatások</w:t>
      </w:r>
      <w:bookmarkEnd w:id="6"/>
      <w:proofErr w:type="spellEnd"/>
    </w:p>
    <w:p w14:paraId="7C860ED7" w14:textId="77777777" w:rsidR="00C963D0" w:rsidRPr="00A42090" w:rsidRDefault="00C963D0" w:rsidP="00C963D0">
      <w:pPr>
        <w:rPr>
          <w:rFonts w:cs="Times New Roman"/>
          <w:lang w:val="hu-HU"/>
        </w:rPr>
      </w:pPr>
      <w:r w:rsidRPr="00A42090">
        <w:rPr>
          <w:rFonts w:cs="Times New Roman"/>
          <w:lang w:val="hu-HU"/>
        </w:rPr>
        <w:t xml:space="preserve">A politikai események hatása gyakran nem egységes a részvénypiac egészén, hanem szektoronként eltérő módon jelentkezik. </w:t>
      </w:r>
      <w:proofErr w:type="spellStart"/>
      <w:r w:rsidRPr="00A42090">
        <w:rPr>
          <w:rFonts w:cs="Times New Roman"/>
          <w:lang w:val="hu-HU"/>
        </w:rPr>
        <w:t>Bouoiyour</w:t>
      </w:r>
      <w:proofErr w:type="spellEnd"/>
      <w:r w:rsidRPr="00A42090">
        <w:rPr>
          <w:rFonts w:cs="Times New Roman"/>
          <w:lang w:val="hu-HU"/>
        </w:rPr>
        <w:t xml:space="preserve"> és </w:t>
      </w:r>
      <w:proofErr w:type="spellStart"/>
      <w:r w:rsidRPr="00A42090">
        <w:rPr>
          <w:rFonts w:cs="Times New Roman"/>
          <w:lang w:val="hu-HU"/>
        </w:rPr>
        <w:t>Selmi</w:t>
      </w:r>
      <w:proofErr w:type="spellEnd"/>
      <w:r w:rsidRPr="00A42090">
        <w:rPr>
          <w:rFonts w:cs="Times New Roman"/>
          <w:lang w:val="hu-HU"/>
        </w:rPr>
        <w:t xml:space="preserve"> (2016) a 2016-os amerikai elnökválasztás kapcsán azt találják, hogy több szektor (például a pénzügyi, a védelmi, az energetikai és az ingatlanpiaci </w:t>
      </w:r>
      <w:r w:rsidRPr="00A42090">
        <w:rPr>
          <w:rFonts w:cs="Times New Roman"/>
          <w:lang w:val="hu-HU"/>
        </w:rPr>
        <w:lastRenderedPageBreak/>
        <w:t>ágazat) pozitív abnormális hozamot ért el, míg a technológiai és a közüzemi szektorok gyengébben teljesítettek (</w:t>
      </w:r>
      <w:proofErr w:type="spellStart"/>
      <w:r w:rsidRPr="00A42090">
        <w:rPr>
          <w:rFonts w:cs="Times New Roman"/>
          <w:lang w:val="hu-HU"/>
        </w:rPr>
        <w:t>Bouoiyour</w:t>
      </w:r>
      <w:proofErr w:type="spellEnd"/>
      <w:r w:rsidRPr="00A42090">
        <w:rPr>
          <w:rFonts w:cs="Times New Roman"/>
          <w:lang w:val="hu-HU"/>
        </w:rPr>
        <w:t xml:space="preserve"> &amp; </w:t>
      </w:r>
      <w:proofErr w:type="spellStart"/>
      <w:r w:rsidRPr="00A42090">
        <w:rPr>
          <w:rFonts w:cs="Times New Roman"/>
          <w:lang w:val="hu-HU"/>
        </w:rPr>
        <w:t>Selmi</w:t>
      </w:r>
      <w:proofErr w:type="spellEnd"/>
      <w:r w:rsidRPr="00A42090">
        <w:rPr>
          <w:rFonts w:cs="Times New Roman"/>
          <w:lang w:val="hu-HU"/>
        </w:rPr>
        <w:t>, 2016). Eredményeik alátámasztják az „</w:t>
      </w:r>
      <w:proofErr w:type="spellStart"/>
      <w:r w:rsidRPr="00A42090">
        <w:rPr>
          <w:rFonts w:cs="Times New Roman"/>
          <w:lang w:val="hu-HU"/>
        </w:rPr>
        <w:t>Uncertain</w:t>
      </w:r>
      <w:proofErr w:type="spellEnd"/>
      <w:r w:rsidRPr="00A42090">
        <w:rPr>
          <w:rFonts w:cs="Times New Roman"/>
          <w:lang w:val="hu-HU"/>
        </w:rPr>
        <w:t xml:space="preserve"> </w:t>
      </w:r>
      <w:proofErr w:type="spellStart"/>
      <w:r w:rsidRPr="00A42090">
        <w:rPr>
          <w:rFonts w:cs="Times New Roman"/>
          <w:lang w:val="hu-HU"/>
        </w:rPr>
        <w:t>Information</w:t>
      </w:r>
      <w:proofErr w:type="spellEnd"/>
      <w:r w:rsidRPr="00A42090">
        <w:rPr>
          <w:rFonts w:cs="Times New Roman"/>
          <w:lang w:val="hu-HU"/>
        </w:rPr>
        <w:t xml:space="preserve"> </w:t>
      </w:r>
      <w:proofErr w:type="spellStart"/>
      <w:r w:rsidRPr="00A42090">
        <w:rPr>
          <w:rFonts w:cs="Times New Roman"/>
          <w:lang w:val="hu-HU"/>
        </w:rPr>
        <w:t>Hypothesis</w:t>
      </w:r>
      <w:proofErr w:type="spellEnd"/>
      <w:r w:rsidRPr="00A42090">
        <w:rPr>
          <w:rFonts w:cs="Times New Roman"/>
          <w:lang w:val="hu-HU"/>
        </w:rPr>
        <w:t>” elméletét, amely szerint az új politikai információk kezdeti bizonytalanságot, majd gyors árkorrekciót váltanak ki.</w:t>
      </w:r>
    </w:p>
    <w:p w14:paraId="3DF45BB8" w14:textId="77777777" w:rsidR="00C963D0" w:rsidRPr="00A42090" w:rsidRDefault="00C963D0" w:rsidP="00C963D0">
      <w:pPr>
        <w:rPr>
          <w:rFonts w:cs="Times New Roman"/>
          <w:lang w:val="hu-HU"/>
        </w:rPr>
      </w:pPr>
      <w:r w:rsidRPr="00A42090">
        <w:rPr>
          <w:rFonts w:cs="Times New Roman"/>
          <w:lang w:val="hu-HU"/>
        </w:rPr>
        <w:t xml:space="preserve">Ahmed és szerzőtársai (2020) </w:t>
      </w:r>
      <w:proofErr w:type="spellStart"/>
      <w:proofErr w:type="gramStart"/>
      <w:r w:rsidRPr="00A42090">
        <w:rPr>
          <w:rFonts w:cs="Times New Roman"/>
          <w:lang w:val="hu-HU"/>
        </w:rPr>
        <w:t>meta</w:t>
      </w:r>
      <w:proofErr w:type="spellEnd"/>
      <w:r w:rsidRPr="00A42090">
        <w:rPr>
          <w:rFonts w:cs="Times New Roman"/>
          <w:lang w:val="hu-HU"/>
        </w:rPr>
        <w:t>-analízise</w:t>
      </w:r>
      <w:proofErr w:type="gramEnd"/>
      <w:r w:rsidRPr="00A42090">
        <w:rPr>
          <w:rFonts w:cs="Times New Roman"/>
          <w:lang w:val="hu-HU"/>
        </w:rPr>
        <w:t xml:space="preserve"> megerősíti, hogy a 2016-os választás rövid távú hatásai szektorspecifikusak voltak, és a politikai bizonytalanság különösen a választás előtti időszakban növelte a piaci volatilitást (Ahmed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2020). Ezek az eredmények közvetlenül indokolják jelen kutatás szektorspecifikus megközelítését, amely egyes amerikai részvények árfolyamreakcióit külön-külön elemzi.</w:t>
      </w:r>
    </w:p>
    <w:p w14:paraId="626F875F" w14:textId="77777777" w:rsidR="00C963D0" w:rsidRPr="00A42090" w:rsidRDefault="00C963D0" w:rsidP="00C963D0">
      <w:pPr>
        <w:rPr>
          <w:rFonts w:cs="Times New Roman"/>
          <w:lang w:val="hu-HU"/>
        </w:rPr>
      </w:pPr>
      <w:proofErr w:type="spellStart"/>
      <w:r w:rsidRPr="00A42090">
        <w:rPr>
          <w:rFonts w:cs="Times New Roman"/>
          <w:lang w:val="hu-HU"/>
        </w:rPr>
        <w:t>Amburgey</w:t>
      </w:r>
      <w:proofErr w:type="spellEnd"/>
      <w:r w:rsidRPr="00A42090">
        <w:rPr>
          <w:rFonts w:cs="Times New Roman"/>
          <w:lang w:val="hu-HU"/>
        </w:rPr>
        <w:t xml:space="preserve"> (2025) tanulmánya innovatív megközelítést alkalmazva vizsgálja az amerikai elnökválasztási ciklusok hatását az egyes részvénypiaci szektorokra. A szerző egy új, ún. “</w:t>
      </w:r>
      <w:proofErr w:type="spellStart"/>
      <w:r w:rsidRPr="00A42090">
        <w:rPr>
          <w:rFonts w:cs="Times New Roman"/>
          <w:lang w:val="hu-HU"/>
        </w:rPr>
        <w:t>election</w:t>
      </w:r>
      <w:proofErr w:type="spellEnd"/>
      <w:r w:rsidRPr="00A42090">
        <w:rPr>
          <w:rFonts w:cs="Times New Roman"/>
          <w:lang w:val="hu-HU"/>
        </w:rPr>
        <w:t xml:space="preserve"> </w:t>
      </w:r>
      <w:proofErr w:type="spellStart"/>
      <w:r w:rsidRPr="00A42090">
        <w:rPr>
          <w:rFonts w:cs="Times New Roman"/>
          <w:lang w:val="hu-HU"/>
        </w:rPr>
        <w:t>shock</w:t>
      </w:r>
      <w:proofErr w:type="spellEnd"/>
      <w:r w:rsidRPr="00A42090">
        <w:rPr>
          <w:rFonts w:cs="Times New Roman"/>
          <w:lang w:val="hu-HU"/>
        </w:rPr>
        <w:t xml:space="preserve">” sorozatot konstruál, amely a választási valószínűségekben bekövetkező, makrogazdasági hírektől független, </w:t>
      </w:r>
      <w:proofErr w:type="spellStart"/>
      <w:r w:rsidRPr="00A42090">
        <w:rPr>
          <w:rFonts w:cs="Times New Roman"/>
          <w:lang w:val="hu-HU"/>
        </w:rPr>
        <w:t>exogén</w:t>
      </w:r>
      <w:proofErr w:type="spellEnd"/>
      <w:r w:rsidRPr="00A42090">
        <w:rPr>
          <w:rFonts w:cs="Times New Roman"/>
          <w:lang w:val="hu-HU"/>
        </w:rPr>
        <w:t xml:space="preserve"> meglepetéseket ragad meg (például politikai botrányok és viták hatásait). </w:t>
      </w:r>
      <w:proofErr w:type="spellStart"/>
      <w:r w:rsidRPr="00A42090">
        <w:rPr>
          <w:rFonts w:cs="Times New Roman"/>
          <w:lang w:val="hu-HU"/>
        </w:rPr>
        <w:t>Amburgey</w:t>
      </w:r>
      <w:proofErr w:type="spellEnd"/>
      <w:r w:rsidRPr="00A42090">
        <w:rPr>
          <w:rFonts w:cs="Times New Roman"/>
          <w:lang w:val="hu-HU"/>
        </w:rPr>
        <w:t xml:space="preserve"> azt találja, hogy ezek az </w:t>
      </w:r>
      <w:proofErr w:type="spellStart"/>
      <w:r w:rsidRPr="00A42090">
        <w:rPr>
          <w:rFonts w:cs="Times New Roman"/>
          <w:lang w:val="hu-HU"/>
        </w:rPr>
        <w:t>election</w:t>
      </w:r>
      <w:proofErr w:type="spellEnd"/>
      <w:r w:rsidRPr="00A42090">
        <w:rPr>
          <w:rFonts w:cs="Times New Roman"/>
          <w:lang w:val="hu-HU"/>
        </w:rPr>
        <w:t xml:space="preserve"> </w:t>
      </w:r>
      <w:proofErr w:type="spellStart"/>
      <w:r w:rsidRPr="00A42090">
        <w:rPr>
          <w:rFonts w:cs="Times New Roman"/>
          <w:lang w:val="hu-HU"/>
        </w:rPr>
        <w:t>shock</w:t>
      </w:r>
      <w:proofErr w:type="spellEnd"/>
      <w:r w:rsidRPr="00A42090">
        <w:rPr>
          <w:rFonts w:cs="Times New Roman"/>
          <w:lang w:val="hu-HU"/>
        </w:rPr>
        <w:t>-ok azonnali és tartós hatással vannak azokra az iparági szektorokra, amelyeket eltérően érintenek a két fő politikai párt (a Republikánus és a Demokrata) politikai platformjai. A Republikánusokra kedvező meglepetések növelik az energia- és védelmi szektor árfolyamait, miközben csökkentik a tiszta energia szektor értékét, míg a Demokrata-orientált meglepetések fordított hatást váltanak ki (</w:t>
      </w:r>
      <w:proofErr w:type="spellStart"/>
      <w:r w:rsidRPr="00A42090">
        <w:rPr>
          <w:rFonts w:cs="Times New Roman"/>
          <w:lang w:val="hu-HU"/>
        </w:rPr>
        <w:t>Amburgey</w:t>
      </w:r>
      <w:proofErr w:type="spellEnd"/>
      <w:r w:rsidRPr="00A42090">
        <w:rPr>
          <w:rFonts w:cs="Times New Roman"/>
          <w:lang w:val="hu-HU"/>
        </w:rPr>
        <w:t xml:space="preserve">, 2025). Az eredmények arra utalnak, hogy a befektetők </w:t>
      </w:r>
      <w:proofErr w:type="spellStart"/>
      <w:r w:rsidRPr="00A42090">
        <w:rPr>
          <w:rFonts w:cs="Times New Roman"/>
          <w:lang w:val="hu-HU"/>
        </w:rPr>
        <w:t>előretekintően</w:t>
      </w:r>
      <w:proofErr w:type="spellEnd"/>
      <w:r w:rsidRPr="00A42090">
        <w:rPr>
          <w:rFonts w:cs="Times New Roman"/>
          <w:lang w:val="hu-HU"/>
        </w:rPr>
        <w:t xml:space="preserve"> áraznak be jövőbeli politikai irányokat, és a választási eseményekről szóló hírek jelentősen alakítják a </w:t>
      </w:r>
      <w:proofErr w:type="spellStart"/>
      <w:r w:rsidRPr="00A42090">
        <w:rPr>
          <w:rFonts w:cs="Times New Roman"/>
          <w:lang w:val="hu-HU"/>
        </w:rPr>
        <w:t>szektorális</w:t>
      </w:r>
      <w:proofErr w:type="spellEnd"/>
      <w:r w:rsidRPr="00A42090">
        <w:rPr>
          <w:rFonts w:cs="Times New Roman"/>
          <w:lang w:val="hu-HU"/>
        </w:rPr>
        <w:t xml:space="preserve"> részvényárak alakulását. Ez a megközelítés kiterjeszti a politikai bizonytalanság és a részvénypiac kapcsolatáról szóló irodalmat azáltal, hogy nemcsak a volatilitás, hanem kifejezetten a szektorhozamok irányított reakcióit vizsgálja, és hangsúlyozza a politikai platformok konkrét piaci következményeit.</w:t>
      </w:r>
    </w:p>
    <w:p w14:paraId="26673AEF" w14:textId="4CD7D0E7" w:rsidR="0043244B" w:rsidRPr="00A42090" w:rsidRDefault="00EA17D7" w:rsidP="00EA17D7">
      <w:pPr>
        <w:pStyle w:val="Cmsor2"/>
        <w:rPr>
          <w:rFonts w:cs="Times New Roman"/>
          <w:bCs/>
          <w:szCs w:val="24"/>
        </w:rPr>
      </w:pPr>
      <w:bookmarkStart w:id="7" w:name="_Toc218075151"/>
      <w:r w:rsidRPr="00A42090">
        <w:rPr>
          <w:rFonts w:cs="Times New Roman"/>
          <w:lang w:val="hu-HU"/>
        </w:rPr>
        <w:lastRenderedPageBreak/>
        <w:t>Hosszabb</w:t>
      </w:r>
      <w:r w:rsidRPr="00A42090">
        <w:rPr>
          <w:rFonts w:cs="Times New Roman"/>
          <w:bCs/>
          <w:szCs w:val="24"/>
        </w:rPr>
        <w:t xml:space="preserve"> </w:t>
      </w:r>
      <w:proofErr w:type="spellStart"/>
      <w:r w:rsidRPr="00A42090">
        <w:rPr>
          <w:rFonts w:cs="Times New Roman"/>
          <w:bCs/>
          <w:szCs w:val="24"/>
        </w:rPr>
        <w:t>távú</w:t>
      </w:r>
      <w:proofErr w:type="spellEnd"/>
      <w:r w:rsidRPr="00A42090">
        <w:rPr>
          <w:rFonts w:cs="Times New Roman"/>
          <w:bCs/>
          <w:szCs w:val="24"/>
        </w:rPr>
        <w:t xml:space="preserve"> </w:t>
      </w:r>
      <w:proofErr w:type="spellStart"/>
      <w:r w:rsidRPr="00A42090">
        <w:rPr>
          <w:rFonts w:cs="Times New Roman"/>
          <w:bCs/>
          <w:szCs w:val="24"/>
        </w:rPr>
        <w:t>összefüggések</w:t>
      </w:r>
      <w:proofErr w:type="spellEnd"/>
      <w:r w:rsidRPr="00A42090">
        <w:rPr>
          <w:rFonts w:cs="Times New Roman"/>
          <w:bCs/>
          <w:szCs w:val="24"/>
        </w:rPr>
        <w:t xml:space="preserve"> </w:t>
      </w:r>
      <w:proofErr w:type="spellStart"/>
      <w:r w:rsidRPr="00A42090">
        <w:rPr>
          <w:rFonts w:cs="Times New Roman"/>
          <w:bCs/>
          <w:szCs w:val="24"/>
        </w:rPr>
        <w:t>és</w:t>
      </w:r>
      <w:proofErr w:type="spellEnd"/>
      <w:r w:rsidRPr="00A42090">
        <w:rPr>
          <w:rFonts w:cs="Times New Roman"/>
          <w:bCs/>
          <w:szCs w:val="24"/>
        </w:rPr>
        <w:t xml:space="preserve"> </w:t>
      </w:r>
      <w:proofErr w:type="spellStart"/>
      <w:r w:rsidRPr="00A42090">
        <w:rPr>
          <w:rFonts w:cs="Times New Roman"/>
          <w:bCs/>
          <w:szCs w:val="24"/>
        </w:rPr>
        <w:t>ciklikus</w:t>
      </w:r>
      <w:proofErr w:type="spellEnd"/>
      <w:r w:rsidRPr="00A42090">
        <w:rPr>
          <w:rFonts w:cs="Times New Roman"/>
          <w:bCs/>
          <w:szCs w:val="24"/>
        </w:rPr>
        <w:t xml:space="preserve"> </w:t>
      </w:r>
      <w:proofErr w:type="spellStart"/>
      <w:r w:rsidRPr="00A42090">
        <w:rPr>
          <w:rFonts w:cs="Times New Roman"/>
          <w:bCs/>
          <w:szCs w:val="24"/>
        </w:rPr>
        <w:t>hatások</w:t>
      </w:r>
      <w:bookmarkEnd w:id="7"/>
      <w:proofErr w:type="spellEnd"/>
    </w:p>
    <w:p w14:paraId="78CBDB72" w14:textId="77777777" w:rsidR="003C5F31" w:rsidRPr="00A42090" w:rsidRDefault="003C5F31" w:rsidP="003C5F31">
      <w:pPr>
        <w:rPr>
          <w:rFonts w:cs="Times New Roman"/>
          <w:lang w:val="hu-HU"/>
        </w:rPr>
      </w:pPr>
      <w:r w:rsidRPr="00A42090">
        <w:rPr>
          <w:rFonts w:cs="Times New Roman"/>
          <w:lang w:val="hu-HU"/>
        </w:rPr>
        <w:t xml:space="preserve">Bár jelen kutatás kifejezetten a rövid távú árfolyamreakciókra fókuszál, az irodalom rámutat arra, hogy az elnökválasztások hosszabb távú gazdasági és piaci hatásokkal is járhatnak. </w:t>
      </w:r>
      <w:proofErr w:type="spellStart"/>
      <w:r w:rsidRPr="00A42090">
        <w:rPr>
          <w:rFonts w:cs="Times New Roman"/>
          <w:lang w:val="hu-HU"/>
        </w:rPr>
        <w:t>Chien</w:t>
      </w:r>
      <w:proofErr w:type="spellEnd"/>
      <w:r w:rsidRPr="00A42090">
        <w:rPr>
          <w:rFonts w:cs="Times New Roman"/>
          <w:lang w:val="hu-HU"/>
        </w:rPr>
        <w:t xml:space="preserve"> és szerzőtársai (2016) szerint a választás utáni részvénypiaci hozamok rövid távon előre jelezhetik a gazdasági növekedés alakulását (</w:t>
      </w:r>
      <w:proofErr w:type="spellStart"/>
      <w:r w:rsidRPr="00A42090">
        <w:rPr>
          <w:rFonts w:cs="Times New Roman"/>
          <w:lang w:val="hu-HU"/>
        </w:rPr>
        <w:t>Chien</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2016). </w:t>
      </w:r>
      <w:proofErr w:type="spellStart"/>
      <w:r w:rsidRPr="00A42090">
        <w:rPr>
          <w:rFonts w:cs="Times New Roman"/>
          <w:lang w:val="hu-HU"/>
        </w:rPr>
        <w:t>Blanchard</w:t>
      </w:r>
      <w:proofErr w:type="spellEnd"/>
      <w:r w:rsidRPr="00A42090">
        <w:rPr>
          <w:rFonts w:cs="Times New Roman"/>
          <w:lang w:val="hu-HU"/>
        </w:rPr>
        <w:t xml:space="preserve"> és szerzőtársai (2018) azt találják, hogy a 2016-os választást követő piaci fellendülés jelentős része fundamentális tényezőkkel, például a várt osztalékok növekedésével magyarázható (</w:t>
      </w:r>
      <w:proofErr w:type="spellStart"/>
      <w:r w:rsidRPr="00A42090">
        <w:rPr>
          <w:rFonts w:cs="Times New Roman"/>
          <w:lang w:val="hu-HU"/>
        </w:rPr>
        <w:t>Blanchard</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2018).</w:t>
      </w:r>
    </w:p>
    <w:p w14:paraId="3FAEA79D" w14:textId="77777777" w:rsidR="003C5F31" w:rsidRPr="00A42090" w:rsidRDefault="003C5F31" w:rsidP="003C5F31">
      <w:pPr>
        <w:rPr>
          <w:rFonts w:cs="Times New Roman"/>
          <w:lang w:val="hu-HU"/>
        </w:rPr>
      </w:pPr>
      <w:proofErr w:type="spellStart"/>
      <w:r w:rsidRPr="00A42090">
        <w:rPr>
          <w:rFonts w:cs="Times New Roman"/>
          <w:lang w:val="hu-HU"/>
        </w:rPr>
        <w:t>Wong</w:t>
      </w:r>
      <w:proofErr w:type="spellEnd"/>
      <w:r w:rsidRPr="00A42090">
        <w:rPr>
          <w:rFonts w:cs="Times New Roman"/>
          <w:lang w:val="hu-HU"/>
        </w:rPr>
        <w:t xml:space="preserve"> és </w:t>
      </w:r>
      <w:proofErr w:type="spellStart"/>
      <w:r w:rsidRPr="00A42090">
        <w:rPr>
          <w:rFonts w:cs="Times New Roman"/>
          <w:lang w:val="hu-HU"/>
        </w:rPr>
        <w:t>McAleer</w:t>
      </w:r>
      <w:proofErr w:type="spellEnd"/>
      <w:r w:rsidRPr="00A42090">
        <w:rPr>
          <w:rFonts w:cs="Times New Roman"/>
          <w:lang w:val="hu-HU"/>
        </w:rPr>
        <w:t xml:space="preserve"> (2009) az elnökválasztási ciklus egészét vizsgálva arra jutnak, hogy a politikai ciklusok szezonális </w:t>
      </w:r>
      <w:proofErr w:type="spellStart"/>
      <w:r w:rsidRPr="00A42090">
        <w:rPr>
          <w:rFonts w:cs="Times New Roman"/>
          <w:lang w:val="hu-HU"/>
        </w:rPr>
        <w:t>mintázatokat</w:t>
      </w:r>
      <w:proofErr w:type="spellEnd"/>
      <w:r w:rsidRPr="00A42090">
        <w:rPr>
          <w:rFonts w:cs="Times New Roman"/>
          <w:lang w:val="hu-HU"/>
        </w:rPr>
        <w:t xml:space="preserve"> hagyhatnak a részvénypiaci hozamokban (</w:t>
      </w:r>
      <w:proofErr w:type="spellStart"/>
      <w:r w:rsidRPr="00A42090">
        <w:rPr>
          <w:rFonts w:cs="Times New Roman"/>
          <w:lang w:val="hu-HU"/>
        </w:rPr>
        <w:t>Wong</w:t>
      </w:r>
      <w:proofErr w:type="spellEnd"/>
      <w:r w:rsidRPr="00A42090">
        <w:rPr>
          <w:rFonts w:cs="Times New Roman"/>
          <w:lang w:val="hu-HU"/>
        </w:rPr>
        <w:t xml:space="preserve"> &amp; </w:t>
      </w:r>
      <w:proofErr w:type="spellStart"/>
      <w:r w:rsidRPr="00A42090">
        <w:rPr>
          <w:rFonts w:cs="Times New Roman"/>
          <w:lang w:val="hu-HU"/>
        </w:rPr>
        <w:t>McAleer</w:t>
      </w:r>
      <w:proofErr w:type="spellEnd"/>
      <w:r w:rsidRPr="00A42090">
        <w:rPr>
          <w:rFonts w:cs="Times New Roman"/>
          <w:lang w:val="hu-HU"/>
        </w:rPr>
        <w:t>, 2009). Ezek az eredmények kontextust adnak a rövid távú eseményvizsgálati eredmények értelmezéséhez.</w:t>
      </w:r>
    </w:p>
    <w:p w14:paraId="11244018" w14:textId="1C6464B2" w:rsidR="00EA17D7" w:rsidRPr="00A42090" w:rsidRDefault="0029089D" w:rsidP="0029089D">
      <w:pPr>
        <w:pStyle w:val="Cmsor2"/>
        <w:rPr>
          <w:rFonts w:cs="Times New Roman"/>
          <w:bCs/>
          <w:szCs w:val="24"/>
        </w:rPr>
      </w:pPr>
      <w:bookmarkStart w:id="8" w:name="_Toc218075152"/>
      <w:proofErr w:type="spellStart"/>
      <w:r w:rsidRPr="00A42090">
        <w:rPr>
          <w:rFonts w:cs="Times New Roman"/>
          <w:bCs/>
          <w:szCs w:val="24"/>
        </w:rPr>
        <w:t>Nemzetközi</w:t>
      </w:r>
      <w:proofErr w:type="spellEnd"/>
      <w:r w:rsidRPr="00A42090">
        <w:rPr>
          <w:rFonts w:cs="Times New Roman"/>
          <w:bCs/>
          <w:szCs w:val="24"/>
        </w:rPr>
        <w:t xml:space="preserve"> </w:t>
      </w:r>
      <w:proofErr w:type="spellStart"/>
      <w:r w:rsidRPr="00A42090">
        <w:rPr>
          <w:rFonts w:cs="Times New Roman"/>
          <w:bCs/>
          <w:szCs w:val="24"/>
        </w:rPr>
        <w:t>tapasztalatok</w:t>
      </w:r>
      <w:proofErr w:type="spellEnd"/>
      <w:r w:rsidRPr="00A42090">
        <w:rPr>
          <w:rFonts w:cs="Times New Roman"/>
          <w:bCs/>
          <w:szCs w:val="24"/>
        </w:rPr>
        <w:t xml:space="preserve"> </w:t>
      </w:r>
      <w:proofErr w:type="spellStart"/>
      <w:r w:rsidRPr="00A42090">
        <w:rPr>
          <w:rFonts w:cs="Times New Roman"/>
          <w:bCs/>
          <w:szCs w:val="24"/>
        </w:rPr>
        <w:t>és</w:t>
      </w:r>
      <w:proofErr w:type="spellEnd"/>
      <w:r w:rsidRPr="00A42090">
        <w:rPr>
          <w:rFonts w:cs="Times New Roman"/>
          <w:bCs/>
          <w:szCs w:val="24"/>
        </w:rPr>
        <w:t xml:space="preserve"> </w:t>
      </w:r>
      <w:proofErr w:type="spellStart"/>
      <w:r w:rsidRPr="00A42090">
        <w:rPr>
          <w:rFonts w:cs="Times New Roman"/>
          <w:bCs/>
          <w:szCs w:val="24"/>
        </w:rPr>
        <w:t>összehasonlító</w:t>
      </w:r>
      <w:proofErr w:type="spellEnd"/>
      <w:r w:rsidRPr="00A42090">
        <w:rPr>
          <w:rFonts w:cs="Times New Roman"/>
          <w:bCs/>
          <w:szCs w:val="24"/>
        </w:rPr>
        <w:t xml:space="preserve"> </w:t>
      </w:r>
      <w:proofErr w:type="spellStart"/>
      <w:r w:rsidRPr="00A42090">
        <w:rPr>
          <w:rFonts w:cs="Times New Roman"/>
          <w:bCs/>
          <w:szCs w:val="24"/>
        </w:rPr>
        <w:t>eredmények</w:t>
      </w:r>
      <w:bookmarkEnd w:id="8"/>
      <w:proofErr w:type="spellEnd"/>
    </w:p>
    <w:p w14:paraId="6744717C" w14:textId="77777777" w:rsidR="007C1461" w:rsidRPr="00A42090" w:rsidRDefault="007C1461" w:rsidP="007C1461">
      <w:pPr>
        <w:rPr>
          <w:rFonts w:cs="Times New Roman"/>
          <w:lang w:val="hu-HU"/>
        </w:rPr>
      </w:pPr>
      <w:r w:rsidRPr="00A42090">
        <w:rPr>
          <w:rFonts w:cs="Times New Roman"/>
          <w:lang w:val="hu-HU"/>
        </w:rPr>
        <w:t xml:space="preserve">A nemzetközi szakirodalom arra utal, hogy a választások részvénypiaci hatása erősen függ a piaci fejlettségtől és az intézményi környezettől. </w:t>
      </w:r>
      <w:proofErr w:type="spellStart"/>
      <w:r w:rsidRPr="00A42090">
        <w:rPr>
          <w:rFonts w:cs="Times New Roman"/>
          <w:lang w:val="hu-HU"/>
        </w:rPr>
        <w:t>Chavali</w:t>
      </w:r>
      <w:proofErr w:type="spellEnd"/>
      <w:r w:rsidRPr="00A42090">
        <w:rPr>
          <w:rFonts w:cs="Times New Roman"/>
          <w:lang w:val="hu-HU"/>
        </w:rPr>
        <w:t xml:space="preserve"> és szerzőtársai (2020) indiai adatokon azt találják, hogy a választások általában pozitív piaci reakcióval járnak, különösen a politikailag érzékeny és állami tulajdonú vállalatok esetében (</w:t>
      </w:r>
      <w:proofErr w:type="spellStart"/>
      <w:r w:rsidRPr="00A42090">
        <w:rPr>
          <w:rFonts w:cs="Times New Roman"/>
          <w:lang w:val="hu-HU"/>
        </w:rPr>
        <w:t>Chavali</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xml:space="preserve">., 2020). </w:t>
      </w:r>
      <w:proofErr w:type="spellStart"/>
      <w:r w:rsidRPr="00A42090">
        <w:rPr>
          <w:rFonts w:cs="Times New Roman"/>
          <w:lang w:val="hu-HU"/>
        </w:rPr>
        <w:t>Yiadom</w:t>
      </w:r>
      <w:proofErr w:type="spellEnd"/>
      <w:r w:rsidRPr="00A42090">
        <w:rPr>
          <w:rFonts w:cs="Times New Roman"/>
          <w:lang w:val="hu-HU"/>
        </w:rPr>
        <w:t xml:space="preserve"> és szerzőtársai (2024) afrikai piacokat vizsgálva kimutatják, hogy míg a választási kampányok gyakran élénkítik a piacokat, addig a kormányváltások inkább negatív hatással bírnak (</w:t>
      </w:r>
      <w:proofErr w:type="spellStart"/>
      <w:r w:rsidRPr="00A42090">
        <w:rPr>
          <w:rFonts w:cs="Times New Roman"/>
          <w:lang w:val="hu-HU"/>
        </w:rPr>
        <w:t>Yiadom</w:t>
      </w:r>
      <w:proofErr w:type="spellEnd"/>
      <w:r w:rsidRPr="00A42090">
        <w:rPr>
          <w:rFonts w:cs="Times New Roman"/>
          <w:lang w:val="hu-HU"/>
        </w:rPr>
        <w:t xml:space="preserve"> </w:t>
      </w:r>
      <w:proofErr w:type="spellStart"/>
      <w:r w:rsidRPr="00A42090">
        <w:rPr>
          <w:rFonts w:cs="Times New Roman"/>
          <w:lang w:val="hu-HU"/>
        </w:rPr>
        <w:t>et</w:t>
      </w:r>
      <w:proofErr w:type="spellEnd"/>
      <w:r w:rsidRPr="00A42090">
        <w:rPr>
          <w:rFonts w:cs="Times New Roman"/>
          <w:lang w:val="hu-HU"/>
        </w:rPr>
        <w:t xml:space="preserve"> </w:t>
      </w:r>
      <w:proofErr w:type="spellStart"/>
      <w:r w:rsidRPr="00A42090">
        <w:rPr>
          <w:rFonts w:cs="Times New Roman"/>
          <w:lang w:val="hu-HU"/>
        </w:rPr>
        <w:t>al</w:t>
      </w:r>
      <w:proofErr w:type="spellEnd"/>
      <w:r w:rsidRPr="00A42090">
        <w:rPr>
          <w:rFonts w:cs="Times New Roman"/>
          <w:lang w:val="hu-HU"/>
        </w:rPr>
        <w:t>., 2024).</w:t>
      </w:r>
    </w:p>
    <w:p w14:paraId="3B3FB6BA" w14:textId="2C980BD6" w:rsidR="007C1461" w:rsidRPr="00A42090" w:rsidRDefault="007C1461" w:rsidP="007C1461">
      <w:pPr>
        <w:rPr>
          <w:rFonts w:cs="Times New Roman"/>
          <w:lang w:val="hu-HU"/>
        </w:rPr>
      </w:pPr>
      <w:r w:rsidRPr="00A42090">
        <w:rPr>
          <w:rFonts w:cs="Times New Roman"/>
          <w:lang w:val="hu-HU"/>
        </w:rPr>
        <w:t xml:space="preserve">Összességében az irodalom azt mutatja, hogy az amerikai elnökválasztások részvénypiaci hatásai összetettek, szektorspecifikusak és időben eltérő módon jelentkeznek. Ezek az eredmények erősen alátámasztják jelen kutatás relevanciáját, amely eseményvizsgálati módszerrel elemzi a 2024-es </w:t>
      </w:r>
      <w:r w:rsidRPr="00A42090">
        <w:rPr>
          <w:rFonts w:cs="Times New Roman"/>
          <w:lang w:val="hu-HU"/>
        </w:rPr>
        <w:lastRenderedPageBreak/>
        <w:t>amerikai elnökválasztás eredményének rövid távú hatását egyes amerikai részvények árfolyamára, szektorspecifikus bontásban.</w:t>
      </w:r>
    </w:p>
    <w:p w14:paraId="732994F2" w14:textId="5AB0B1FC" w:rsidR="006B1304" w:rsidRPr="00A42090" w:rsidRDefault="006B1304" w:rsidP="00BD071C">
      <w:pPr>
        <w:pStyle w:val="Cmsor1"/>
        <w:spacing w:before="0"/>
        <w:rPr>
          <w:rFonts w:cs="Times New Roman"/>
          <w:lang w:val="hu-HU"/>
        </w:rPr>
      </w:pPr>
      <w:bookmarkStart w:id="9" w:name="_Toc218075153"/>
      <w:r w:rsidRPr="00A42090">
        <w:rPr>
          <w:rFonts w:cs="Times New Roman"/>
          <w:lang w:val="hu-HU"/>
        </w:rPr>
        <w:t>Módszertan</w:t>
      </w:r>
      <w:bookmarkEnd w:id="9"/>
    </w:p>
    <w:p w14:paraId="71FCF564" w14:textId="59EB9563" w:rsidR="00A83872" w:rsidRPr="00A42090" w:rsidRDefault="00A83872" w:rsidP="00BD071C">
      <w:pPr>
        <w:spacing w:after="80"/>
        <w:rPr>
          <w:rFonts w:cs="Times New Roman"/>
          <w:lang w:val="hu-HU"/>
        </w:rPr>
      </w:pPr>
      <w:r w:rsidRPr="00A42090">
        <w:rPr>
          <w:rFonts w:cs="Times New Roman"/>
          <w:lang w:val="hu-HU"/>
        </w:rPr>
        <w:t>A</w:t>
      </w:r>
      <w:r w:rsidR="00DA2CCA" w:rsidRPr="00A42090">
        <w:rPr>
          <w:rFonts w:cs="Times New Roman"/>
          <w:lang w:val="hu-HU"/>
        </w:rPr>
        <w:t xml:space="preserve"> kutatásunk során az eseményelemzés módszertanát használtuk</w:t>
      </w:r>
      <w:r w:rsidR="004E22E5" w:rsidRPr="00A42090">
        <w:rPr>
          <w:rFonts w:cs="Times New Roman"/>
          <w:lang w:val="hu-HU"/>
        </w:rPr>
        <w:t>.</w:t>
      </w:r>
      <w:r w:rsidR="002F2551" w:rsidRPr="00A42090">
        <w:rPr>
          <w:rFonts w:cs="Times New Roman"/>
          <w:lang w:val="hu-HU"/>
        </w:rPr>
        <w:t xml:space="preserve"> Az elemzés során feltesszük, hogy </w:t>
      </w:r>
      <w:r w:rsidR="00F63899" w:rsidRPr="00A42090">
        <w:rPr>
          <w:rFonts w:cs="Times New Roman"/>
          <w:lang w:val="hu-HU"/>
        </w:rPr>
        <w:t xml:space="preserve">az eszközök napi loghozama egy </w:t>
      </w:r>
      <w:r w:rsidR="005244C0" w:rsidRPr="00A42090">
        <w:rPr>
          <w:rFonts w:cs="Times New Roman"/>
          <w:lang w:val="hu-HU"/>
        </w:rPr>
        <w:t xml:space="preserve">6+1 </w:t>
      </w:r>
      <w:r w:rsidR="00F63899" w:rsidRPr="00A42090">
        <w:rPr>
          <w:rFonts w:cs="Times New Roman"/>
          <w:lang w:val="hu-HU"/>
        </w:rPr>
        <w:t xml:space="preserve">faktoros modellel írható le, amelyek </w:t>
      </w:r>
      <w:r w:rsidR="00432735" w:rsidRPr="00A42090">
        <w:rPr>
          <w:rFonts w:cs="Times New Roman"/>
          <w:lang w:val="hu-HU"/>
        </w:rPr>
        <w:t xml:space="preserve">a </w:t>
      </w:r>
      <w:proofErr w:type="spellStart"/>
      <w:r w:rsidR="00432735" w:rsidRPr="00A42090">
        <w:rPr>
          <w:rFonts w:cs="Times New Roman"/>
          <w:lang w:val="hu-HU"/>
        </w:rPr>
        <w:t>Fama</w:t>
      </w:r>
      <w:proofErr w:type="spellEnd"/>
      <w:r w:rsidR="00432735" w:rsidRPr="00A42090">
        <w:rPr>
          <w:rFonts w:cs="Times New Roman"/>
          <w:lang w:val="hu-HU"/>
        </w:rPr>
        <w:t xml:space="preserve"> és </w:t>
      </w:r>
      <w:proofErr w:type="spellStart"/>
      <w:r w:rsidR="00432735" w:rsidRPr="00A42090">
        <w:rPr>
          <w:rFonts w:cs="Times New Roman"/>
          <w:lang w:val="hu-HU"/>
        </w:rPr>
        <w:t>French</w:t>
      </w:r>
      <w:proofErr w:type="spellEnd"/>
      <w:r w:rsidR="00432735" w:rsidRPr="00A42090">
        <w:rPr>
          <w:rFonts w:cs="Times New Roman"/>
          <w:lang w:val="hu-HU"/>
        </w:rPr>
        <w:t xml:space="preserve"> </w:t>
      </w:r>
      <w:r w:rsidR="00CA37F9" w:rsidRPr="00A42090">
        <w:rPr>
          <w:rFonts w:cs="Times New Roman"/>
          <w:lang w:val="hu-HU"/>
        </w:rPr>
        <w:t>(201</w:t>
      </w:r>
      <w:r w:rsidR="009B4B7B" w:rsidRPr="00A42090">
        <w:rPr>
          <w:rFonts w:cs="Times New Roman"/>
          <w:lang w:val="hu-HU"/>
        </w:rPr>
        <w:t>5</w:t>
      </w:r>
      <w:r w:rsidR="00CA37F9" w:rsidRPr="00A42090">
        <w:rPr>
          <w:rFonts w:cs="Times New Roman"/>
          <w:lang w:val="hu-HU"/>
        </w:rPr>
        <w:t>)</w:t>
      </w:r>
      <w:r w:rsidR="004D2D51" w:rsidRPr="00A42090">
        <w:rPr>
          <w:rFonts w:cs="Times New Roman"/>
          <w:lang w:val="hu-HU"/>
        </w:rPr>
        <w:t xml:space="preserve"> által javasolt 5 faktor (piac</w:t>
      </w:r>
      <w:r w:rsidR="00047C80" w:rsidRPr="00A42090">
        <w:rPr>
          <w:rFonts w:cs="Times New Roman"/>
          <w:lang w:val="hu-HU"/>
        </w:rPr>
        <w:t>i béta</w:t>
      </w:r>
      <w:r w:rsidR="004D2D51" w:rsidRPr="00A42090">
        <w:rPr>
          <w:rFonts w:cs="Times New Roman"/>
          <w:lang w:val="hu-HU"/>
        </w:rPr>
        <w:t>, m</w:t>
      </w:r>
      <w:r w:rsidR="00260B33" w:rsidRPr="00A42090">
        <w:rPr>
          <w:rFonts w:cs="Times New Roman"/>
          <w:lang w:val="hu-HU"/>
        </w:rPr>
        <w:t xml:space="preserve">éret, érték, </w:t>
      </w:r>
      <w:r w:rsidR="00246E25" w:rsidRPr="00A42090">
        <w:rPr>
          <w:rFonts w:cs="Times New Roman"/>
          <w:lang w:val="hu-HU"/>
        </w:rPr>
        <w:t>jövedelmezőség és beruházás)</w:t>
      </w:r>
      <w:r w:rsidR="007A5EFC" w:rsidRPr="00A42090">
        <w:rPr>
          <w:rFonts w:cs="Times New Roman"/>
          <w:lang w:val="hu-HU"/>
        </w:rPr>
        <w:t xml:space="preserve"> mellett </w:t>
      </w:r>
      <w:r w:rsidR="005244C0" w:rsidRPr="00A42090">
        <w:rPr>
          <w:rFonts w:cs="Times New Roman"/>
          <w:lang w:val="hu-HU"/>
        </w:rPr>
        <w:t>a momentum faktor jelenti a modell alapját (</w:t>
      </w:r>
      <w:proofErr w:type="spellStart"/>
      <w:r w:rsidR="005244C0" w:rsidRPr="00A42090">
        <w:rPr>
          <w:rFonts w:cs="Times New Roman"/>
          <w:lang w:val="hu-HU"/>
        </w:rPr>
        <w:t>Fama</w:t>
      </w:r>
      <w:proofErr w:type="spellEnd"/>
      <w:r w:rsidR="005244C0" w:rsidRPr="00A42090">
        <w:rPr>
          <w:rFonts w:cs="Times New Roman"/>
          <w:lang w:val="hu-HU"/>
        </w:rPr>
        <w:t xml:space="preserve"> és </w:t>
      </w:r>
      <w:proofErr w:type="spellStart"/>
      <w:r w:rsidR="005244C0" w:rsidRPr="00A42090">
        <w:rPr>
          <w:rFonts w:cs="Times New Roman"/>
          <w:lang w:val="hu-HU"/>
        </w:rPr>
        <w:t>French</w:t>
      </w:r>
      <w:proofErr w:type="spellEnd"/>
      <w:r w:rsidR="00BD071C" w:rsidRPr="00A42090">
        <w:rPr>
          <w:rFonts w:cs="Times New Roman"/>
          <w:lang w:val="hu-HU"/>
        </w:rPr>
        <w:t xml:space="preserve">, 1993; 2012; 2015). A hetedik faktor a 2024-es amerikai elnökválasztás várható eredményét leíró faktor, amely Donald J. </w:t>
      </w:r>
      <w:proofErr w:type="spellStart"/>
      <w:r w:rsidR="00BD071C" w:rsidRPr="00A42090">
        <w:rPr>
          <w:rFonts w:cs="Times New Roman"/>
          <w:lang w:val="hu-HU"/>
        </w:rPr>
        <w:t>Trump</w:t>
      </w:r>
      <w:proofErr w:type="spellEnd"/>
      <w:r w:rsidR="00BD071C" w:rsidRPr="00A42090">
        <w:rPr>
          <w:rFonts w:cs="Times New Roman"/>
          <w:lang w:val="hu-HU"/>
        </w:rPr>
        <w:t xml:space="preserve"> republikánus elnökjelölt átlagos előnyét mutatja a közvélemény-kutatások </w:t>
      </w:r>
      <w:r w:rsidR="003707C3" w:rsidRPr="00A42090">
        <w:rPr>
          <w:rFonts w:cs="Times New Roman"/>
          <w:lang w:val="hu-HU"/>
        </w:rPr>
        <w:t>alapján</w:t>
      </w:r>
      <w:r w:rsidR="00EB227C" w:rsidRPr="00A42090">
        <w:rPr>
          <w:rFonts w:cs="Times New Roman"/>
          <w:lang w:val="hu-HU"/>
        </w:rPr>
        <w:t xml:space="preserve"> (</w:t>
      </w:r>
      <w:proofErr w:type="spellStart"/>
      <w:r w:rsidR="00D65999" w:rsidRPr="00A42090">
        <w:rPr>
          <w:rFonts w:cs="Times New Roman"/>
          <w:i/>
          <w:iCs/>
          <w:lang w:val="hu-HU"/>
        </w:rPr>
        <w:t>Trump_lead</w:t>
      </w:r>
      <w:proofErr w:type="spellEnd"/>
      <w:r w:rsidR="00D65999" w:rsidRPr="00A42090">
        <w:rPr>
          <w:rFonts w:cs="Times New Roman"/>
          <w:lang w:val="hu-HU"/>
        </w:rPr>
        <w:t>).</w:t>
      </w:r>
    </w:p>
    <w:p w14:paraId="4194E75D" w14:textId="37A4971E" w:rsidR="00D65999" w:rsidRPr="00A42090" w:rsidRDefault="00A13E0B" w:rsidP="00A13E0B">
      <w:pPr>
        <w:pStyle w:val="Cmsor2"/>
        <w:rPr>
          <w:rFonts w:cs="Times New Roman"/>
          <w:lang w:val="hu-HU"/>
        </w:rPr>
      </w:pPr>
      <w:bookmarkStart w:id="10" w:name="_Toc218075154"/>
      <w:r w:rsidRPr="00A42090">
        <w:rPr>
          <w:rFonts w:cs="Times New Roman"/>
          <w:lang w:val="hu-HU"/>
        </w:rPr>
        <w:t>Adatok</w:t>
      </w:r>
      <w:bookmarkEnd w:id="10"/>
    </w:p>
    <w:p w14:paraId="5CB7F3CF" w14:textId="721BF077" w:rsidR="00A13E0B" w:rsidRPr="00A42090" w:rsidRDefault="00A13E0B" w:rsidP="00A13E0B">
      <w:pPr>
        <w:rPr>
          <w:rFonts w:cs="Times New Roman"/>
          <w:lang w:val="hu-HU"/>
        </w:rPr>
      </w:pPr>
      <w:r w:rsidRPr="00A42090">
        <w:rPr>
          <w:rFonts w:cs="Times New Roman"/>
          <w:lang w:val="hu-HU"/>
        </w:rPr>
        <w:t xml:space="preserve">Az elemzéshez felhasznált részvényár-adatokat az Investing.com nevű weboldalról töltöttük le több szempont alapján kiválasztott részvényekre. A két fő részvénycsoportba azok a nagyvállalatok kerültek, akik az egyes elnökjelöltek várható intézkedéseinek előnyeit élvező szektorok legnagyobb </w:t>
      </w:r>
      <w:proofErr w:type="spellStart"/>
      <w:r w:rsidRPr="00A42090">
        <w:rPr>
          <w:rFonts w:cs="Times New Roman"/>
          <w:lang w:val="hu-HU"/>
        </w:rPr>
        <w:t>kapitalizációjával</w:t>
      </w:r>
      <w:proofErr w:type="spellEnd"/>
      <w:r w:rsidRPr="00A42090">
        <w:rPr>
          <w:rFonts w:cs="Times New Roman"/>
          <w:lang w:val="hu-HU"/>
        </w:rPr>
        <w:t xml:space="preserve"> rendelkeznek az amerikai részvénypiacon. A harmadik csoportot a </w:t>
      </w:r>
      <w:proofErr w:type="spellStart"/>
      <w:r w:rsidRPr="00A42090">
        <w:rPr>
          <w:rFonts w:cs="Times New Roman"/>
          <w:lang w:val="hu-HU"/>
        </w:rPr>
        <w:t>tech</w:t>
      </w:r>
      <w:proofErr w:type="spellEnd"/>
      <w:r w:rsidRPr="00A42090">
        <w:rPr>
          <w:rFonts w:cs="Times New Roman"/>
          <w:lang w:val="hu-HU"/>
        </w:rPr>
        <w:t xml:space="preserve"> szektor nagyvállalatai képezték, amelyekről ugyan a várható lazább szabályozói környezet miatt azt feltételeztük, hogy Donald </w:t>
      </w:r>
      <w:proofErr w:type="spellStart"/>
      <w:r w:rsidRPr="00A42090">
        <w:rPr>
          <w:rFonts w:cs="Times New Roman"/>
          <w:lang w:val="hu-HU"/>
        </w:rPr>
        <w:t>Trump</w:t>
      </w:r>
      <w:proofErr w:type="spellEnd"/>
      <w:r w:rsidRPr="00A42090">
        <w:rPr>
          <w:rFonts w:cs="Times New Roman"/>
          <w:lang w:val="hu-HU"/>
        </w:rPr>
        <w:t xml:space="preserve"> elnökségének haszonélvezői lehetnek. A </w:t>
      </w:r>
      <w:proofErr w:type="spellStart"/>
      <w:r w:rsidRPr="00A42090">
        <w:rPr>
          <w:rFonts w:cs="Times New Roman"/>
          <w:lang w:val="hu-HU"/>
        </w:rPr>
        <w:t>tech</w:t>
      </w:r>
      <w:proofErr w:type="spellEnd"/>
      <w:r w:rsidRPr="00A42090">
        <w:rPr>
          <w:rFonts w:cs="Times New Roman"/>
          <w:lang w:val="hu-HU"/>
        </w:rPr>
        <w:t xml:space="preserve"> vállalatok azonban nem köthetőek olyan szorosan a republikánus jelölthöz, mint a </w:t>
      </w:r>
      <w:proofErr w:type="spellStart"/>
      <w:r w:rsidRPr="00A42090">
        <w:rPr>
          <w:rFonts w:cs="Times New Roman"/>
          <w:lang w:val="hu-HU"/>
        </w:rPr>
        <w:t>kriptovaluták</w:t>
      </w:r>
      <w:proofErr w:type="spellEnd"/>
      <w:r w:rsidRPr="00A42090">
        <w:rPr>
          <w:rFonts w:cs="Times New Roman"/>
          <w:lang w:val="hu-HU"/>
        </w:rPr>
        <w:t xml:space="preserve">, a hadiipari nagyvállalatok, vagy éppen az </w:t>
      </w:r>
      <w:proofErr w:type="spellStart"/>
      <w:r w:rsidRPr="00A42090">
        <w:rPr>
          <w:rFonts w:cs="Times New Roman"/>
          <w:lang w:val="hu-HU"/>
        </w:rPr>
        <w:t>Elon</w:t>
      </w:r>
      <w:proofErr w:type="spellEnd"/>
      <w:r w:rsidRPr="00A42090">
        <w:rPr>
          <w:rFonts w:cs="Times New Roman"/>
          <w:lang w:val="hu-HU"/>
        </w:rPr>
        <w:t xml:space="preserve"> </w:t>
      </w:r>
      <w:proofErr w:type="spellStart"/>
      <w:r w:rsidRPr="00A42090">
        <w:rPr>
          <w:rFonts w:cs="Times New Roman"/>
          <w:lang w:val="hu-HU"/>
        </w:rPr>
        <w:t>Musk</w:t>
      </w:r>
      <w:proofErr w:type="spellEnd"/>
      <w:r w:rsidRPr="00A42090">
        <w:rPr>
          <w:rFonts w:cs="Times New Roman"/>
          <w:lang w:val="hu-HU"/>
        </w:rPr>
        <w:t xml:space="preserve"> és Donald </w:t>
      </w:r>
      <w:proofErr w:type="spellStart"/>
      <w:r w:rsidRPr="00A42090">
        <w:rPr>
          <w:rFonts w:cs="Times New Roman"/>
          <w:lang w:val="hu-HU"/>
        </w:rPr>
        <w:t>Trump</w:t>
      </w:r>
      <w:proofErr w:type="spellEnd"/>
      <w:r w:rsidRPr="00A42090">
        <w:rPr>
          <w:rFonts w:cs="Times New Roman"/>
          <w:lang w:val="hu-HU"/>
        </w:rPr>
        <w:t xml:space="preserve"> közötti jó viszonynak köszönhetően a Tesla. </w:t>
      </w:r>
      <w:proofErr w:type="spellStart"/>
      <w:r w:rsidRPr="00A42090">
        <w:rPr>
          <w:rFonts w:cs="Times New Roman"/>
          <w:lang w:val="hu-HU"/>
        </w:rPr>
        <w:t>Kamala</w:t>
      </w:r>
      <w:proofErr w:type="spellEnd"/>
      <w:r w:rsidRPr="00A42090">
        <w:rPr>
          <w:rFonts w:cs="Times New Roman"/>
          <w:lang w:val="hu-HU"/>
        </w:rPr>
        <w:t xml:space="preserve"> </w:t>
      </w:r>
      <w:proofErr w:type="spellStart"/>
      <w:r w:rsidRPr="00A42090">
        <w:rPr>
          <w:rFonts w:cs="Times New Roman"/>
          <w:lang w:val="hu-HU"/>
        </w:rPr>
        <w:t>Harrishez</w:t>
      </w:r>
      <w:proofErr w:type="spellEnd"/>
      <w:r w:rsidRPr="00A42090">
        <w:rPr>
          <w:rFonts w:cs="Times New Roman"/>
          <w:lang w:val="hu-HU"/>
        </w:rPr>
        <w:t xml:space="preserve"> pedig olyan szektorok vállalatait kötöttük, mint például az egészségügy, vagy éppen a zöld technológiák.</w:t>
      </w:r>
    </w:p>
    <w:p w14:paraId="23FD1C89" w14:textId="6223E81A" w:rsidR="006F6C21" w:rsidRPr="00A42090" w:rsidRDefault="006F6C21" w:rsidP="00A13E0B">
      <w:pPr>
        <w:rPr>
          <w:rFonts w:cs="Times New Roman"/>
          <w:lang w:val="hu-HU"/>
        </w:rPr>
      </w:pPr>
      <w:r w:rsidRPr="00A42090">
        <w:rPr>
          <w:rFonts w:cs="Times New Roman"/>
          <w:lang w:val="hu-HU"/>
        </w:rPr>
        <w:t xml:space="preserve">A letöltött részvényárfolyamokat napi loghozamokká alakítottuk, amelyeket a faktormodell eredményváltozóiként használtunk. A loghozamok mellett a faktorok adatait Kenneth </w:t>
      </w:r>
      <w:proofErr w:type="spellStart"/>
      <w:r w:rsidRPr="00A42090">
        <w:rPr>
          <w:rFonts w:cs="Times New Roman"/>
          <w:lang w:val="hu-HU"/>
        </w:rPr>
        <w:t>French</w:t>
      </w:r>
      <w:proofErr w:type="spellEnd"/>
      <w:r w:rsidRPr="00A42090">
        <w:rPr>
          <w:rFonts w:cs="Times New Roman"/>
          <w:lang w:val="hu-HU"/>
        </w:rPr>
        <w:t xml:space="preserve"> </w:t>
      </w:r>
      <w:r w:rsidRPr="00A42090">
        <w:rPr>
          <w:rFonts w:cs="Times New Roman"/>
          <w:lang w:val="hu-HU"/>
        </w:rPr>
        <w:lastRenderedPageBreak/>
        <w:t>adatbázisából töltöttük le (</w:t>
      </w:r>
      <w:proofErr w:type="spellStart"/>
      <w:r w:rsidRPr="00A42090">
        <w:rPr>
          <w:rFonts w:cs="Times New Roman"/>
          <w:lang w:val="hu-HU"/>
        </w:rPr>
        <w:t>French</w:t>
      </w:r>
      <w:proofErr w:type="spellEnd"/>
      <w:r w:rsidRPr="00A42090">
        <w:rPr>
          <w:rFonts w:cs="Times New Roman"/>
          <w:lang w:val="hu-HU"/>
        </w:rPr>
        <w:t xml:space="preserve">, 2025). A hetedik faktorként használt </w:t>
      </w:r>
      <w:proofErr w:type="spellStart"/>
      <w:r w:rsidRPr="00A42090">
        <w:rPr>
          <w:rFonts w:cs="Times New Roman"/>
          <w:i/>
          <w:iCs/>
          <w:lang w:val="hu-HU"/>
        </w:rPr>
        <w:t>Trump_lead</w:t>
      </w:r>
      <w:proofErr w:type="spellEnd"/>
      <w:r w:rsidRPr="00A42090">
        <w:rPr>
          <w:rFonts w:cs="Times New Roman"/>
          <w:lang w:val="hu-HU"/>
        </w:rPr>
        <w:t xml:space="preserve"> változó értékeit pedig a </w:t>
      </w:r>
      <w:proofErr w:type="spellStart"/>
      <w:r w:rsidRPr="00A42090">
        <w:rPr>
          <w:rFonts w:cs="Times New Roman"/>
          <w:lang w:val="hu-HU"/>
        </w:rPr>
        <w:t>RealClearPolling</w:t>
      </w:r>
      <w:proofErr w:type="spellEnd"/>
      <w:r w:rsidRPr="00A42090">
        <w:rPr>
          <w:rFonts w:cs="Times New Roman"/>
          <w:lang w:val="hu-HU"/>
        </w:rPr>
        <w:t xml:space="preserve"> (2025</w:t>
      </w:r>
      <w:r w:rsidR="00B113E7" w:rsidRPr="00A42090">
        <w:rPr>
          <w:rFonts w:cs="Times New Roman"/>
          <w:lang w:val="hu-HU"/>
        </w:rPr>
        <w:t>a; 2025b</w:t>
      </w:r>
      <w:r w:rsidRPr="00A42090">
        <w:rPr>
          <w:rFonts w:cs="Times New Roman"/>
          <w:lang w:val="hu-HU"/>
        </w:rPr>
        <w:t xml:space="preserve">) adatbázisa alapján készítettük el, </w:t>
      </w:r>
      <w:proofErr w:type="spellStart"/>
      <w:r w:rsidRPr="00A42090">
        <w:rPr>
          <w:rFonts w:cs="Times New Roman"/>
          <w:lang w:val="hu-HU"/>
        </w:rPr>
        <w:t>Kalman</w:t>
      </w:r>
      <w:proofErr w:type="spellEnd"/>
      <w:r w:rsidRPr="00A42090">
        <w:rPr>
          <w:rFonts w:cs="Times New Roman"/>
          <w:lang w:val="hu-HU"/>
        </w:rPr>
        <w:t xml:space="preserve">-szűrő alkalmazásával </w:t>
      </w:r>
      <w:r w:rsidR="00B113E7" w:rsidRPr="00A42090">
        <w:rPr>
          <w:rFonts w:cs="Times New Roman"/>
          <w:lang w:val="hu-HU"/>
        </w:rPr>
        <w:t>a jelöltek saját eredményeire.</w:t>
      </w:r>
    </w:p>
    <w:p w14:paraId="16537DEF" w14:textId="5FE13949" w:rsidR="00B113E7" w:rsidRPr="00A42090" w:rsidRDefault="00B113E7" w:rsidP="00B113E7">
      <w:pPr>
        <w:pStyle w:val="Cmsor2"/>
        <w:rPr>
          <w:rFonts w:cs="Times New Roman"/>
          <w:lang w:val="hu-HU"/>
        </w:rPr>
      </w:pPr>
      <w:bookmarkStart w:id="11" w:name="_Toc218075155"/>
      <w:r w:rsidRPr="00A42090">
        <w:rPr>
          <w:rFonts w:cs="Times New Roman"/>
          <w:lang w:val="hu-HU"/>
        </w:rPr>
        <w:t>Abnormális hozamok</w:t>
      </w:r>
      <w:bookmarkEnd w:id="11"/>
    </w:p>
    <w:p w14:paraId="1185F402" w14:textId="0DB15C81" w:rsidR="00B113E7" w:rsidRPr="00A42090" w:rsidRDefault="00B113E7" w:rsidP="00B113E7">
      <w:pPr>
        <w:rPr>
          <w:rFonts w:eastAsiaTheme="minorEastAsia" w:cs="Times New Roman"/>
          <w:lang w:val="hu-HU"/>
        </w:rPr>
      </w:pPr>
      <w:r w:rsidRPr="00A42090">
        <w:rPr>
          <w:rFonts w:cs="Times New Roman"/>
          <w:lang w:val="hu-HU"/>
        </w:rPr>
        <w:t xml:space="preserve">Az abnormális hozamok becsléséhez először kijelölünk egy 8 napos </w:t>
      </w:r>
      <m:oMath>
        <m:r>
          <w:rPr>
            <w:rFonts w:ascii="Cambria Math" w:hAnsi="Cambria Math" w:cs="Times New Roman"/>
            <w:lang w:val="hu-HU"/>
          </w:rPr>
          <m:t>[t-2,t+5]</m:t>
        </m:r>
      </m:oMath>
      <w:r w:rsidRPr="00A42090">
        <w:rPr>
          <w:rFonts w:eastAsiaTheme="minorEastAsia" w:cs="Times New Roman"/>
          <w:lang w:val="hu-HU"/>
        </w:rPr>
        <w:t xml:space="preserve"> eseményablakot. Az eseménynap 2024. november 5-e, az amerikai elnökválasztás napja. Az eseményablakot megelőzően egy 30 napos puffer kihagyásával dolgozunk, hogy elkerüljük az eseményablak és a becslési periódus közötti autokorrelációt. A becslési periódus hossza 120 nap, amely az eseményelemzések során elfogadott időablaknak tekinthető (MacKinlay, 1997).</w:t>
      </w:r>
    </w:p>
    <w:p w14:paraId="52B79858" w14:textId="36DC6AA3" w:rsidR="00B113E7" w:rsidRPr="00A42090" w:rsidRDefault="00B113E7" w:rsidP="00B113E7">
      <w:pPr>
        <w:rPr>
          <w:rFonts w:eastAsiaTheme="minorEastAsia" w:cs="Times New Roman"/>
          <w:lang w:val="hu-HU"/>
        </w:rPr>
      </w:pPr>
      <w:r w:rsidRPr="00A42090">
        <w:rPr>
          <w:rFonts w:eastAsiaTheme="minorEastAsia" w:cs="Times New Roman"/>
          <w:lang w:val="hu-HU"/>
        </w:rPr>
        <w:t xml:space="preserve">A becslési periódus alapján becsült </w:t>
      </w:r>
      <w:r w:rsidR="00DA672C" w:rsidRPr="00A42090">
        <w:rPr>
          <w:rFonts w:eastAsiaTheme="minorEastAsia" w:cs="Times New Roman"/>
          <w:lang w:val="hu-HU"/>
        </w:rPr>
        <w:t xml:space="preserve">paraméterekkel előrejelzést készítünk az eseményablakra a vizsgált részvények napi hozamaira. Az előrejelzés során a választás napját követően Donald </w:t>
      </w:r>
      <w:proofErr w:type="spellStart"/>
      <w:r w:rsidR="00DA672C" w:rsidRPr="00A42090">
        <w:rPr>
          <w:rFonts w:eastAsiaTheme="minorEastAsia" w:cs="Times New Roman"/>
          <w:lang w:val="hu-HU"/>
        </w:rPr>
        <w:t>Trump</w:t>
      </w:r>
      <w:proofErr w:type="spellEnd"/>
      <w:r w:rsidR="00DA672C" w:rsidRPr="00A42090">
        <w:rPr>
          <w:rFonts w:eastAsiaTheme="minorEastAsia" w:cs="Times New Roman"/>
          <w:lang w:val="hu-HU"/>
        </w:rPr>
        <w:t xml:space="preserve"> előnyét állandónak tekintjük, ezzel mutatva, hogy az eseménynapot követő változások már nem a következő elnök kilétét övező bizonytalanság következményei. A kapott várható hozamokat kivonva a tényleges hozamokból megkapjuk az eseményablak alatti abnormális hozamokat, amelyek a vizsgálatunk elsődleges tárgyai.</w:t>
      </w:r>
    </w:p>
    <w:p w14:paraId="61D42282" w14:textId="04BB009C" w:rsidR="00DA672C" w:rsidRPr="00A42090" w:rsidRDefault="00DA672C" w:rsidP="00B113E7">
      <w:pPr>
        <w:rPr>
          <w:rFonts w:cs="Times New Roman"/>
          <w:lang w:val="hu-HU"/>
        </w:rPr>
      </w:pPr>
      <w:r w:rsidRPr="00A42090">
        <w:rPr>
          <w:rFonts w:cs="Times New Roman"/>
          <w:lang w:val="hu-HU"/>
        </w:rPr>
        <w:t>A kapott abnormális hozamok elemzése során először megvizsgáljuk a választási eredmény összhatását a kumulált átlagos abnormális hozam (</w:t>
      </w:r>
      <w:r w:rsidRPr="00A42090">
        <w:rPr>
          <w:rFonts w:cs="Times New Roman"/>
          <w:i/>
          <w:iCs/>
          <w:lang w:val="hu-HU"/>
        </w:rPr>
        <w:t>CAAR</w:t>
      </w:r>
      <w:r w:rsidRPr="00A42090">
        <w:rPr>
          <w:rFonts w:cs="Times New Roman"/>
          <w:lang w:val="hu-HU"/>
        </w:rPr>
        <w:t>) elemzésével különböző időablakokra. A választott időablakok az alábbiak:</w:t>
      </w:r>
    </w:p>
    <w:p w14:paraId="3ED9FFD6" w14:textId="4B17EF28" w:rsidR="00DA672C" w:rsidRPr="00A42090" w:rsidRDefault="00DA672C" w:rsidP="00DA672C">
      <w:pPr>
        <w:pStyle w:val="Listaszerbekezds"/>
        <w:numPr>
          <w:ilvl w:val="0"/>
          <w:numId w:val="3"/>
        </w:numPr>
        <w:rPr>
          <w:rFonts w:cs="Times New Roman"/>
          <w:lang w:val="hu-HU"/>
        </w:rPr>
      </w:pPr>
      <w:r w:rsidRPr="00A42090">
        <w:rPr>
          <w:rFonts w:cs="Times New Roman"/>
          <w:lang w:val="hu-HU"/>
        </w:rPr>
        <w:t>[-1, 1]: az eseményelemzések során gyakran használt időablak, amely az eseményablak közvetlen környezetét vizsgálja;</w:t>
      </w:r>
    </w:p>
    <w:p w14:paraId="2E3E78D3" w14:textId="2DF14517" w:rsidR="00DA672C" w:rsidRPr="00A42090" w:rsidRDefault="00DA672C" w:rsidP="00DA672C">
      <w:pPr>
        <w:pStyle w:val="Listaszerbekezds"/>
        <w:numPr>
          <w:ilvl w:val="0"/>
          <w:numId w:val="3"/>
        </w:numPr>
        <w:rPr>
          <w:rFonts w:cs="Times New Roman"/>
          <w:lang w:val="hu-HU"/>
        </w:rPr>
      </w:pPr>
      <w:r w:rsidRPr="00A42090">
        <w:rPr>
          <w:rFonts w:cs="Times New Roman"/>
          <w:lang w:val="hu-HU"/>
        </w:rPr>
        <w:t>[0, 1]: az előző eseményablakhoz hasonló, azzal a különbséggel, hogy kiszűri a választás előtti napon tapasztalható zajt, amikor még nem lehetett konkrét eredményekkel találkozni;</w:t>
      </w:r>
    </w:p>
    <w:p w14:paraId="052A210F" w14:textId="435405D9" w:rsidR="00DA672C" w:rsidRPr="00A42090" w:rsidRDefault="00DA672C" w:rsidP="00DA672C">
      <w:pPr>
        <w:pStyle w:val="Listaszerbekezds"/>
        <w:numPr>
          <w:ilvl w:val="0"/>
          <w:numId w:val="3"/>
        </w:numPr>
        <w:rPr>
          <w:rFonts w:cs="Times New Roman"/>
          <w:lang w:val="hu-HU"/>
        </w:rPr>
      </w:pPr>
      <w:r w:rsidRPr="00A42090">
        <w:rPr>
          <w:rFonts w:cs="Times New Roman"/>
          <w:lang w:val="hu-HU"/>
        </w:rPr>
        <w:lastRenderedPageBreak/>
        <w:t>[1, 3]: ez az időablak a választást követő pár nap reakcióját foglalja magában;</w:t>
      </w:r>
    </w:p>
    <w:p w14:paraId="568F2789" w14:textId="377FE0ED" w:rsidR="00DA672C" w:rsidRPr="00A42090" w:rsidRDefault="00DA672C" w:rsidP="00DA672C">
      <w:pPr>
        <w:pStyle w:val="Listaszerbekezds"/>
        <w:numPr>
          <w:ilvl w:val="0"/>
          <w:numId w:val="3"/>
        </w:numPr>
        <w:rPr>
          <w:rFonts w:cs="Times New Roman"/>
          <w:lang w:val="hu-HU"/>
        </w:rPr>
      </w:pPr>
      <w:r w:rsidRPr="00A42090">
        <w:rPr>
          <w:rFonts w:cs="Times New Roman"/>
          <w:lang w:val="hu-HU"/>
        </w:rPr>
        <w:t>[1, 5]: ez a hosszabb periódus pedig már a rövid távú ingadozásokat követő konszolidált hatást mutatja.</w:t>
      </w:r>
    </w:p>
    <w:p w14:paraId="4671252F" w14:textId="3B13B459" w:rsidR="00DA672C" w:rsidRPr="00A42090" w:rsidRDefault="00DA672C" w:rsidP="00DA672C">
      <w:pPr>
        <w:rPr>
          <w:rFonts w:cs="Times New Roman"/>
          <w:lang w:val="hu-HU"/>
        </w:rPr>
      </w:pPr>
      <w:r w:rsidRPr="00A42090">
        <w:rPr>
          <w:rFonts w:cs="Times New Roman"/>
          <w:lang w:val="hu-HU"/>
        </w:rPr>
        <w:t xml:space="preserve">A </w:t>
      </w:r>
      <w:r w:rsidRPr="00A42090">
        <w:rPr>
          <w:rFonts w:cs="Times New Roman"/>
          <w:i/>
          <w:iCs/>
          <w:lang w:val="hu-HU"/>
        </w:rPr>
        <w:t>CAAR</w:t>
      </w:r>
      <w:r w:rsidRPr="00A42090">
        <w:rPr>
          <w:rFonts w:cs="Times New Roman"/>
          <w:lang w:val="hu-HU"/>
        </w:rPr>
        <w:t xml:space="preserve"> szignifikanciájának tesztelése során nehézséget okozhat, hogy az eseményelemzések során felmerült eseményindukált volatilitás mellett problémát okozhat a részvények hozamai közötti erős korreláció. Ez a hatás azt okozza, hogy a szokásos t-tesztek eredményei torzítottak, így a statisztikai tesztek eredményei érvénytelenek lesznek, és nem lehet belőlük érdemi következtetést levonni. Ezt a problémát </w:t>
      </w:r>
      <w:proofErr w:type="spellStart"/>
      <w:r w:rsidRPr="00A42090">
        <w:rPr>
          <w:rFonts w:cs="Times New Roman"/>
          <w:lang w:val="hu-HU"/>
        </w:rPr>
        <w:t>bootstrap</w:t>
      </w:r>
      <w:proofErr w:type="spellEnd"/>
      <w:r w:rsidRPr="00A42090">
        <w:rPr>
          <w:rFonts w:cs="Times New Roman"/>
          <w:lang w:val="hu-HU"/>
        </w:rPr>
        <w:t xml:space="preserve"> mintavételezés alkalmazásával szűrjük ki, amely </w:t>
      </w:r>
      <w:r w:rsidR="002D6E93" w:rsidRPr="00A42090">
        <w:rPr>
          <w:rFonts w:cs="Times New Roman"/>
          <w:lang w:val="hu-HU"/>
        </w:rPr>
        <w:t xml:space="preserve">egy empirikusan megalkotott eloszlás segítségével küszöböli ki a becslésből eredő, valamint az eloszlás alakjával kapcsolatos bizonytalanságot. A </w:t>
      </w:r>
      <w:proofErr w:type="spellStart"/>
      <w:r w:rsidR="002D6E93" w:rsidRPr="00A42090">
        <w:rPr>
          <w:rFonts w:cs="Times New Roman"/>
          <w:lang w:val="hu-HU"/>
        </w:rPr>
        <w:t>bootstrap</w:t>
      </w:r>
      <w:proofErr w:type="spellEnd"/>
      <w:r w:rsidR="002D6E93" w:rsidRPr="00A42090">
        <w:rPr>
          <w:rFonts w:cs="Times New Roman"/>
          <w:lang w:val="hu-HU"/>
        </w:rPr>
        <w:t xml:space="preserve"> a hagyományos t-tesztekkel ellentétben nemparaméteres módszer, így tesztstatisztika sincs, azonban empirikusan számítható p-érték a nullhipotézisben feltételezett eloszlás használatával szimuláció segítségével.</w:t>
      </w:r>
      <w:r w:rsidR="00CF4584" w:rsidRPr="00A42090">
        <w:rPr>
          <w:rFonts w:cs="Times New Roman"/>
          <w:lang w:val="hu-HU"/>
        </w:rPr>
        <w:t xml:space="preserve"> A </w:t>
      </w:r>
      <w:r w:rsidR="00CF4584" w:rsidRPr="00A42090">
        <w:rPr>
          <w:rFonts w:cs="Times New Roman"/>
          <w:i/>
          <w:iCs/>
          <w:lang w:val="hu-HU"/>
        </w:rPr>
        <w:t>CAAR</w:t>
      </w:r>
      <w:r w:rsidR="00CF4584" w:rsidRPr="00A42090">
        <w:rPr>
          <w:rFonts w:cs="Times New Roman"/>
          <w:lang w:val="hu-HU"/>
        </w:rPr>
        <w:t xml:space="preserve">-ek szignifikanciájának vizsgálatához kiszámítjuk, hogy a becslési periódus abnormális hozamaiból vett </w:t>
      </w:r>
      <w:proofErr w:type="spellStart"/>
      <w:r w:rsidR="00CF4584" w:rsidRPr="00A42090">
        <w:rPr>
          <w:rFonts w:cs="Times New Roman"/>
          <w:lang w:val="hu-HU"/>
        </w:rPr>
        <w:t>bootstrap</w:t>
      </w:r>
      <w:proofErr w:type="spellEnd"/>
      <w:r w:rsidR="00CF4584" w:rsidRPr="00A42090">
        <w:rPr>
          <w:rFonts w:cs="Times New Roman"/>
          <w:lang w:val="hu-HU"/>
        </w:rPr>
        <w:t xml:space="preserve"> minta alapján milyen eloszlást kellene követnie az abnormális hozamoknak az eseményablakban. A nullhipotézis ebben az esetben az, hogy valóban ezt az eloszlást követi, míg az alternatív hipotézis az, hogy az esemény hatására ettől szignifikánsan eltérő abnormális hozam volt tapasztalható.</w:t>
      </w:r>
    </w:p>
    <w:p w14:paraId="78912226" w14:textId="127AC5DD" w:rsidR="002D6E93" w:rsidRPr="00A42090" w:rsidRDefault="002D6E93" w:rsidP="00DA672C">
      <w:pPr>
        <w:rPr>
          <w:rFonts w:cs="Times New Roman"/>
          <w:lang w:val="hu-HU"/>
        </w:rPr>
      </w:pPr>
      <w:r w:rsidRPr="00A42090">
        <w:rPr>
          <w:rFonts w:cs="Times New Roman"/>
          <w:lang w:val="hu-HU"/>
        </w:rPr>
        <w:t>A teljes piacról vett minta elemzését követően megvizsgáljuk az egyes csoportokba tartozó vállalatokat külön-külön is. A csoportokra vonatkozó átlagos abnormális hozamok (</w:t>
      </w:r>
      <w:r w:rsidRPr="00A42090">
        <w:rPr>
          <w:rFonts w:cs="Times New Roman"/>
          <w:i/>
          <w:iCs/>
          <w:lang w:val="hu-HU"/>
        </w:rPr>
        <w:t>AAR</w:t>
      </w:r>
      <w:r w:rsidRPr="00A42090">
        <w:rPr>
          <w:rFonts w:cs="Times New Roman"/>
          <w:lang w:val="hu-HU"/>
        </w:rPr>
        <w:t>), valamint a hozzájuk tartozó 95%-os empirikus konfidencia-intervallum számításával meghatározható, hogy mely csoportok mely napokon értek el szignifikáns abnormális hozamot, amely előkészíti a további elemzéseket.</w:t>
      </w:r>
      <w:r w:rsidR="00CF4584" w:rsidRPr="00A42090">
        <w:rPr>
          <w:rFonts w:cs="Times New Roman"/>
          <w:lang w:val="hu-HU"/>
        </w:rPr>
        <w:t xml:space="preserve"> Ehhez az elemzéshez egy nappal szűkítettük az </w:t>
      </w:r>
      <w:r w:rsidR="00CF4584" w:rsidRPr="00A42090">
        <w:rPr>
          <w:rFonts w:cs="Times New Roman"/>
          <w:lang w:val="hu-HU"/>
        </w:rPr>
        <w:lastRenderedPageBreak/>
        <w:t xml:space="preserve">eseményablakot, ugyanis a </w:t>
      </w:r>
      <w:r w:rsidR="00CF4584" w:rsidRPr="00A42090">
        <w:rPr>
          <w:rFonts w:cs="Times New Roman"/>
          <w:i/>
          <w:iCs/>
          <w:lang w:val="hu-HU"/>
        </w:rPr>
        <w:t>t-</w:t>
      </w:r>
      <w:r w:rsidR="00CF4584" w:rsidRPr="00A42090">
        <w:rPr>
          <w:rFonts w:cs="Times New Roman"/>
          <w:lang w:val="hu-HU"/>
        </w:rPr>
        <w:t>2-es nap eseményei inkább tekinthetőek zajnak, mint ténylegesen a választáshoz köthető hasznos információnak.</w:t>
      </w:r>
    </w:p>
    <w:p w14:paraId="4C236574" w14:textId="3C8D8CFF" w:rsidR="002D6E93" w:rsidRPr="00A42090" w:rsidRDefault="002D6E93" w:rsidP="00DA672C">
      <w:pPr>
        <w:rPr>
          <w:rFonts w:cs="Times New Roman"/>
          <w:lang w:val="hu-HU"/>
        </w:rPr>
      </w:pPr>
      <w:r w:rsidRPr="00A42090">
        <w:rPr>
          <w:rFonts w:cs="Times New Roman"/>
          <w:lang w:val="hu-HU"/>
        </w:rPr>
        <w:t xml:space="preserve">Az elemzés következő lépése a </w:t>
      </w:r>
      <w:proofErr w:type="spellStart"/>
      <w:r w:rsidRPr="00A42090">
        <w:rPr>
          <w:rFonts w:cs="Times New Roman"/>
          <w:lang w:val="hu-HU"/>
        </w:rPr>
        <w:t>csoportonkénti</w:t>
      </w:r>
      <w:proofErr w:type="spellEnd"/>
      <w:r w:rsidRPr="00A42090">
        <w:rPr>
          <w:rFonts w:cs="Times New Roman"/>
          <w:lang w:val="hu-HU"/>
        </w:rPr>
        <w:t xml:space="preserve"> </w:t>
      </w:r>
      <w:r w:rsidRPr="00A42090">
        <w:rPr>
          <w:rFonts w:cs="Times New Roman"/>
          <w:i/>
          <w:iCs/>
          <w:lang w:val="hu-HU"/>
        </w:rPr>
        <w:t>CAAR</w:t>
      </w:r>
      <w:r w:rsidRPr="00A42090">
        <w:rPr>
          <w:rFonts w:cs="Times New Roman"/>
          <w:lang w:val="hu-HU"/>
        </w:rPr>
        <w:t xml:space="preserve">-ek vizsgálata, amely lehetővé teszi, hogy az csoportokra vonatkozó teljes hatást vizsgáljuk. Ebben a lépésben ugyanazokat az eseményablakokat használjuk, amelyeket az első lépésben, hogy az eredmények könnyebben összehasonlíthatóak legyenek egymással. </w:t>
      </w:r>
      <w:r w:rsidR="00CF4584" w:rsidRPr="00A42090">
        <w:rPr>
          <w:rFonts w:cs="Times New Roman"/>
          <w:lang w:val="hu-HU"/>
        </w:rPr>
        <w:t xml:space="preserve">A szignifikancia tesztelést szintén az első lépéshez hasonlóan végezzük, azzal a kivétellel, hogy a nullhipotézisben szereplő eloszlást ezúttal csak az adott csoportra vonatkozó becslési </w:t>
      </w:r>
      <w:proofErr w:type="spellStart"/>
      <w:r w:rsidR="00CF4584" w:rsidRPr="00A42090">
        <w:rPr>
          <w:rFonts w:cs="Times New Roman"/>
          <w:lang w:val="hu-HU"/>
        </w:rPr>
        <w:t>periódusbeli</w:t>
      </w:r>
      <w:proofErr w:type="spellEnd"/>
      <w:r w:rsidR="00CF4584" w:rsidRPr="00A42090">
        <w:rPr>
          <w:rFonts w:cs="Times New Roman"/>
          <w:lang w:val="hu-HU"/>
        </w:rPr>
        <w:t xml:space="preserve"> abnormális hozamok felhasználásával számítjuk.</w:t>
      </w:r>
    </w:p>
    <w:p w14:paraId="555CE219" w14:textId="6A612078" w:rsidR="0061303E" w:rsidRPr="00A42090" w:rsidRDefault="0061303E" w:rsidP="0061303E">
      <w:pPr>
        <w:pStyle w:val="Cmsor1"/>
        <w:spacing w:before="0"/>
        <w:rPr>
          <w:rFonts w:cs="Times New Roman"/>
          <w:lang w:val="hu-HU"/>
        </w:rPr>
      </w:pPr>
      <w:bookmarkStart w:id="12" w:name="_Toc218075156"/>
      <w:r w:rsidRPr="00A42090">
        <w:rPr>
          <w:rFonts w:cs="Times New Roman"/>
          <w:lang w:val="hu-HU"/>
        </w:rPr>
        <w:t>Eredmények</w:t>
      </w:r>
      <w:bookmarkEnd w:id="12"/>
    </w:p>
    <w:p w14:paraId="3216A7CB" w14:textId="77777777" w:rsidR="0061303E" w:rsidRPr="00A42090" w:rsidRDefault="0061303E" w:rsidP="0061303E">
      <w:pPr>
        <w:pStyle w:val="Cmsor2"/>
        <w:rPr>
          <w:rFonts w:cs="Times New Roman"/>
          <w:bCs/>
          <w:szCs w:val="24"/>
        </w:rPr>
      </w:pPr>
      <w:bookmarkStart w:id="13" w:name="_Toc218075157"/>
      <w:r w:rsidRPr="00A42090">
        <w:rPr>
          <w:rFonts w:cs="Times New Roman"/>
          <w:bCs/>
          <w:szCs w:val="24"/>
        </w:rPr>
        <w:t xml:space="preserve">A </w:t>
      </w:r>
      <w:proofErr w:type="spellStart"/>
      <w:r w:rsidRPr="00A42090">
        <w:rPr>
          <w:rFonts w:cs="Times New Roman"/>
          <w:bCs/>
          <w:szCs w:val="24"/>
        </w:rPr>
        <w:t>teljes</w:t>
      </w:r>
      <w:proofErr w:type="spellEnd"/>
      <w:r w:rsidRPr="00A42090">
        <w:rPr>
          <w:rFonts w:cs="Times New Roman"/>
          <w:bCs/>
          <w:szCs w:val="24"/>
        </w:rPr>
        <w:t xml:space="preserve"> </w:t>
      </w:r>
      <w:proofErr w:type="spellStart"/>
      <w:r w:rsidRPr="00A42090">
        <w:rPr>
          <w:rFonts w:cs="Times New Roman"/>
          <w:bCs/>
          <w:szCs w:val="24"/>
        </w:rPr>
        <w:t>mintára</w:t>
      </w:r>
      <w:proofErr w:type="spellEnd"/>
      <w:r w:rsidRPr="00A42090">
        <w:rPr>
          <w:rFonts w:cs="Times New Roman"/>
          <w:bCs/>
          <w:szCs w:val="24"/>
        </w:rPr>
        <w:t xml:space="preserve"> </w:t>
      </w:r>
      <w:r w:rsidRPr="00A42090">
        <w:rPr>
          <w:rFonts w:cs="Times New Roman"/>
          <w:lang w:val="hu-HU"/>
        </w:rPr>
        <w:t>vonatkozó</w:t>
      </w:r>
      <w:r w:rsidRPr="00A42090">
        <w:rPr>
          <w:rFonts w:cs="Times New Roman"/>
          <w:bCs/>
          <w:szCs w:val="24"/>
        </w:rPr>
        <w:t xml:space="preserve"> </w:t>
      </w:r>
      <w:proofErr w:type="spellStart"/>
      <w:r w:rsidRPr="00A42090">
        <w:rPr>
          <w:rFonts w:cs="Times New Roman"/>
          <w:bCs/>
          <w:szCs w:val="24"/>
        </w:rPr>
        <w:t>kumulált</w:t>
      </w:r>
      <w:proofErr w:type="spellEnd"/>
      <w:r w:rsidRPr="00A42090">
        <w:rPr>
          <w:rFonts w:cs="Times New Roman"/>
          <w:bCs/>
          <w:szCs w:val="24"/>
        </w:rPr>
        <w:t xml:space="preserve"> </w:t>
      </w:r>
      <w:proofErr w:type="spellStart"/>
      <w:r w:rsidRPr="00A42090">
        <w:rPr>
          <w:rFonts w:cs="Times New Roman"/>
          <w:bCs/>
          <w:szCs w:val="24"/>
        </w:rPr>
        <w:t>átlagos</w:t>
      </w:r>
      <w:proofErr w:type="spellEnd"/>
      <w:r w:rsidRPr="00A42090">
        <w:rPr>
          <w:rFonts w:cs="Times New Roman"/>
          <w:bCs/>
          <w:szCs w:val="24"/>
        </w:rPr>
        <w:t xml:space="preserve"> </w:t>
      </w:r>
      <w:proofErr w:type="spellStart"/>
      <w:r w:rsidRPr="00A42090">
        <w:rPr>
          <w:rFonts w:cs="Times New Roman"/>
          <w:bCs/>
          <w:szCs w:val="24"/>
        </w:rPr>
        <w:t>abnormális</w:t>
      </w:r>
      <w:proofErr w:type="spellEnd"/>
      <w:r w:rsidRPr="00A42090">
        <w:rPr>
          <w:rFonts w:cs="Times New Roman"/>
          <w:bCs/>
          <w:szCs w:val="24"/>
        </w:rPr>
        <w:t xml:space="preserve"> </w:t>
      </w:r>
      <w:proofErr w:type="spellStart"/>
      <w:r w:rsidRPr="00A42090">
        <w:rPr>
          <w:rFonts w:cs="Times New Roman"/>
          <w:bCs/>
          <w:szCs w:val="24"/>
        </w:rPr>
        <w:t>hozam</w:t>
      </w:r>
      <w:proofErr w:type="spellEnd"/>
      <w:r w:rsidRPr="00A42090">
        <w:rPr>
          <w:rFonts w:cs="Times New Roman"/>
          <w:bCs/>
          <w:szCs w:val="24"/>
        </w:rPr>
        <w:t xml:space="preserve"> (CAAR)</w:t>
      </w:r>
      <w:bookmarkEnd w:id="13"/>
    </w:p>
    <w:p w14:paraId="40BF26F8" w14:textId="250E3FB6" w:rsidR="0011605A" w:rsidRPr="00E7062A" w:rsidRDefault="0061303E" w:rsidP="00E7062A">
      <w:pPr>
        <w:rPr>
          <w:rFonts w:cs="Times New Roman"/>
          <w:lang w:val="hu-HU"/>
        </w:rPr>
      </w:pPr>
      <w:r w:rsidRPr="00A42090">
        <w:rPr>
          <w:rFonts w:cs="Times New Roman"/>
          <w:lang w:val="hu-HU"/>
        </w:rPr>
        <w:t>Az egyéni részvényadatokon végzett vizsgálat alapján a CAAR [-1,1], CAAR [0,1], CAAR [1,3], CAAR [1,5] intervallumokban egyaránt negatív előjelű kumulált átlagos abnormális hozamokat becsültünk, azonban a p-érték minden esetben meghaladta 5%-os szignifikanciaszintet. Ez arra utal, hogy az eseményhez köthetően nem figyelhető meg egységes árfolyamreakció a vizsgált részvények körében.</w:t>
      </w:r>
    </w:p>
    <w:tbl>
      <w:tblPr>
        <w:tblW w:w="9370" w:type="dxa"/>
        <w:tblCellMar>
          <w:left w:w="70" w:type="dxa"/>
          <w:right w:w="70" w:type="dxa"/>
        </w:tblCellMar>
        <w:tblLook w:val="04A0" w:firstRow="1" w:lastRow="0" w:firstColumn="1" w:lastColumn="0" w:noHBand="0" w:noVBand="1"/>
      </w:tblPr>
      <w:tblGrid>
        <w:gridCol w:w="1468"/>
        <w:gridCol w:w="1317"/>
        <w:gridCol w:w="1317"/>
        <w:gridCol w:w="1317"/>
        <w:gridCol w:w="1317"/>
        <w:gridCol w:w="1317"/>
        <w:gridCol w:w="1317"/>
      </w:tblGrid>
      <w:tr w:rsidR="00B701C9" w:rsidRPr="00B701C9" w14:paraId="104BDA1A" w14:textId="77777777" w:rsidTr="00B701C9">
        <w:trPr>
          <w:trHeight w:val="297"/>
        </w:trPr>
        <w:tc>
          <w:tcPr>
            <w:tcW w:w="1468" w:type="dxa"/>
            <w:tcBorders>
              <w:top w:val="single" w:sz="4" w:space="0" w:color="auto"/>
              <w:left w:val="single" w:sz="4" w:space="0" w:color="auto"/>
              <w:bottom w:val="nil"/>
              <w:right w:val="nil"/>
            </w:tcBorders>
            <w:noWrap/>
            <w:vAlign w:val="bottom"/>
            <w:hideMark/>
          </w:tcPr>
          <w:p w14:paraId="0D518AE1" w14:textId="77777777" w:rsidR="00B701C9" w:rsidRPr="00B701C9" w:rsidRDefault="00B701C9" w:rsidP="00B701C9">
            <w:pPr>
              <w:spacing w:before="0" w:after="0" w:line="240" w:lineRule="auto"/>
              <w:jc w:val="lef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 </w:t>
            </w:r>
          </w:p>
        </w:tc>
        <w:tc>
          <w:tcPr>
            <w:tcW w:w="1317" w:type="dxa"/>
            <w:tcBorders>
              <w:top w:val="single" w:sz="4" w:space="0" w:color="auto"/>
              <w:left w:val="single" w:sz="4" w:space="0" w:color="auto"/>
              <w:bottom w:val="single" w:sz="4" w:space="0" w:color="auto"/>
              <w:right w:val="single" w:sz="4" w:space="0" w:color="auto"/>
            </w:tcBorders>
            <w:noWrap/>
            <w:hideMark/>
          </w:tcPr>
          <w:p w14:paraId="0C49A412"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Valós</w:t>
            </w:r>
          </w:p>
        </w:tc>
        <w:tc>
          <w:tcPr>
            <w:tcW w:w="1317" w:type="dxa"/>
            <w:tcBorders>
              <w:top w:val="single" w:sz="4" w:space="0" w:color="auto"/>
              <w:left w:val="nil"/>
              <w:bottom w:val="single" w:sz="4" w:space="0" w:color="auto"/>
              <w:right w:val="single" w:sz="4" w:space="0" w:color="auto"/>
            </w:tcBorders>
            <w:noWrap/>
            <w:hideMark/>
          </w:tcPr>
          <w:p w14:paraId="00280136"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Átlag</w:t>
            </w:r>
          </w:p>
        </w:tc>
        <w:tc>
          <w:tcPr>
            <w:tcW w:w="1317" w:type="dxa"/>
            <w:tcBorders>
              <w:top w:val="single" w:sz="4" w:space="0" w:color="auto"/>
              <w:left w:val="nil"/>
              <w:bottom w:val="single" w:sz="4" w:space="0" w:color="auto"/>
              <w:right w:val="single" w:sz="4" w:space="0" w:color="auto"/>
            </w:tcBorders>
            <w:noWrap/>
            <w:hideMark/>
          </w:tcPr>
          <w:p w14:paraId="19C330B6"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Medián</w:t>
            </w:r>
          </w:p>
        </w:tc>
        <w:tc>
          <w:tcPr>
            <w:tcW w:w="1317" w:type="dxa"/>
            <w:tcBorders>
              <w:top w:val="single" w:sz="4" w:space="0" w:color="auto"/>
              <w:left w:val="nil"/>
              <w:bottom w:val="single" w:sz="4" w:space="0" w:color="auto"/>
              <w:right w:val="single" w:sz="4" w:space="0" w:color="auto"/>
            </w:tcBorders>
            <w:noWrap/>
            <w:hideMark/>
          </w:tcPr>
          <w:p w14:paraId="70308384"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2,5%</w:t>
            </w:r>
          </w:p>
        </w:tc>
        <w:tc>
          <w:tcPr>
            <w:tcW w:w="1317" w:type="dxa"/>
            <w:tcBorders>
              <w:top w:val="single" w:sz="4" w:space="0" w:color="auto"/>
              <w:left w:val="nil"/>
              <w:bottom w:val="single" w:sz="4" w:space="0" w:color="auto"/>
              <w:right w:val="single" w:sz="4" w:space="0" w:color="auto"/>
            </w:tcBorders>
            <w:noWrap/>
            <w:hideMark/>
          </w:tcPr>
          <w:p w14:paraId="10325F84"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97,5%</w:t>
            </w:r>
          </w:p>
        </w:tc>
        <w:tc>
          <w:tcPr>
            <w:tcW w:w="1317" w:type="dxa"/>
            <w:tcBorders>
              <w:top w:val="single" w:sz="4" w:space="0" w:color="auto"/>
              <w:left w:val="nil"/>
              <w:bottom w:val="single" w:sz="4" w:space="0" w:color="auto"/>
              <w:right w:val="single" w:sz="4" w:space="0" w:color="auto"/>
            </w:tcBorders>
            <w:noWrap/>
            <w:hideMark/>
          </w:tcPr>
          <w:p w14:paraId="7786FAAE"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r w:rsidRPr="00B701C9">
              <w:rPr>
                <w:rFonts w:ascii="Calibri" w:eastAsia="Times New Roman" w:hAnsi="Calibri" w:cs="Calibri"/>
                <w:b/>
                <w:bCs/>
                <w:kern w:val="0"/>
                <w:sz w:val="22"/>
                <w:szCs w:val="22"/>
                <w:lang w:val="hu-HU" w:eastAsia="hu-HU"/>
                <w14:ligatures w14:val="none"/>
              </w:rPr>
              <w:t>p-érték</w:t>
            </w:r>
          </w:p>
        </w:tc>
      </w:tr>
      <w:tr w:rsidR="00B701C9" w:rsidRPr="00B701C9" w14:paraId="7065F0B0" w14:textId="77777777" w:rsidTr="00B701C9">
        <w:trPr>
          <w:trHeight w:val="297"/>
        </w:trPr>
        <w:tc>
          <w:tcPr>
            <w:tcW w:w="1468" w:type="dxa"/>
            <w:tcBorders>
              <w:top w:val="single" w:sz="4" w:space="0" w:color="auto"/>
              <w:left w:val="single" w:sz="4" w:space="0" w:color="auto"/>
              <w:bottom w:val="single" w:sz="4" w:space="0" w:color="auto"/>
              <w:right w:val="single" w:sz="4" w:space="0" w:color="auto"/>
            </w:tcBorders>
            <w:noWrap/>
            <w:hideMark/>
          </w:tcPr>
          <w:p w14:paraId="48FAD8B5"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B701C9">
              <w:rPr>
                <w:rFonts w:ascii="Calibri" w:eastAsia="Times New Roman" w:hAnsi="Calibri" w:cs="Calibri"/>
                <w:b/>
                <w:bCs/>
                <w:kern w:val="0"/>
                <w:sz w:val="22"/>
                <w:szCs w:val="22"/>
                <w:lang w:val="hu-HU" w:eastAsia="hu-HU"/>
                <w14:ligatures w14:val="none"/>
              </w:rPr>
              <w:t>CAAR[</w:t>
            </w:r>
            <w:proofErr w:type="gramEnd"/>
            <w:r w:rsidRPr="00B701C9">
              <w:rPr>
                <w:rFonts w:ascii="Calibri" w:eastAsia="Times New Roman" w:hAnsi="Calibri" w:cs="Calibri"/>
                <w:b/>
                <w:bCs/>
                <w:kern w:val="0"/>
                <w:sz w:val="22"/>
                <w:szCs w:val="22"/>
                <w:lang w:val="hu-HU" w:eastAsia="hu-HU"/>
                <w14:ligatures w14:val="none"/>
              </w:rPr>
              <w:t>-1,1]</w:t>
            </w:r>
          </w:p>
        </w:tc>
        <w:tc>
          <w:tcPr>
            <w:tcW w:w="1317" w:type="dxa"/>
            <w:tcBorders>
              <w:top w:val="nil"/>
              <w:left w:val="nil"/>
              <w:bottom w:val="nil"/>
              <w:right w:val="nil"/>
            </w:tcBorders>
            <w:noWrap/>
            <w:vAlign w:val="bottom"/>
            <w:hideMark/>
          </w:tcPr>
          <w:p w14:paraId="5A58799C"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-0.1158</w:t>
            </w:r>
          </w:p>
        </w:tc>
        <w:tc>
          <w:tcPr>
            <w:tcW w:w="1317" w:type="dxa"/>
            <w:tcBorders>
              <w:top w:val="nil"/>
              <w:left w:val="nil"/>
              <w:bottom w:val="nil"/>
              <w:right w:val="nil"/>
            </w:tcBorders>
            <w:noWrap/>
            <w:vAlign w:val="bottom"/>
            <w:hideMark/>
          </w:tcPr>
          <w:p w14:paraId="0F3E380E"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-0.0037</w:t>
            </w:r>
          </w:p>
        </w:tc>
        <w:tc>
          <w:tcPr>
            <w:tcW w:w="1317" w:type="dxa"/>
            <w:tcBorders>
              <w:top w:val="nil"/>
              <w:left w:val="nil"/>
              <w:bottom w:val="nil"/>
              <w:right w:val="nil"/>
            </w:tcBorders>
            <w:noWrap/>
            <w:vAlign w:val="bottom"/>
            <w:hideMark/>
          </w:tcPr>
          <w:p w14:paraId="60F93784"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-0.0020</w:t>
            </w:r>
          </w:p>
        </w:tc>
        <w:tc>
          <w:tcPr>
            <w:tcW w:w="1317" w:type="dxa"/>
            <w:tcBorders>
              <w:top w:val="nil"/>
              <w:left w:val="nil"/>
              <w:bottom w:val="nil"/>
              <w:right w:val="nil"/>
            </w:tcBorders>
            <w:noWrap/>
            <w:vAlign w:val="bottom"/>
            <w:hideMark/>
          </w:tcPr>
          <w:p w14:paraId="53D3B944"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-1.9183</w:t>
            </w:r>
          </w:p>
        </w:tc>
        <w:tc>
          <w:tcPr>
            <w:tcW w:w="1317" w:type="dxa"/>
            <w:tcBorders>
              <w:top w:val="nil"/>
              <w:left w:val="nil"/>
              <w:bottom w:val="nil"/>
              <w:right w:val="nil"/>
            </w:tcBorders>
            <w:noWrap/>
            <w:vAlign w:val="bottom"/>
            <w:hideMark/>
          </w:tcPr>
          <w:p w14:paraId="7C773845"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1.9219</w:t>
            </w:r>
          </w:p>
        </w:tc>
        <w:tc>
          <w:tcPr>
            <w:tcW w:w="1317" w:type="dxa"/>
            <w:tcBorders>
              <w:top w:val="nil"/>
              <w:left w:val="nil"/>
              <w:bottom w:val="nil"/>
              <w:right w:val="single" w:sz="4" w:space="0" w:color="auto"/>
            </w:tcBorders>
            <w:noWrap/>
            <w:vAlign w:val="bottom"/>
            <w:hideMark/>
          </w:tcPr>
          <w:p w14:paraId="04B6B5B7"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0.9064</w:t>
            </w:r>
          </w:p>
        </w:tc>
      </w:tr>
      <w:tr w:rsidR="00B701C9" w:rsidRPr="00B701C9" w14:paraId="704D7833" w14:textId="77777777" w:rsidTr="00B701C9">
        <w:trPr>
          <w:trHeight w:val="297"/>
        </w:trPr>
        <w:tc>
          <w:tcPr>
            <w:tcW w:w="1468" w:type="dxa"/>
            <w:tcBorders>
              <w:top w:val="nil"/>
              <w:left w:val="single" w:sz="4" w:space="0" w:color="auto"/>
              <w:bottom w:val="single" w:sz="4" w:space="0" w:color="auto"/>
              <w:right w:val="single" w:sz="4" w:space="0" w:color="auto"/>
            </w:tcBorders>
            <w:noWrap/>
            <w:hideMark/>
          </w:tcPr>
          <w:p w14:paraId="11CF8D85"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B701C9">
              <w:rPr>
                <w:rFonts w:ascii="Calibri" w:eastAsia="Times New Roman" w:hAnsi="Calibri" w:cs="Calibri"/>
                <w:b/>
                <w:bCs/>
                <w:kern w:val="0"/>
                <w:sz w:val="22"/>
                <w:szCs w:val="22"/>
                <w:lang w:val="hu-HU" w:eastAsia="hu-HU"/>
                <w14:ligatures w14:val="none"/>
              </w:rPr>
              <w:t>CAAR[</w:t>
            </w:r>
            <w:proofErr w:type="gramEnd"/>
            <w:r w:rsidRPr="00B701C9">
              <w:rPr>
                <w:rFonts w:ascii="Calibri" w:eastAsia="Times New Roman" w:hAnsi="Calibri" w:cs="Calibri"/>
                <w:b/>
                <w:bCs/>
                <w:kern w:val="0"/>
                <w:sz w:val="22"/>
                <w:szCs w:val="22"/>
                <w:lang w:val="hu-HU" w:eastAsia="hu-HU"/>
                <w14:ligatures w14:val="none"/>
              </w:rPr>
              <w:t>0,1]</w:t>
            </w:r>
          </w:p>
        </w:tc>
        <w:tc>
          <w:tcPr>
            <w:tcW w:w="1317" w:type="dxa"/>
            <w:tcBorders>
              <w:top w:val="nil"/>
              <w:left w:val="nil"/>
              <w:bottom w:val="nil"/>
              <w:right w:val="nil"/>
            </w:tcBorders>
            <w:noWrap/>
            <w:vAlign w:val="bottom"/>
            <w:hideMark/>
          </w:tcPr>
          <w:p w14:paraId="6274EB46"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-1.1825</w:t>
            </w:r>
          </w:p>
        </w:tc>
        <w:tc>
          <w:tcPr>
            <w:tcW w:w="1317" w:type="dxa"/>
            <w:tcBorders>
              <w:top w:val="nil"/>
              <w:left w:val="nil"/>
              <w:bottom w:val="nil"/>
              <w:right w:val="nil"/>
            </w:tcBorders>
            <w:noWrap/>
            <w:vAlign w:val="bottom"/>
            <w:hideMark/>
          </w:tcPr>
          <w:p w14:paraId="3A72D2F8"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-0.0072</w:t>
            </w:r>
          </w:p>
        </w:tc>
        <w:tc>
          <w:tcPr>
            <w:tcW w:w="1317" w:type="dxa"/>
            <w:tcBorders>
              <w:top w:val="nil"/>
              <w:left w:val="nil"/>
              <w:bottom w:val="nil"/>
              <w:right w:val="nil"/>
            </w:tcBorders>
            <w:noWrap/>
            <w:vAlign w:val="bottom"/>
            <w:hideMark/>
          </w:tcPr>
          <w:p w14:paraId="62143534"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-0.0216</w:t>
            </w:r>
          </w:p>
        </w:tc>
        <w:tc>
          <w:tcPr>
            <w:tcW w:w="1317" w:type="dxa"/>
            <w:tcBorders>
              <w:top w:val="nil"/>
              <w:left w:val="nil"/>
              <w:bottom w:val="nil"/>
              <w:right w:val="nil"/>
            </w:tcBorders>
            <w:noWrap/>
            <w:vAlign w:val="bottom"/>
            <w:hideMark/>
          </w:tcPr>
          <w:p w14:paraId="3C4A062D"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-1.5444</w:t>
            </w:r>
          </w:p>
        </w:tc>
        <w:tc>
          <w:tcPr>
            <w:tcW w:w="1317" w:type="dxa"/>
            <w:tcBorders>
              <w:top w:val="nil"/>
              <w:left w:val="nil"/>
              <w:bottom w:val="nil"/>
              <w:right w:val="nil"/>
            </w:tcBorders>
            <w:noWrap/>
            <w:vAlign w:val="bottom"/>
            <w:hideMark/>
          </w:tcPr>
          <w:p w14:paraId="7EDBB09B"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1.5828</w:t>
            </w:r>
          </w:p>
        </w:tc>
        <w:tc>
          <w:tcPr>
            <w:tcW w:w="1317" w:type="dxa"/>
            <w:tcBorders>
              <w:top w:val="nil"/>
              <w:left w:val="nil"/>
              <w:bottom w:val="nil"/>
              <w:right w:val="single" w:sz="4" w:space="0" w:color="auto"/>
            </w:tcBorders>
            <w:noWrap/>
            <w:vAlign w:val="bottom"/>
            <w:hideMark/>
          </w:tcPr>
          <w:p w14:paraId="4D13165B"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0.1449</w:t>
            </w:r>
          </w:p>
        </w:tc>
      </w:tr>
      <w:tr w:rsidR="00B701C9" w:rsidRPr="00B701C9" w14:paraId="0B8665BE" w14:textId="77777777" w:rsidTr="00B701C9">
        <w:trPr>
          <w:trHeight w:val="297"/>
        </w:trPr>
        <w:tc>
          <w:tcPr>
            <w:tcW w:w="1468" w:type="dxa"/>
            <w:tcBorders>
              <w:top w:val="nil"/>
              <w:left w:val="single" w:sz="4" w:space="0" w:color="auto"/>
              <w:bottom w:val="single" w:sz="4" w:space="0" w:color="auto"/>
              <w:right w:val="single" w:sz="4" w:space="0" w:color="auto"/>
            </w:tcBorders>
            <w:noWrap/>
            <w:hideMark/>
          </w:tcPr>
          <w:p w14:paraId="67091FE1"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B701C9">
              <w:rPr>
                <w:rFonts w:ascii="Calibri" w:eastAsia="Times New Roman" w:hAnsi="Calibri" w:cs="Calibri"/>
                <w:b/>
                <w:bCs/>
                <w:kern w:val="0"/>
                <w:sz w:val="22"/>
                <w:szCs w:val="22"/>
                <w:lang w:val="hu-HU" w:eastAsia="hu-HU"/>
                <w14:ligatures w14:val="none"/>
              </w:rPr>
              <w:t>CAAR[</w:t>
            </w:r>
            <w:proofErr w:type="gramEnd"/>
            <w:r w:rsidRPr="00B701C9">
              <w:rPr>
                <w:rFonts w:ascii="Calibri" w:eastAsia="Times New Roman" w:hAnsi="Calibri" w:cs="Calibri"/>
                <w:b/>
                <w:bCs/>
                <w:kern w:val="0"/>
                <w:sz w:val="22"/>
                <w:szCs w:val="22"/>
                <w:lang w:val="hu-HU" w:eastAsia="hu-HU"/>
                <w14:ligatures w14:val="none"/>
              </w:rPr>
              <w:t>1,3]</w:t>
            </w:r>
          </w:p>
        </w:tc>
        <w:tc>
          <w:tcPr>
            <w:tcW w:w="1317" w:type="dxa"/>
            <w:tcBorders>
              <w:top w:val="nil"/>
              <w:left w:val="nil"/>
              <w:bottom w:val="nil"/>
              <w:right w:val="nil"/>
            </w:tcBorders>
            <w:noWrap/>
            <w:vAlign w:val="bottom"/>
            <w:hideMark/>
          </w:tcPr>
          <w:p w14:paraId="6418F58B"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-0.7370</w:t>
            </w:r>
          </w:p>
        </w:tc>
        <w:tc>
          <w:tcPr>
            <w:tcW w:w="1317" w:type="dxa"/>
            <w:tcBorders>
              <w:top w:val="nil"/>
              <w:left w:val="nil"/>
              <w:bottom w:val="nil"/>
              <w:right w:val="nil"/>
            </w:tcBorders>
            <w:noWrap/>
            <w:vAlign w:val="bottom"/>
            <w:hideMark/>
          </w:tcPr>
          <w:p w14:paraId="2C90CA89"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-0.0038</w:t>
            </w:r>
          </w:p>
        </w:tc>
        <w:tc>
          <w:tcPr>
            <w:tcW w:w="1317" w:type="dxa"/>
            <w:tcBorders>
              <w:top w:val="nil"/>
              <w:left w:val="nil"/>
              <w:bottom w:val="nil"/>
              <w:right w:val="nil"/>
            </w:tcBorders>
            <w:noWrap/>
            <w:vAlign w:val="bottom"/>
            <w:hideMark/>
          </w:tcPr>
          <w:p w14:paraId="49B6B8F8"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-0.0033</w:t>
            </w:r>
          </w:p>
        </w:tc>
        <w:tc>
          <w:tcPr>
            <w:tcW w:w="1317" w:type="dxa"/>
            <w:tcBorders>
              <w:top w:val="nil"/>
              <w:left w:val="nil"/>
              <w:bottom w:val="nil"/>
              <w:right w:val="nil"/>
            </w:tcBorders>
            <w:noWrap/>
            <w:vAlign w:val="bottom"/>
            <w:hideMark/>
          </w:tcPr>
          <w:p w14:paraId="01E2DBB6"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-2.2523</w:t>
            </w:r>
          </w:p>
        </w:tc>
        <w:tc>
          <w:tcPr>
            <w:tcW w:w="1317" w:type="dxa"/>
            <w:tcBorders>
              <w:top w:val="nil"/>
              <w:left w:val="nil"/>
              <w:bottom w:val="nil"/>
              <w:right w:val="nil"/>
            </w:tcBorders>
            <w:noWrap/>
            <w:vAlign w:val="bottom"/>
            <w:hideMark/>
          </w:tcPr>
          <w:p w14:paraId="771391E2"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2.1839</w:t>
            </w:r>
          </w:p>
        </w:tc>
        <w:tc>
          <w:tcPr>
            <w:tcW w:w="1317" w:type="dxa"/>
            <w:tcBorders>
              <w:top w:val="nil"/>
              <w:left w:val="nil"/>
              <w:bottom w:val="nil"/>
              <w:right w:val="single" w:sz="4" w:space="0" w:color="auto"/>
            </w:tcBorders>
            <w:noWrap/>
            <w:vAlign w:val="bottom"/>
            <w:hideMark/>
          </w:tcPr>
          <w:p w14:paraId="44D070DB"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0.5158</w:t>
            </w:r>
          </w:p>
        </w:tc>
      </w:tr>
      <w:tr w:rsidR="00B701C9" w:rsidRPr="00B701C9" w14:paraId="507E7FE0" w14:textId="77777777" w:rsidTr="00B701C9">
        <w:trPr>
          <w:trHeight w:val="297"/>
        </w:trPr>
        <w:tc>
          <w:tcPr>
            <w:tcW w:w="1468" w:type="dxa"/>
            <w:tcBorders>
              <w:top w:val="nil"/>
              <w:left w:val="single" w:sz="4" w:space="0" w:color="auto"/>
              <w:bottom w:val="single" w:sz="4" w:space="0" w:color="auto"/>
              <w:right w:val="single" w:sz="4" w:space="0" w:color="auto"/>
            </w:tcBorders>
            <w:noWrap/>
            <w:hideMark/>
          </w:tcPr>
          <w:p w14:paraId="3DF9D7E1" w14:textId="77777777" w:rsidR="00B701C9" w:rsidRPr="00B701C9" w:rsidRDefault="00B701C9" w:rsidP="00B701C9">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B701C9">
              <w:rPr>
                <w:rFonts w:ascii="Calibri" w:eastAsia="Times New Roman" w:hAnsi="Calibri" w:cs="Calibri"/>
                <w:b/>
                <w:bCs/>
                <w:kern w:val="0"/>
                <w:sz w:val="22"/>
                <w:szCs w:val="22"/>
                <w:lang w:val="hu-HU" w:eastAsia="hu-HU"/>
                <w14:ligatures w14:val="none"/>
              </w:rPr>
              <w:t>CAAR[</w:t>
            </w:r>
            <w:proofErr w:type="gramEnd"/>
            <w:r w:rsidRPr="00B701C9">
              <w:rPr>
                <w:rFonts w:ascii="Calibri" w:eastAsia="Times New Roman" w:hAnsi="Calibri" w:cs="Calibri"/>
                <w:b/>
                <w:bCs/>
                <w:kern w:val="0"/>
                <w:sz w:val="22"/>
                <w:szCs w:val="22"/>
                <w:lang w:val="hu-HU" w:eastAsia="hu-HU"/>
                <w14:ligatures w14:val="none"/>
              </w:rPr>
              <w:t>1,5]</w:t>
            </w:r>
          </w:p>
        </w:tc>
        <w:tc>
          <w:tcPr>
            <w:tcW w:w="1317" w:type="dxa"/>
            <w:tcBorders>
              <w:top w:val="nil"/>
              <w:left w:val="nil"/>
              <w:bottom w:val="single" w:sz="4" w:space="0" w:color="auto"/>
              <w:right w:val="nil"/>
            </w:tcBorders>
            <w:noWrap/>
            <w:vAlign w:val="bottom"/>
            <w:hideMark/>
          </w:tcPr>
          <w:p w14:paraId="34DBB2DF"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-0.4475</w:t>
            </w:r>
          </w:p>
        </w:tc>
        <w:tc>
          <w:tcPr>
            <w:tcW w:w="1317" w:type="dxa"/>
            <w:tcBorders>
              <w:top w:val="nil"/>
              <w:left w:val="nil"/>
              <w:bottom w:val="single" w:sz="4" w:space="0" w:color="auto"/>
              <w:right w:val="nil"/>
            </w:tcBorders>
            <w:noWrap/>
            <w:vAlign w:val="bottom"/>
            <w:hideMark/>
          </w:tcPr>
          <w:p w14:paraId="6B69F092"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0.0082</w:t>
            </w:r>
          </w:p>
        </w:tc>
        <w:tc>
          <w:tcPr>
            <w:tcW w:w="1317" w:type="dxa"/>
            <w:tcBorders>
              <w:top w:val="nil"/>
              <w:left w:val="nil"/>
              <w:bottom w:val="single" w:sz="4" w:space="0" w:color="auto"/>
              <w:right w:val="nil"/>
            </w:tcBorders>
            <w:noWrap/>
            <w:vAlign w:val="bottom"/>
            <w:hideMark/>
          </w:tcPr>
          <w:p w14:paraId="5A3F0FE4"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0.0211</w:t>
            </w:r>
          </w:p>
        </w:tc>
        <w:tc>
          <w:tcPr>
            <w:tcW w:w="1317" w:type="dxa"/>
            <w:tcBorders>
              <w:top w:val="nil"/>
              <w:left w:val="nil"/>
              <w:bottom w:val="single" w:sz="4" w:space="0" w:color="auto"/>
              <w:right w:val="nil"/>
            </w:tcBorders>
            <w:noWrap/>
            <w:vAlign w:val="bottom"/>
            <w:hideMark/>
          </w:tcPr>
          <w:p w14:paraId="40518B99"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-2.7380</w:t>
            </w:r>
          </w:p>
        </w:tc>
        <w:tc>
          <w:tcPr>
            <w:tcW w:w="1317" w:type="dxa"/>
            <w:tcBorders>
              <w:top w:val="nil"/>
              <w:left w:val="nil"/>
              <w:bottom w:val="single" w:sz="4" w:space="0" w:color="auto"/>
              <w:right w:val="nil"/>
            </w:tcBorders>
            <w:noWrap/>
            <w:vAlign w:val="bottom"/>
            <w:hideMark/>
          </w:tcPr>
          <w:p w14:paraId="13654A65"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2.7467</w:t>
            </w:r>
          </w:p>
        </w:tc>
        <w:tc>
          <w:tcPr>
            <w:tcW w:w="1317" w:type="dxa"/>
            <w:tcBorders>
              <w:top w:val="nil"/>
              <w:left w:val="nil"/>
              <w:bottom w:val="single" w:sz="4" w:space="0" w:color="auto"/>
              <w:right w:val="single" w:sz="4" w:space="0" w:color="auto"/>
            </w:tcBorders>
            <w:noWrap/>
            <w:vAlign w:val="bottom"/>
            <w:hideMark/>
          </w:tcPr>
          <w:p w14:paraId="2FE3C80E" w14:textId="77777777" w:rsidR="00B701C9" w:rsidRPr="00B701C9" w:rsidRDefault="00B701C9" w:rsidP="00B701C9">
            <w:pPr>
              <w:spacing w:before="0" w:after="0" w:line="240" w:lineRule="auto"/>
              <w:jc w:val="right"/>
              <w:rPr>
                <w:rFonts w:ascii="Calibri" w:eastAsia="Times New Roman" w:hAnsi="Calibri" w:cs="Calibri"/>
                <w:color w:val="000000"/>
                <w:kern w:val="0"/>
                <w:sz w:val="22"/>
                <w:szCs w:val="22"/>
                <w:lang w:val="hu-HU" w:eastAsia="hu-HU"/>
                <w14:ligatures w14:val="none"/>
              </w:rPr>
            </w:pPr>
            <w:r w:rsidRPr="00B701C9">
              <w:rPr>
                <w:rFonts w:ascii="Calibri" w:eastAsia="Times New Roman" w:hAnsi="Calibri" w:cs="Calibri"/>
                <w:color w:val="000000"/>
                <w:kern w:val="0"/>
                <w:sz w:val="22"/>
                <w:szCs w:val="22"/>
                <w:lang w:val="hu-HU" w:eastAsia="hu-HU"/>
                <w14:ligatures w14:val="none"/>
              </w:rPr>
              <w:t>0.7479</w:t>
            </w:r>
          </w:p>
        </w:tc>
      </w:tr>
    </w:tbl>
    <w:p w14:paraId="352ADC4C" w14:textId="5AFB633E" w:rsidR="00E7062A" w:rsidRPr="00E7062A" w:rsidRDefault="00E7062A">
      <w:pPr>
        <w:pStyle w:val="Kpalrs"/>
        <w:rPr>
          <w:color w:val="auto"/>
        </w:rPr>
      </w:pPr>
      <w:r w:rsidRPr="00E7062A">
        <w:rPr>
          <w:color w:val="auto"/>
        </w:rPr>
        <w:fldChar w:fldCharType="begin"/>
      </w:r>
      <w:r w:rsidRPr="00E7062A">
        <w:rPr>
          <w:color w:val="auto"/>
        </w:rPr>
        <w:instrText xml:space="preserve"> SEQ táblázat \* ARABIC </w:instrText>
      </w:r>
      <w:r w:rsidRPr="00E7062A">
        <w:rPr>
          <w:color w:val="auto"/>
        </w:rPr>
        <w:fldChar w:fldCharType="separate"/>
      </w:r>
      <w:bookmarkStart w:id="14" w:name="_Toc218075168"/>
      <w:r>
        <w:rPr>
          <w:noProof/>
          <w:color w:val="auto"/>
        </w:rPr>
        <w:t>1</w:t>
      </w:r>
      <w:r w:rsidRPr="00E7062A">
        <w:rPr>
          <w:color w:val="auto"/>
        </w:rPr>
        <w:fldChar w:fldCharType="end"/>
      </w:r>
      <w:r w:rsidRPr="00E7062A">
        <w:rPr>
          <w:color w:val="auto"/>
        </w:rPr>
        <w:t xml:space="preserve">. </w:t>
      </w:r>
      <w:proofErr w:type="spellStart"/>
      <w:r w:rsidRPr="00E7062A">
        <w:rPr>
          <w:color w:val="auto"/>
        </w:rPr>
        <w:t>táblázat</w:t>
      </w:r>
      <w:proofErr w:type="spellEnd"/>
      <w:r w:rsidRPr="00E7062A">
        <w:rPr>
          <w:color w:val="auto"/>
        </w:rPr>
        <w:t xml:space="preserve">: </w:t>
      </w:r>
      <w:proofErr w:type="spellStart"/>
      <w:r w:rsidRPr="00E7062A">
        <w:rPr>
          <w:color w:val="auto"/>
        </w:rPr>
        <w:t>kummulált</w:t>
      </w:r>
      <w:proofErr w:type="spellEnd"/>
      <w:r w:rsidRPr="00E7062A">
        <w:rPr>
          <w:color w:val="auto"/>
        </w:rPr>
        <w:t xml:space="preserve"> </w:t>
      </w:r>
      <w:proofErr w:type="spellStart"/>
      <w:r w:rsidRPr="00E7062A">
        <w:rPr>
          <w:color w:val="auto"/>
        </w:rPr>
        <w:t>abnormális</w:t>
      </w:r>
      <w:proofErr w:type="spellEnd"/>
      <w:r w:rsidRPr="00E7062A">
        <w:rPr>
          <w:color w:val="auto"/>
        </w:rPr>
        <w:t xml:space="preserve"> </w:t>
      </w:r>
      <w:proofErr w:type="spellStart"/>
      <w:r w:rsidRPr="00E7062A">
        <w:rPr>
          <w:color w:val="auto"/>
        </w:rPr>
        <w:t>hozamok</w:t>
      </w:r>
      <w:proofErr w:type="spellEnd"/>
      <w:r w:rsidRPr="00E7062A">
        <w:rPr>
          <w:color w:val="auto"/>
        </w:rPr>
        <w:t xml:space="preserve"> </w:t>
      </w:r>
      <w:proofErr w:type="spellStart"/>
      <w:r w:rsidRPr="00E7062A">
        <w:rPr>
          <w:color w:val="auto"/>
        </w:rPr>
        <w:t>teljes</w:t>
      </w:r>
      <w:proofErr w:type="spellEnd"/>
      <w:r w:rsidRPr="00E7062A">
        <w:rPr>
          <w:color w:val="auto"/>
        </w:rPr>
        <w:t xml:space="preserve"> </w:t>
      </w:r>
      <w:proofErr w:type="spellStart"/>
      <w:r w:rsidRPr="00E7062A">
        <w:rPr>
          <w:color w:val="auto"/>
        </w:rPr>
        <w:t>mintán</w:t>
      </w:r>
      <w:bookmarkEnd w:id="14"/>
      <w:proofErr w:type="spellEnd"/>
    </w:p>
    <w:p w14:paraId="5A8A985D" w14:textId="77777777" w:rsidR="0061303E" w:rsidRPr="00A42090" w:rsidRDefault="0061303E" w:rsidP="0061303E">
      <w:pPr>
        <w:rPr>
          <w:rFonts w:cs="Times New Roman"/>
          <w:lang w:val="hu-HU"/>
        </w:rPr>
      </w:pPr>
      <w:r w:rsidRPr="00A42090">
        <w:rPr>
          <w:rFonts w:cs="Times New Roman"/>
          <w:lang w:val="hu-HU"/>
        </w:rPr>
        <w:t xml:space="preserve">Az eredmény részben magyarázható a részvények heterogenitásával: az egyes papírok pozitív és negatív abnormális kumulált hozamai </w:t>
      </w:r>
      <w:proofErr w:type="spellStart"/>
      <w:r w:rsidRPr="00A42090">
        <w:rPr>
          <w:rFonts w:cs="Times New Roman"/>
          <w:lang w:val="hu-HU"/>
        </w:rPr>
        <w:t>aggregálva</w:t>
      </w:r>
      <w:proofErr w:type="spellEnd"/>
      <w:r w:rsidRPr="00A42090">
        <w:rPr>
          <w:rFonts w:cs="Times New Roman"/>
          <w:lang w:val="hu-HU"/>
        </w:rPr>
        <w:t xml:space="preserve"> részben kioltották egymást. Ez az </w:t>
      </w:r>
      <w:proofErr w:type="spellStart"/>
      <w:r w:rsidRPr="00A42090">
        <w:rPr>
          <w:rFonts w:cs="Times New Roman"/>
          <w:lang w:val="hu-HU"/>
        </w:rPr>
        <w:t>aggregációs</w:t>
      </w:r>
      <w:proofErr w:type="spellEnd"/>
      <w:r w:rsidRPr="00A42090">
        <w:rPr>
          <w:rFonts w:cs="Times New Roman"/>
          <w:lang w:val="hu-HU"/>
        </w:rPr>
        <w:t xml:space="preserve"> hatás megjelenik a CAAR-ok nullához közeli értékeiben.</w:t>
      </w:r>
    </w:p>
    <w:p w14:paraId="12040A8B" w14:textId="77777777" w:rsidR="0061303E" w:rsidRPr="00A42090" w:rsidRDefault="0061303E" w:rsidP="0061303E">
      <w:pPr>
        <w:rPr>
          <w:rFonts w:cs="Times New Roman"/>
          <w:lang w:val="hu-HU"/>
        </w:rPr>
      </w:pPr>
      <w:r w:rsidRPr="00A42090">
        <w:rPr>
          <w:rFonts w:cs="Times New Roman"/>
          <w:lang w:val="hu-HU"/>
        </w:rPr>
        <w:lastRenderedPageBreak/>
        <w:t>Abszolút értékben a legnagyobb elmozdulás a CAAR [0,1] intervallumban volt megfigyelhető, azonban ezen időablakban is a p-érték meghaladta az 5%-ot, így az eredmény nem tekinthető szignifikánsnak. Ebben az intervallumban az átlag kisebb volt, mint a medián, ami arra utal, hogy néhány kiugró érték lefelé torzította az átlagos abnormális hozamot. Ezzel szemben a másik három időablakban az átlag abszolút értékben meghaladta a mediánt, ami néhány nagyobb negatív abnormális hozam jelenlétére utal. Végül megfigyelhető, hogy a CAAR abszolút értéke az idő előrehaladtával csökken, ami nem támasztja alá egy tartós eseményhatás fennállását.</w:t>
      </w:r>
    </w:p>
    <w:p w14:paraId="51BB24A4" w14:textId="77777777" w:rsidR="0067337C" w:rsidRDefault="0061303E" w:rsidP="0067337C">
      <w:pPr>
        <w:keepNext/>
      </w:pPr>
      <w:r w:rsidRPr="00A42090">
        <w:rPr>
          <w:rFonts w:cs="Times New Roman"/>
          <w:b/>
          <w:bCs/>
          <w:noProof/>
        </w:rPr>
        <w:drawing>
          <wp:inline distT="0" distB="0" distL="0" distR="0" wp14:anchorId="280E45FF" wp14:editId="46A000CF">
            <wp:extent cx="5760720" cy="4320540"/>
            <wp:effectExtent l="0" t="0" r="0" b="3810"/>
            <wp:docPr id="641826388" name="Áb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6388" name="Ábra 641826388"/>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4320540"/>
                    </a:xfrm>
                    <a:prstGeom prst="rect">
                      <a:avLst/>
                    </a:prstGeom>
                  </pic:spPr>
                </pic:pic>
              </a:graphicData>
            </a:graphic>
          </wp:inline>
        </w:drawing>
      </w:r>
    </w:p>
    <w:p w14:paraId="36352314" w14:textId="556EE2D0" w:rsidR="0061303E" w:rsidRPr="0067337C" w:rsidRDefault="0067337C" w:rsidP="0067337C">
      <w:pPr>
        <w:pStyle w:val="Kpalrs"/>
        <w:rPr>
          <w:rFonts w:cs="Times New Roman"/>
          <w:color w:val="auto"/>
          <w:lang w:val="hu-HU"/>
        </w:rPr>
      </w:pPr>
      <w:r w:rsidRPr="0067337C">
        <w:rPr>
          <w:rFonts w:cs="Times New Roman"/>
          <w:color w:val="auto"/>
          <w:lang w:val="hu-HU"/>
        </w:rPr>
        <w:fldChar w:fldCharType="begin"/>
      </w:r>
      <w:r w:rsidRPr="0067337C">
        <w:rPr>
          <w:rFonts w:cs="Times New Roman"/>
          <w:color w:val="auto"/>
          <w:lang w:val="hu-HU"/>
        </w:rPr>
        <w:instrText xml:space="preserve"> SEQ ábra \* ARABIC </w:instrText>
      </w:r>
      <w:r w:rsidRPr="0067337C">
        <w:rPr>
          <w:rFonts w:cs="Times New Roman"/>
          <w:color w:val="auto"/>
          <w:lang w:val="hu-HU"/>
        </w:rPr>
        <w:fldChar w:fldCharType="separate"/>
      </w:r>
      <w:bookmarkStart w:id="15" w:name="_Toc218075163"/>
      <w:r w:rsidRPr="0067337C">
        <w:rPr>
          <w:rFonts w:cs="Times New Roman"/>
          <w:noProof/>
          <w:color w:val="auto"/>
          <w:lang w:val="hu-HU"/>
        </w:rPr>
        <w:t>1</w:t>
      </w:r>
      <w:r w:rsidRPr="0067337C">
        <w:rPr>
          <w:rFonts w:cs="Times New Roman"/>
          <w:color w:val="auto"/>
          <w:lang w:val="hu-HU"/>
        </w:rPr>
        <w:fldChar w:fldCharType="end"/>
      </w:r>
      <w:r w:rsidRPr="0067337C">
        <w:rPr>
          <w:color w:val="auto"/>
        </w:rPr>
        <w:t xml:space="preserve">. </w:t>
      </w:r>
      <w:proofErr w:type="spellStart"/>
      <w:r w:rsidRPr="0067337C">
        <w:rPr>
          <w:color w:val="auto"/>
        </w:rPr>
        <w:t>ábra</w:t>
      </w:r>
      <w:proofErr w:type="spellEnd"/>
      <w:r w:rsidRPr="0067337C">
        <w:rPr>
          <w:color w:val="auto"/>
        </w:rPr>
        <w:t xml:space="preserve">: A </w:t>
      </w:r>
      <w:proofErr w:type="spellStart"/>
      <w:r w:rsidRPr="0067337C">
        <w:rPr>
          <w:color w:val="auto"/>
        </w:rPr>
        <w:t>kummulált</w:t>
      </w:r>
      <w:proofErr w:type="spellEnd"/>
      <w:r w:rsidRPr="0067337C">
        <w:rPr>
          <w:color w:val="auto"/>
        </w:rPr>
        <w:t xml:space="preserve"> </w:t>
      </w:r>
      <w:proofErr w:type="spellStart"/>
      <w:r w:rsidRPr="0067337C">
        <w:rPr>
          <w:color w:val="auto"/>
        </w:rPr>
        <w:t>abnormális</w:t>
      </w:r>
      <w:proofErr w:type="spellEnd"/>
      <w:r w:rsidRPr="0067337C">
        <w:rPr>
          <w:color w:val="auto"/>
        </w:rPr>
        <w:t xml:space="preserve"> </w:t>
      </w:r>
      <w:proofErr w:type="spellStart"/>
      <w:r w:rsidRPr="0067337C">
        <w:rPr>
          <w:color w:val="auto"/>
        </w:rPr>
        <w:t>hozam</w:t>
      </w:r>
      <w:proofErr w:type="spellEnd"/>
      <w:r w:rsidRPr="0067337C">
        <w:rPr>
          <w:color w:val="auto"/>
        </w:rPr>
        <w:t xml:space="preserve"> </w:t>
      </w:r>
      <w:proofErr w:type="spellStart"/>
      <w:r w:rsidRPr="0067337C">
        <w:rPr>
          <w:color w:val="auto"/>
        </w:rPr>
        <w:t>eloszlás</w:t>
      </w:r>
      <w:bookmarkEnd w:id="15"/>
      <w:proofErr w:type="spellEnd"/>
    </w:p>
    <w:p w14:paraId="7B29852E" w14:textId="77777777" w:rsidR="0061303E" w:rsidRPr="00A42090" w:rsidRDefault="0061303E" w:rsidP="0061303E">
      <w:pPr>
        <w:pStyle w:val="Cmsor2"/>
        <w:rPr>
          <w:rFonts w:cs="Times New Roman"/>
          <w:bCs/>
          <w:lang w:val="hu-HU"/>
        </w:rPr>
      </w:pPr>
      <w:bookmarkStart w:id="16" w:name="_Toc218075158"/>
      <w:proofErr w:type="spellStart"/>
      <w:r w:rsidRPr="00A42090">
        <w:rPr>
          <w:rFonts w:cs="Times New Roman"/>
          <w:bCs/>
          <w:szCs w:val="24"/>
        </w:rPr>
        <w:lastRenderedPageBreak/>
        <w:t>Szektoronként</w:t>
      </w:r>
      <w:proofErr w:type="spellEnd"/>
      <w:r w:rsidRPr="00A42090">
        <w:rPr>
          <w:rFonts w:cs="Times New Roman"/>
          <w:bCs/>
          <w:lang w:val="hu-HU"/>
        </w:rPr>
        <w:t xml:space="preserve"> számított átlagos abnormális hozamok (AAR)</w:t>
      </w:r>
      <w:bookmarkEnd w:id="16"/>
    </w:p>
    <w:p w14:paraId="02E73EE9" w14:textId="77777777" w:rsidR="0061303E" w:rsidRPr="00A42090" w:rsidRDefault="0061303E" w:rsidP="0061303E">
      <w:pPr>
        <w:rPr>
          <w:rFonts w:cs="Times New Roman"/>
          <w:lang w:val="hu-HU"/>
        </w:rPr>
      </w:pPr>
      <w:r w:rsidRPr="00A42090">
        <w:rPr>
          <w:rFonts w:cs="Times New Roman"/>
          <w:lang w:val="hu-HU"/>
        </w:rPr>
        <w:t xml:space="preserve">Részvénytípusonként bontva eltérő reakciók figyelhetők meg az átlagos abnormális hozamok alakulásában. A várakozásokkal összhangban a </w:t>
      </w:r>
      <w:proofErr w:type="spellStart"/>
      <w:r w:rsidRPr="00A42090">
        <w:rPr>
          <w:rFonts w:cs="Times New Roman"/>
          <w:lang w:val="hu-HU"/>
        </w:rPr>
        <w:t>Trump</w:t>
      </w:r>
      <w:proofErr w:type="spellEnd"/>
      <w:r w:rsidRPr="00A42090">
        <w:rPr>
          <w:rFonts w:cs="Times New Roman"/>
          <w:lang w:val="hu-HU"/>
        </w:rPr>
        <w:t xml:space="preserve">-hoz köthető részvények esetében az eseményt követően több napon keresztül pozitív és </w:t>
      </w:r>
      <w:proofErr w:type="spellStart"/>
      <w:r w:rsidRPr="00A42090">
        <w:rPr>
          <w:rFonts w:cs="Times New Roman"/>
          <w:lang w:val="hu-HU"/>
        </w:rPr>
        <w:t>statisztikailag</w:t>
      </w:r>
      <w:proofErr w:type="spellEnd"/>
      <w:r w:rsidRPr="00A42090">
        <w:rPr>
          <w:rFonts w:cs="Times New Roman"/>
          <w:lang w:val="hu-HU"/>
        </w:rPr>
        <w:t xml:space="preserve"> szignifikáns abnormális hozam volt megfigyelhető, amelyet ezt követően korrekció követett. A konfidenciaintervallum kizárólag az esemény napján tartalmazta a nullát, míg a többi napon az abnormális hozamok 5%-os szignifikanciaszint mellett szignifikánsnak bizonyultak.</w:t>
      </w:r>
    </w:p>
    <w:tbl>
      <w:tblPr>
        <w:tblW w:w="9487" w:type="dxa"/>
        <w:tblCellMar>
          <w:left w:w="70" w:type="dxa"/>
          <w:right w:w="70" w:type="dxa"/>
        </w:tblCellMar>
        <w:tblLook w:val="04A0" w:firstRow="1" w:lastRow="0" w:firstColumn="1" w:lastColumn="0" w:noHBand="0" w:noVBand="1"/>
      </w:tblPr>
      <w:tblGrid>
        <w:gridCol w:w="2039"/>
        <w:gridCol w:w="1064"/>
        <w:gridCol w:w="1064"/>
        <w:gridCol w:w="1064"/>
        <w:gridCol w:w="1064"/>
        <w:gridCol w:w="1064"/>
        <w:gridCol w:w="1064"/>
        <w:gridCol w:w="1064"/>
      </w:tblGrid>
      <w:tr w:rsidR="00FD5FAF" w:rsidRPr="00FD5FAF" w14:paraId="13095964" w14:textId="77777777" w:rsidTr="00FD5FAF">
        <w:trPr>
          <w:trHeight w:val="313"/>
        </w:trPr>
        <w:tc>
          <w:tcPr>
            <w:tcW w:w="2039" w:type="dxa"/>
            <w:tcBorders>
              <w:top w:val="single" w:sz="4" w:space="0" w:color="auto"/>
              <w:left w:val="single" w:sz="4" w:space="0" w:color="auto"/>
              <w:bottom w:val="nil"/>
              <w:right w:val="nil"/>
            </w:tcBorders>
            <w:noWrap/>
            <w:vAlign w:val="bottom"/>
            <w:hideMark/>
          </w:tcPr>
          <w:p w14:paraId="512CB20A" w14:textId="77777777" w:rsidR="00FD5FAF" w:rsidRPr="00FD5FAF" w:rsidRDefault="00FD5FAF" w:rsidP="00FD5FAF">
            <w:pPr>
              <w:spacing w:before="0" w:after="0" w:line="240" w:lineRule="auto"/>
              <w:jc w:val="lef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 </w:t>
            </w:r>
          </w:p>
        </w:tc>
        <w:tc>
          <w:tcPr>
            <w:tcW w:w="1064" w:type="dxa"/>
            <w:tcBorders>
              <w:top w:val="single" w:sz="4" w:space="0" w:color="auto"/>
              <w:left w:val="single" w:sz="4" w:space="0" w:color="auto"/>
              <w:bottom w:val="single" w:sz="4" w:space="0" w:color="auto"/>
              <w:right w:val="single" w:sz="4" w:space="0" w:color="auto"/>
            </w:tcBorders>
            <w:noWrap/>
            <w:hideMark/>
          </w:tcPr>
          <w:p w14:paraId="3AB712C2"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-1</w:t>
            </w:r>
          </w:p>
        </w:tc>
        <w:tc>
          <w:tcPr>
            <w:tcW w:w="1064" w:type="dxa"/>
            <w:tcBorders>
              <w:top w:val="single" w:sz="4" w:space="0" w:color="auto"/>
              <w:left w:val="nil"/>
              <w:bottom w:val="single" w:sz="4" w:space="0" w:color="auto"/>
              <w:right w:val="single" w:sz="4" w:space="0" w:color="auto"/>
            </w:tcBorders>
            <w:noWrap/>
            <w:hideMark/>
          </w:tcPr>
          <w:p w14:paraId="1C577040"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0</w:t>
            </w:r>
          </w:p>
        </w:tc>
        <w:tc>
          <w:tcPr>
            <w:tcW w:w="1064" w:type="dxa"/>
            <w:tcBorders>
              <w:top w:val="single" w:sz="4" w:space="0" w:color="auto"/>
              <w:left w:val="nil"/>
              <w:bottom w:val="single" w:sz="4" w:space="0" w:color="auto"/>
              <w:right w:val="single" w:sz="4" w:space="0" w:color="auto"/>
            </w:tcBorders>
            <w:noWrap/>
            <w:hideMark/>
          </w:tcPr>
          <w:p w14:paraId="6179FD92"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1</w:t>
            </w:r>
          </w:p>
        </w:tc>
        <w:tc>
          <w:tcPr>
            <w:tcW w:w="1064" w:type="dxa"/>
            <w:tcBorders>
              <w:top w:val="single" w:sz="4" w:space="0" w:color="auto"/>
              <w:left w:val="nil"/>
              <w:bottom w:val="single" w:sz="4" w:space="0" w:color="auto"/>
              <w:right w:val="single" w:sz="4" w:space="0" w:color="auto"/>
            </w:tcBorders>
            <w:noWrap/>
            <w:hideMark/>
          </w:tcPr>
          <w:p w14:paraId="2001BE54"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2</w:t>
            </w:r>
          </w:p>
        </w:tc>
        <w:tc>
          <w:tcPr>
            <w:tcW w:w="1064" w:type="dxa"/>
            <w:tcBorders>
              <w:top w:val="single" w:sz="4" w:space="0" w:color="auto"/>
              <w:left w:val="nil"/>
              <w:bottom w:val="single" w:sz="4" w:space="0" w:color="auto"/>
              <w:right w:val="single" w:sz="4" w:space="0" w:color="auto"/>
            </w:tcBorders>
            <w:noWrap/>
            <w:hideMark/>
          </w:tcPr>
          <w:p w14:paraId="7DEF72C1"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3</w:t>
            </w:r>
          </w:p>
        </w:tc>
        <w:tc>
          <w:tcPr>
            <w:tcW w:w="1064" w:type="dxa"/>
            <w:tcBorders>
              <w:top w:val="single" w:sz="4" w:space="0" w:color="auto"/>
              <w:left w:val="nil"/>
              <w:bottom w:val="single" w:sz="4" w:space="0" w:color="auto"/>
              <w:right w:val="single" w:sz="4" w:space="0" w:color="auto"/>
            </w:tcBorders>
            <w:noWrap/>
            <w:hideMark/>
          </w:tcPr>
          <w:p w14:paraId="661258F0"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4</w:t>
            </w:r>
          </w:p>
        </w:tc>
        <w:tc>
          <w:tcPr>
            <w:tcW w:w="1064" w:type="dxa"/>
            <w:tcBorders>
              <w:top w:val="single" w:sz="4" w:space="0" w:color="auto"/>
              <w:left w:val="nil"/>
              <w:bottom w:val="single" w:sz="4" w:space="0" w:color="auto"/>
              <w:right w:val="single" w:sz="4" w:space="0" w:color="auto"/>
            </w:tcBorders>
            <w:noWrap/>
            <w:hideMark/>
          </w:tcPr>
          <w:p w14:paraId="68EACEB8"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5</w:t>
            </w:r>
          </w:p>
        </w:tc>
      </w:tr>
      <w:tr w:rsidR="00FD5FAF" w:rsidRPr="00FD5FAF" w14:paraId="36ABFE80" w14:textId="77777777" w:rsidTr="00FD5FAF">
        <w:trPr>
          <w:trHeight w:val="313"/>
        </w:trPr>
        <w:tc>
          <w:tcPr>
            <w:tcW w:w="2039" w:type="dxa"/>
            <w:tcBorders>
              <w:top w:val="single" w:sz="4" w:space="0" w:color="auto"/>
              <w:left w:val="single" w:sz="4" w:space="0" w:color="auto"/>
              <w:bottom w:val="single" w:sz="4" w:space="0" w:color="auto"/>
              <w:right w:val="single" w:sz="4" w:space="0" w:color="auto"/>
            </w:tcBorders>
            <w:noWrap/>
            <w:hideMark/>
          </w:tcPr>
          <w:p w14:paraId="68B6FE0F"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FD5FAF">
              <w:rPr>
                <w:rFonts w:ascii="Calibri" w:eastAsia="Times New Roman" w:hAnsi="Calibri" w:cs="Calibri"/>
                <w:b/>
                <w:bCs/>
                <w:kern w:val="0"/>
                <w:sz w:val="22"/>
                <w:szCs w:val="22"/>
                <w:lang w:val="hu-HU" w:eastAsia="hu-HU"/>
                <w14:ligatures w14:val="none"/>
              </w:rPr>
              <w:t>Trump</w:t>
            </w:r>
            <w:proofErr w:type="spellEnd"/>
            <w:r w:rsidRPr="00FD5FAF">
              <w:rPr>
                <w:rFonts w:ascii="Calibri" w:eastAsia="Times New Roman" w:hAnsi="Calibri" w:cs="Calibri"/>
                <w:b/>
                <w:bCs/>
                <w:kern w:val="0"/>
                <w:sz w:val="22"/>
                <w:szCs w:val="22"/>
                <w:lang w:val="hu-HU" w:eastAsia="hu-HU"/>
                <w14:ligatures w14:val="none"/>
              </w:rPr>
              <w:t xml:space="preserve"> részvények</w:t>
            </w:r>
          </w:p>
        </w:tc>
        <w:tc>
          <w:tcPr>
            <w:tcW w:w="1064" w:type="dxa"/>
            <w:tcBorders>
              <w:top w:val="nil"/>
              <w:left w:val="nil"/>
              <w:bottom w:val="nil"/>
              <w:right w:val="nil"/>
            </w:tcBorders>
            <w:noWrap/>
            <w:vAlign w:val="bottom"/>
            <w:hideMark/>
          </w:tcPr>
          <w:p w14:paraId="4F3D702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1.3853</w:t>
            </w:r>
          </w:p>
        </w:tc>
        <w:tc>
          <w:tcPr>
            <w:tcW w:w="1064" w:type="dxa"/>
            <w:tcBorders>
              <w:top w:val="nil"/>
              <w:left w:val="nil"/>
              <w:bottom w:val="nil"/>
              <w:right w:val="nil"/>
            </w:tcBorders>
            <w:noWrap/>
            <w:vAlign w:val="bottom"/>
            <w:hideMark/>
          </w:tcPr>
          <w:p w14:paraId="03042E7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0.1679</w:t>
            </w:r>
          </w:p>
        </w:tc>
        <w:tc>
          <w:tcPr>
            <w:tcW w:w="1064" w:type="dxa"/>
            <w:tcBorders>
              <w:top w:val="nil"/>
              <w:left w:val="nil"/>
              <w:bottom w:val="nil"/>
              <w:right w:val="nil"/>
            </w:tcBorders>
            <w:noWrap/>
            <w:vAlign w:val="bottom"/>
            <w:hideMark/>
          </w:tcPr>
          <w:p w14:paraId="52771160"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3.4997</w:t>
            </w:r>
          </w:p>
        </w:tc>
        <w:tc>
          <w:tcPr>
            <w:tcW w:w="1064" w:type="dxa"/>
            <w:tcBorders>
              <w:top w:val="nil"/>
              <w:left w:val="nil"/>
              <w:bottom w:val="nil"/>
              <w:right w:val="nil"/>
            </w:tcBorders>
            <w:noWrap/>
            <w:vAlign w:val="bottom"/>
            <w:hideMark/>
          </w:tcPr>
          <w:p w14:paraId="3CE265A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-1.6523</w:t>
            </w:r>
          </w:p>
        </w:tc>
        <w:tc>
          <w:tcPr>
            <w:tcW w:w="1064" w:type="dxa"/>
            <w:tcBorders>
              <w:top w:val="nil"/>
              <w:left w:val="nil"/>
              <w:bottom w:val="nil"/>
              <w:right w:val="nil"/>
            </w:tcBorders>
            <w:noWrap/>
            <w:vAlign w:val="bottom"/>
            <w:hideMark/>
          </w:tcPr>
          <w:p w14:paraId="54634123"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2.8283</w:t>
            </w:r>
          </w:p>
        </w:tc>
        <w:tc>
          <w:tcPr>
            <w:tcW w:w="1064" w:type="dxa"/>
            <w:tcBorders>
              <w:top w:val="nil"/>
              <w:left w:val="nil"/>
              <w:bottom w:val="nil"/>
              <w:right w:val="nil"/>
            </w:tcBorders>
            <w:noWrap/>
            <w:vAlign w:val="bottom"/>
            <w:hideMark/>
          </w:tcPr>
          <w:p w14:paraId="7EC6CAC1"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5.3327</w:t>
            </w:r>
          </w:p>
        </w:tc>
        <w:tc>
          <w:tcPr>
            <w:tcW w:w="1064" w:type="dxa"/>
            <w:tcBorders>
              <w:top w:val="nil"/>
              <w:left w:val="nil"/>
              <w:bottom w:val="nil"/>
              <w:right w:val="single" w:sz="4" w:space="0" w:color="auto"/>
            </w:tcBorders>
            <w:noWrap/>
            <w:vAlign w:val="bottom"/>
            <w:hideMark/>
          </w:tcPr>
          <w:p w14:paraId="2B5D55A9"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-0.9335</w:t>
            </w:r>
          </w:p>
        </w:tc>
      </w:tr>
      <w:tr w:rsidR="00FD5FAF" w:rsidRPr="00FD5FAF" w14:paraId="3EEFEC4B"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7F4F40A0"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2,5%</w:t>
            </w:r>
          </w:p>
        </w:tc>
        <w:tc>
          <w:tcPr>
            <w:tcW w:w="1064" w:type="dxa"/>
            <w:tcBorders>
              <w:top w:val="nil"/>
              <w:left w:val="nil"/>
              <w:bottom w:val="nil"/>
              <w:right w:val="nil"/>
            </w:tcBorders>
            <w:noWrap/>
            <w:vAlign w:val="bottom"/>
            <w:hideMark/>
          </w:tcPr>
          <w:p w14:paraId="1E6F28F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0.6891</w:t>
            </w:r>
          </w:p>
        </w:tc>
        <w:tc>
          <w:tcPr>
            <w:tcW w:w="1064" w:type="dxa"/>
            <w:tcBorders>
              <w:top w:val="nil"/>
              <w:left w:val="nil"/>
              <w:bottom w:val="nil"/>
              <w:right w:val="nil"/>
            </w:tcBorders>
            <w:noWrap/>
            <w:vAlign w:val="bottom"/>
            <w:hideMark/>
          </w:tcPr>
          <w:p w14:paraId="29829845"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-0.7637</w:t>
            </w:r>
          </w:p>
        </w:tc>
        <w:tc>
          <w:tcPr>
            <w:tcW w:w="1064" w:type="dxa"/>
            <w:tcBorders>
              <w:top w:val="nil"/>
              <w:left w:val="nil"/>
              <w:bottom w:val="nil"/>
              <w:right w:val="nil"/>
            </w:tcBorders>
            <w:noWrap/>
            <w:vAlign w:val="bottom"/>
            <w:hideMark/>
          </w:tcPr>
          <w:p w14:paraId="12184611"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0.7431</w:t>
            </w:r>
          </w:p>
        </w:tc>
        <w:tc>
          <w:tcPr>
            <w:tcW w:w="1064" w:type="dxa"/>
            <w:tcBorders>
              <w:top w:val="nil"/>
              <w:left w:val="nil"/>
              <w:bottom w:val="nil"/>
              <w:right w:val="nil"/>
            </w:tcBorders>
            <w:noWrap/>
            <w:vAlign w:val="bottom"/>
            <w:hideMark/>
          </w:tcPr>
          <w:p w14:paraId="4844BA17"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-2.6274</w:t>
            </w:r>
          </w:p>
        </w:tc>
        <w:tc>
          <w:tcPr>
            <w:tcW w:w="1064" w:type="dxa"/>
            <w:tcBorders>
              <w:top w:val="nil"/>
              <w:left w:val="nil"/>
              <w:bottom w:val="nil"/>
              <w:right w:val="nil"/>
            </w:tcBorders>
            <w:noWrap/>
            <w:vAlign w:val="bottom"/>
            <w:hideMark/>
          </w:tcPr>
          <w:p w14:paraId="0FA3DBE0"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1.7298</w:t>
            </w:r>
          </w:p>
        </w:tc>
        <w:tc>
          <w:tcPr>
            <w:tcW w:w="1064" w:type="dxa"/>
            <w:tcBorders>
              <w:top w:val="nil"/>
              <w:left w:val="nil"/>
              <w:bottom w:val="nil"/>
              <w:right w:val="nil"/>
            </w:tcBorders>
            <w:noWrap/>
            <w:vAlign w:val="bottom"/>
            <w:hideMark/>
          </w:tcPr>
          <w:p w14:paraId="1C36D9D9"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4.1617</w:t>
            </w:r>
          </w:p>
        </w:tc>
        <w:tc>
          <w:tcPr>
            <w:tcW w:w="1064" w:type="dxa"/>
            <w:tcBorders>
              <w:top w:val="nil"/>
              <w:left w:val="nil"/>
              <w:bottom w:val="nil"/>
              <w:right w:val="single" w:sz="4" w:space="0" w:color="auto"/>
            </w:tcBorders>
            <w:noWrap/>
            <w:vAlign w:val="bottom"/>
            <w:hideMark/>
          </w:tcPr>
          <w:p w14:paraId="7F501984"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-1.5268</w:t>
            </w:r>
          </w:p>
        </w:tc>
      </w:tr>
      <w:tr w:rsidR="00FD5FAF" w:rsidRPr="00FD5FAF" w14:paraId="7F114F09"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1548BF28"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97,5%</w:t>
            </w:r>
          </w:p>
        </w:tc>
        <w:tc>
          <w:tcPr>
            <w:tcW w:w="1064" w:type="dxa"/>
            <w:tcBorders>
              <w:top w:val="nil"/>
              <w:left w:val="nil"/>
              <w:bottom w:val="nil"/>
              <w:right w:val="nil"/>
            </w:tcBorders>
            <w:noWrap/>
            <w:vAlign w:val="bottom"/>
            <w:hideMark/>
          </w:tcPr>
          <w:p w14:paraId="22DA2711"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2.1822</w:t>
            </w:r>
          </w:p>
        </w:tc>
        <w:tc>
          <w:tcPr>
            <w:tcW w:w="1064" w:type="dxa"/>
            <w:tcBorders>
              <w:top w:val="nil"/>
              <w:left w:val="nil"/>
              <w:bottom w:val="nil"/>
              <w:right w:val="nil"/>
            </w:tcBorders>
            <w:noWrap/>
            <w:vAlign w:val="bottom"/>
            <w:hideMark/>
          </w:tcPr>
          <w:p w14:paraId="2619803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0.8569</w:t>
            </w:r>
          </w:p>
        </w:tc>
        <w:tc>
          <w:tcPr>
            <w:tcW w:w="1064" w:type="dxa"/>
            <w:tcBorders>
              <w:top w:val="nil"/>
              <w:left w:val="nil"/>
              <w:bottom w:val="nil"/>
              <w:right w:val="nil"/>
            </w:tcBorders>
            <w:noWrap/>
            <w:vAlign w:val="bottom"/>
            <w:hideMark/>
          </w:tcPr>
          <w:p w14:paraId="3B593518"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5.5837</w:t>
            </w:r>
          </w:p>
        </w:tc>
        <w:tc>
          <w:tcPr>
            <w:tcW w:w="1064" w:type="dxa"/>
            <w:tcBorders>
              <w:top w:val="nil"/>
              <w:left w:val="nil"/>
              <w:bottom w:val="nil"/>
              <w:right w:val="nil"/>
            </w:tcBorders>
            <w:noWrap/>
            <w:vAlign w:val="bottom"/>
            <w:hideMark/>
          </w:tcPr>
          <w:p w14:paraId="6856B581"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-0.5503</w:t>
            </w:r>
          </w:p>
        </w:tc>
        <w:tc>
          <w:tcPr>
            <w:tcW w:w="1064" w:type="dxa"/>
            <w:tcBorders>
              <w:top w:val="nil"/>
              <w:left w:val="nil"/>
              <w:bottom w:val="nil"/>
              <w:right w:val="nil"/>
            </w:tcBorders>
            <w:noWrap/>
            <w:vAlign w:val="bottom"/>
            <w:hideMark/>
          </w:tcPr>
          <w:p w14:paraId="617E034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3.6588</w:t>
            </w:r>
          </w:p>
        </w:tc>
        <w:tc>
          <w:tcPr>
            <w:tcW w:w="1064" w:type="dxa"/>
            <w:tcBorders>
              <w:top w:val="nil"/>
              <w:left w:val="nil"/>
              <w:bottom w:val="nil"/>
              <w:right w:val="nil"/>
            </w:tcBorders>
            <w:noWrap/>
            <w:vAlign w:val="bottom"/>
            <w:hideMark/>
          </w:tcPr>
          <w:p w14:paraId="3A4FDC4F"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6.1548</w:t>
            </w:r>
          </w:p>
        </w:tc>
        <w:tc>
          <w:tcPr>
            <w:tcW w:w="1064" w:type="dxa"/>
            <w:tcBorders>
              <w:top w:val="nil"/>
              <w:left w:val="nil"/>
              <w:bottom w:val="nil"/>
              <w:right w:val="single" w:sz="4" w:space="0" w:color="auto"/>
            </w:tcBorders>
            <w:noWrap/>
            <w:vAlign w:val="bottom"/>
            <w:hideMark/>
          </w:tcPr>
          <w:p w14:paraId="24C39AAB"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-0.2496</w:t>
            </w:r>
          </w:p>
        </w:tc>
      </w:tr>
      <w:tr w:rsidR="00FD5FAF" w:rsidRPr="00FD5FAF" w14:paraId="5A955DBF"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5611FFF5"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Harris részvények</w:t>
            </w:r>
          </w:p>
        </w:tc>
        <w:tc>
          <w:tcPr>
            <w:tcW w:w="1064" w:type="dxa"/>
            <w:tcBorders>
              <w:top w:val="nil"/>
              <w:left w:val="nil"/>
              <w:bottom w:val="nil"/>
              <w:right w:val="nil"/>
            </w:tcBorders>
            <w:noWrap/>
            <w:vAlign w:val="bottom"/>
            <w:hideMark/>
          </w:tcPr>
          <w:p w14:paraId="0B95453B"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1.6357</w:t>
            </w:r>
          </w:p>
        </w:tc>
        <w:tc>
          <w:tcPr>
            <w:tcW w:w="1064" w:type="dxa"/>
            <w:tcBorders>
              <w:top w:val="nil"/>
              <w:left w:val="nil"/>
              <w:bottom w:val="nil"/>
              <w:right w:val="nil"/>
            </w:tcBorders>
            <w:noWrap/>
            <w:vAlign w:val="bottom"/>
            <w:hideMark/>
          </w:tcPr>
          <w:p w14:paraId="788D992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0.4718</w:t>
            </w:r>
          </w:p>
        </w:tc>
        <w:tc>
          <w:tcPr>
            <w:tcW w:w="1064" w:type="dxa"/>
            <w:tcBorders>
              <w:top w:val="nil"/>
              <w:left w:val="nil"/>
              <w:bottom w:val="nil"/>
              <w:right w:val="nil"/>
            </w:tcBorders>
            <w:noWrap/>
            <w:vAlign w:val="bottom"/>
            <w:hideMark/>
          </w:tcPr>
          <w:p w14:paraId="6B38B019"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-6.1997</w:t>
            </w:r>
          </w:p>
        </w:tc>
        <w:tc>
          <w:tcPr>
            <w:tcW w:w="1064" w:type="dxa"/>
            <w:tcBorders>
              <w:top w:val="nil"/>
              <w:left w:val="nil"/>
              <w:bottom w:val="nil"/>
              <w:right w:val="nil"/>
            </w:tcBorders>
            <w:noWrap/>
            <w:vAlign w:val="bottom"/>
            <w:hideMark/>
          </w:tcPr>
          <w:p w14:paraId="78C8ADEF"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-0.2125</w:t>
            </w:r>
          </w:p>
        </w:tc>
        <w:tc>
          <w:tcPr>
            <w:tcW w:w="1064" w:type="dxa"/>
            <w:tcBorders>
              <w:top w:val="nil"/>
              <w:left w:val="nil"/>
              <w:bottom w:val="nil"/>
              <w:right w:val="nil"/>
            </w:tcBorders>
            <w:noWrap/>
            <w:vAlign w:val="bottom"/>
            <w:hideMark/>
          </w:tcPr>
          <w:p w14:paraId="45C59798"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0.5454</w:t>
            </w:r>
          </w:p>
        </w:tc>
        <w:tc>
          <w:tcPr>
            <w:tcW w:w="1064" w:type="dxa"/>
            <w:tcBorders>
              <w:top w:val="nil"/>
              <w:left w:val="nil"/>
              <w:bottom w:val="nil"/>
              <w:right w:val="nil"/>
            </w:tcBorders>
            <w:noWrap/>
            <w:vAlign w:val="bottom"/>
            <w:hideMark/>
          </w:tcPr>
          <w:p w14:paraId="4855801B"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-1.6108</w:t>
            </w:r>
          </w:p>
        </w:tc>
        <w:tc>
          <w:tcPr>
            <w:tcW w:w="1064" w:type="dxa"/>
            <w:tcBorders>
              <w:top w:val="nil"/>
              <w:left w:val="nil"/>
              <w:bottom w:val="nil"/>
              <w:right w:val="single" w:sz="4" w:space="0" w:color="auto"/>
            </w:tcBorders>
            <w:noWrap/>
            <w:vAlign w:val="bottom"/>
            <w:hideMark/>
          </w:tcPr>
          <w:p w14:paraId="13205624"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-2.3930</w:t>
            </w:r>
          </w:p>
        </w:tc>
      </w:tr>
      <w:tr w:rsidR="00FD5FAF" w:rsidRPr="00FD5FAF" w14:paraId="3BF8C3E7"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2F3A4AD8"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2,5%</w:t>
            </w:r>
          </w:p>
        </w:tc>
        <w:tc>
          <w:tcPr>
            <w:tcW w:w="1064" w:type="dxa"/>
            <w:tcBorders>
              <w:top w:val="nil"/>
              <w:left w:val="nil"/>
              <w:bottom w:val="nil"/>
              <w:right w:val="nil"/>
            </w:tcBorders>
            <w:noWrap/>
            <w:vAlign w:val="bottom"/>
            <w:hideMark/>
          </w:tcPr>
          <w:p w14:paraId="6A560DDE"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1.1028</w:t>
            </w:r>
          </w:p>
        </w:tc>
        <w:tc>
          <w:tcPr>
            <w:tcW w:w="1064" w:type="dxa"/>
            <w:tcBorders>
              <w:top w:val="nil"/>
              <w:left w:val="nil"/>
              <w:bottom w:val="nil"/>
              <w:right w:val="nil"/>
            </w:tcBorders>
            <w:noWrap/>
            <w:vAlign w:val="bottom"/>
            <w:hideMark/>
          </w:tcPr>
          <w:p w14:paraId="025EEFD8"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0.0653</w:t>
            </w:r>
          </w:p>
        </w:tc>
        <w:tc>
          <w:tcPr>
            <w:tcW w:w="1064" w:type="dxa"/>
            <w:tcBorders>
              <w:top w:val="nil"/>
              <w:left w:val="nil"/>
              <w:bottom w:val="nil"/>
              <w:right w:val="nil"/>
            </w:tcBorders>
            <w:noWrap/>
            <w:vAlign w:val="bottom"/>
            <w:hideMark/>
          </w:tcPr>
          <w:p w14:paraId="0F23DE0E"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-7.7253</w:t>
            </w:r>
          </w:p>
        </w:tc>
        <w:tc>
          <w:tcPr>
            <w:tcW w:w="1064" w:type="dxa"/>
            <w:tcBorders>
              <w:top w:val="nil"/>
              <w:left w:val="nil"/>
              <w:bottom w:val="nil"/>
              <w:right w:val="nil"/>
            </w:tcBorders>
            <w:noWrap/>
            <w:vAlign w:val="bottom"/>
            <w:hideMark/>
          </w:tcPr>
          <w:p w14:paraId="6E0A757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-0.9491</w:t>
            </w:r>
          </w:p>
        </w:tc>
        <w:tc>
          <w:tcPr>
            <w:tcW w:w="1064" w:type="dxa"/>
            <w:tcBorders>
              <w:top w:val="nil"/>
              <w:left w:val="nil"/>
              <w:bottom w:val="nil"/>
              <w:right w:val="nil"/>
            </w:tcBorders>
            <w:noWrap/>
            <w:vAlign w:val="bottom"/>
            <w:hideMark/>
          </w:tcPr>
          <w:p w14:paraId="224A01F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0.0903</w:t>
            </w:r>
          </w:p>
        </w:tc>
        <w:tc>
          <w:tcPr>
            <w:tcW w:w="1064" w:type="dxa"/>
            <w:tcBorders>
              <w:top w:val="nil"/>
              <w:left w:val="nil"/>
              <w:bottom w:val="nil"/>
              <w:right w:val="nil"/>
            </w:tcBorders>
            <w:noWrap/>
            <w:vAlign w:val="bottom"/>
            <w:hideMark/>
          </w:tcPr>
          <w:p w14:paraId="0C3969F9"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-2.2424</w:t>
            </w:r>
          </w:p>
        </w:tc>
        <w:tc>
          <w:tcPr>
            <w:tcW w:w="1064" w:type="dxa"/>
            <w:tcBorders>
              <w:top w:val="nil"/>
              <w:left w:val="nil"/>
              <w:bottom w:val="nil"/>
              <w:right w:val="single" w:sz="4" w:space="0" w:color="auto"/>
            </w:tcBorders>
            <w:noWrap/>
            <w:vAlign w:val="bottom"/>
            <w:hideMark/>
          </w:tcPr>
          <w:p w14:paraId="11A32CC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-2.8235</w:t>
            </w:r>
          </w:p>
        </w:tc>
      </w:tr>
      <w:tr w:rsidR="00FD5FAF" w:rsidRPr="00FD5FAF" w14:paraId="7879D4BF"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51803BF3"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97,5%</w:t>
            </w:r>
          </w:p>
        </w:tc>
        <w:tc>
          <w:tcPr>
            <w:tcW w:w="1064" w:type="dxa"/>
            <w:tcBorders>
              <w:top w:val="nil"/>
              <w:left w:val="nil"/>
              <w:bottom w:val="nil"/>
              <w:right w:val="nil"/>
            </w:tcBorders>
            <w:noWrap/>
            <w:vAlign w:val="bottom"/>
            <w:hideMark/>
          </w:tcPr>
          <w:p w14:paraId="3F88BA9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2.1776</w:t>
            </w:r>
          </w:p>
        </w:tc>
        <w:tc>
          <w:tcPr>
            <w:tcW w:w="1064" w:type="dxa"/>
            <w:tcBorders>
              <w:top w:val="nil"/>
              <w:left w:val="nil"/>
              <w:bottom w:val="nil"/>
              <w:right w:val="nil"/>
            </w:tcBorders>
            <w:noWrap/>
            <w:vAlign w:val="bottom"/>
            <w:hideMark/>
          </w:tcPr>
          <w:p w14:paraId="7B6BCAA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0.9043</w:t>
            </w:r>
          </w:p>
        </w:tc>
        <w:tc>
          <w:tcPr>
            <w:tcW w:w="1064" w:type="dxa"/>
            <w:tcBorders>
              <w:top w:val="nil"/>
              <w:left w:val="nil"/>
              <w:bottom w:val="nil"/>
              <w:right w:val="nil"/>
            </w:tcBorders>
            <w:noWrap/>
            <w:vAlign w:val="bottom"/>
            <w:hideMark/>
          </w:tcPr>
          <w:p w14:paraId="7149B27E"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-4.6118</w:t>
            </w:r>
          </w:p>
        </w:tc>
        <w:tc>
          <w:tcPr>
            <w:tcW w:w="1064" w:type="dxa"/>
            <w:tcBorders>
              <w:top w:val="nil"/>
              <w:left w:val="nil"/>
              <w:bottom w:val="nil"/>
              <w:right w:val="nil"/>
            </w:tcBorders>
            <w:noWrap/>
            <w:vAlign w:val="bottom"/>
            <w:hideMark/>
          </w:tcPr>
          <w:p w14:paraId="33517F8A"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0.4924</w:t>
            </w:r>
          </w:p>
        </w:tc>
        <w:tc>
          <w:tcPr>
            <w:tcW w:w="1064" w:type="dxa"/>
            <w:tcBorders>
              <w:top w:val="nil"/>
              <w:left w:val="nil"/>
              <w:bottom w:val="nil"/>
              <w:right w:val="nil"/>
            </w:tcBorders>
            <w:noWrap/>
            <w:vAlign w:val="bottom"/>
            <w:hideMark/>
          </w:tcPr>
          <w:p w14:paraId="58969D09"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1.0361</w:t>
            </w:r>
          </w:p>
        </w:tc>
        <w:tc>
          <w:tcPr>
            <w:tcW w:w="1064" w:type="dxa"/>
            <w:tcBorders>
              <w:top w:val="nil"/>
              <w:left w:val="nil"/>
              <w:bottom w:val="nil"/>
              <w:right w:val="nil"/>
            </w:tcBorders>
            <w:noWrap/>
            <w:vAlign w:val="bottom"/>
            <w:hideMark/>
          </w:tcPr>
          <w:p w14:paraId="25133C2F"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-0.9456</w:t>
            </w:r>
          </w:p>
        </w:tc>
        <w:tc>
          <w:tcPr>
            <w:tcW w:w="1064" w:type="dxa"/>
            <w:tcBorders>
              <w:top w:val="nil"/>
              <w:left w:val="nil"/>
              <w:bottom w:val="nil"/>
              <w:right w:val="single" w:sz="4" w:space="0" w:color="auto"/>
            </w:tcBorders>
            <w:noWrap/>
            <w:vAlign w:val="bottom"/>
            <w:hideMark/>
          </w:tcPr>
          <w:p w14:paraId="6DF8AFB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-1.9456</w:t>
            </w:r>
          </w:p>
        </w:tc>
      </w:tr>
      <w:tr w:rsidR="00FD5FAF" w:rsidRPr="00FD5FAF" w14:paraId="696F2FFF"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74E3987F"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FD5FAF">
              <w:rPr>
                <w:rFonts w:ascii="Calibri" w:eastAsia="Times New Roman" w:hAnsi="Calibri" w:cs="Calibri"/>
                <w:b/>
                <w:bCs/>
                <w:kern w:val="0"/>
                <w:sz w:val="22"/>
                <w:szCs w:val="22"/>
                <w:lang w:val="hu-HU" w:eastAsia="hu-HU"/>
                <w14:ligatures w14:val="none"/>
              </w:rPr>
              <w:t>Tech</w:t>
            </w:r>
            <w:proofErr w:type="spellEnd"/>
            <w:r w:rsidRPr="00FD5FAF">
              <w:rPr>
                <w:rFonts w:ascii="Calibri" w:eastAsia="Times New Roman" w:hAnsi="Calibri" w:cs="Calibri"/>
                <w:b/>
                <w:bCs/>
                <w:kern w:val="0"/>
                <w:sz w:val="22"/>
                <w:szCs w:val="22"/>
                <w:lang w:val="hu-HU" w:eastAsia="hu-HU"/>
                <w14:ligatures w14:val="none"/>
              </w:rPr>
              <w:t xml:space="preserve"> részvények</w:t>
            </w:r>
          </w:p>
        </w:tc>
        <w:tc>
          <w:tcPr>
            <w:tcW w:w="1064" w:type="dxa"/>
            <w:tcBorders>
              <w:top w:val="nil"/>
              <w:left w:val="nil"/>
              <w:bottom w:val="nil"/>
              <w:right w:val="nil"/>
            </w:tcBorders>
            <w:noWrap/>
            <w:vAlign w:val="bottom"/>
            <w:hideMark/>
          </w:tcPr>
          <w:p w14:paraId="5A5E3CBE"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-0.4504</w:t>
            </w:r>
          </w:p>
        </w:tc>
        <w:tc>
          <w:tcPr>
            <w:tcW w:w="1064" w:type="dxa"/>
            <w:tcBorders>
              <w:top w:val="nil"/>
              <w:left w:val="nil"/>
              <w:bottom w:val="nil"/>
              <w:right w:val="nil"/>
            </w:tcBorders>
            <w:noWrap/>
            <w:vAlign w:val="bottom"/>
            <w:hideMark/>
          </w:tcPr>
          <w:p w14:paraId="6C4D218F"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-0.9018</w:t>
            </w:r>
          </w:p>
        </w:tc>
        <w:tc>
          <w:tcPr>
            <w:tcW w:w="1064" w:type="dxa"/>
            <w:tcBorders>
              <w:top w:val="nil"/>
              <w:left w:val="nil"/>
              <w:bottom w:val="nil"/>
              <w:right w:val="nil"/>
            </w:tcBorders>
            <w:noWrap/>
            <w:vAlign w:val="bottom"/>
            <w:hideMark/>
          </w:tcPr>
          <w:p w14:paraId="660D514D"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1.2152</w:t>
            </w:r>
          </w:p>
        </w:tc>
        <w:tc>
          <w:tcPr>
            <w:tcW w:w="1064" w:type="dxa"/>
            <w:tcBorders>
              <w:top w:val="nil"/>
              <w:left w:val="nil"/>
              <w:bottom w:val="nil"/>
              <w:right w:val="nil"/>
            </w:tcBorders>
            <w:noWrap/>
            <w:vAlign w:val="bottom"/>
            <w:hideMark/>
          </w:tcPr>
          <w:p w14:paraId="27F4D59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-1.4855</w:t>
            </w:r>
          </w:p>
        </w:tc>
        <w:tc>
          <w:tcPr>
            <w:tcW w:w="1064" w:type="dxa"/>
            <w:tcBorders>
              <w:top w:val="nil"/>
              <w:left w:val="nil"/>
              <w:bottom w:val="nil"/>
              <w:right w:val="nil"/>
            </w:tcBorders>
            <w:noWrap/>
            <w:vAlign w:val="bottom"/>
            <w:hideMark/>
          </w:tcPr>
          <w:p w14:paraId="76B384F4"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-2.0879</w:t>
            </w:r>
          </w:p>
        </w:tc>
        <w:tc>
          <w:tcPr>
            <w:tcW w:w="1064" w:type="dxa"/>
            <w:tcBorders>
              <w:top w:val="nil"/>
              <w:left w:val="nil"/>
              <w:bottom w:val="nil"/>
              <w:right w:val="nil"/>
            </w:tcBorders>
            <w:noWrap/>
            <w:vAlign w:val="bottom"/>
            <w:hideMark/>
          </w:tcPr>
          <w:p w14:paraId="60008930"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0.7031</w:t>
            </w:r>
          </w:p>
        </w:tc>
        <w:tc>
          <w:tcPr>
            <w:tcW w:w="1064" w:type="dxa"/>
            <w:tcBorders>
              <w:top w:val="nil"/>
              <w:left w:val="nil"/>
              <w:bottom w:val="nil"/>
              <w:right w:val="single" w:sz="4" w:space="0" w:color="auto"/>
            </w:tcBorders>
            <w:noWrap/>
            <w:vAlign w:val="bottom"/>
            <w:hideMark/>
          </w:tcPr>
          <w:p w14:paraId="0F9BDCB8"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0.8876</w:t>
            </w:r>
          </w:p>
        </w:tc>
      </w:tr>
      <w:tr w:rsidR="00FD5FAF" w:rsidRPr="00FD5FAF" w14:paraId="3BCA1F38"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69912978"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2,5%</w:t>
            </w:r>
          </w:p>
        </w:tc>
        <w:tc>
          <w:tcPr>
            <w:tcW w:w="1064" w:type="dxa"/>
            <w:tcBorders>
              <w:top w:val="nil"/>
              <w:left w:val="nil"/>
              <w:bottom w:val="nil"/>
              <w:right w:val="nil"/>
            </w:tcBorders>
            <w:noWrap/>
            <w:vAlign w:val="bottom"/>
            <w:hideMark/>
          </w:tcPr>
          <w:p w14:paraId="00F0C6A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-0.9267</w:t>
            </w:r>
          </w:p>
        </w:tc>
        <w:tc>
          <w:tcPr>
            <w:tcW w:w="1064" w:type="dxa"/>
            <w:tcBorders>
              <w:top w:val="nil"/>
              <w:left w:val="nil"/>
              <w:bottom w:val="nil"/>
              <w:right w:val="nil"/>
            </w:tcBorders>
            <w:noWrap/>
            <w:vAlign w:val="bottom"/>
            <w:hideMark/>
          </w:tcPr>
          <w:p w14:paraId="300190EB"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-1.2887</w:t>
            </w:r>
          </w:p>
        </w:tc>
        <w:tc>
          <w:tcPr>
            <w:tcW w:w="1064" w:type="dxa"/>
            <w:tcBorders>
              <w:top w:val="nil"/>
              <w:left w:val="nil"/>
              <w:bottom w:val="nil"/>
              <w:right w:val="nil"/>
            </w:tcBorders>
            <w:noWrap/>
            <w:vAlign w:val="bottom"/>
            <w:hideMark/>
          </w:tcPr>
          <w:p w14:paraId="47214D35"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0.0098</w:t>
            </w:r>
          </w:p>
        </w:tc>
        <w:tc>
          <w:tcPr>
            <w:tcW w:w="1064" w:type="dxa"/>
            <w:tcBorders>
              <w:top w:val="nil"/>
              <w:left w:val="nil"/>
              <w:bottom w:val="nil"/>
              <w:right w:val="nil"/>
            </w:tcBorders>
            <w:noWrap/>
            <w:vAlign w:val="bottom"/>
            <w:hideMark/>
          </w:tcPr>
          <w:p w14:paraId="639BB452"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-2.1228</w:t>
            </w:r>
          </w:p>
        </w:tc>
        <w:tc>
          <w:tcPr>
            <w:tcW w:w="1064" w:type="dxa"/>
            <w:tcBorders>
              <w:top w:val="nil"/>
              <w:left w:val="nil"/>
              <w:bottom w:val="nil"/>
              <w:right w:val="nil"/>
            </w:tcBorders>
            <w:noWrap/>
            <w:vAlign w:val="bottom"/>
            <w:hideMark/>
          </w:tcPr>
          <w:p w14:paraId="676189A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-2.5332</w:t>
            </w:r>
          </w:p>
        </w:tc>
        <w:tc>
          <w:tcPr>
            <w:tcW w:w="1064" w:type="dxa"/>
            <w:tcBorders>
              <w:top w:val="nil"/>
              <w:left w:val="nil"/>
              <w:bottom w:val="nil"/>
              <w:right w:val="nil"/>
            </w:tcBorders>
            <w:noWrap/>
            <w:vAlign w:val="bottom"/>
            <w:hideMark/>
          </w:tcPr>
          <w:p w14:paraId="23EA99A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0.2380</w:t>
            </w:r>
          </w:p>
        </w:tc>
        <w:tc>
          <w:tcPr>
            <w:tcW w:w="1064" w:type="dxa"/>
            <w:tcBorders>
              <w:top w:val="nil"/>
              <w:left w:val="nil"/>
              <w:bottom w:val="nil"/>
              <w:right w:val="single" w:sz="4" w:space="0" w:color="auto"/>
            </w:tcBorders>
            <w:noWrap/>
            <w:vAlign w:val="bottom"/>
            <w:hideMark/>
          </w:tcPr>
          <w:p w14:paraId="7A161254"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0.5416</w:t>
            </w:r>
          </w:p>
        </w:tc>
      </w:tr>
      <w:tr w:rsidR="00FD5FAF" w:rsidRPr="00FD5FAF" w14:paraId="09E934E8" w14:textId="77777777" w:rsidTr="00FD5FAF">
        <w:trPr>
          <w:trHeight w:val="313"/>
        </w:trPr>
        <w:tc>
          <w:tcPr>
            <w:tcW w:w="2039" w:type="dxa"/>
            <w:tcBorders>
              <w:top w:val="nil"/>
              <w:left w:val="single" w:sz="4" w:space="0" w:color="auto"/>
              <w:bottom w:val="single" w:sz="4" w:space="0" w:color="auto"/>
              <w:right w:val="single" w:sz="4" w:space="0" w:color="auto"/>
            </w:tcBorders>
            <w:noWrap/>
            <w:hideMark/>
          </w:tcPr>
          <w:p w14:paraId="541C872D" w14:textId="77777777" w:rsidR="00FD5FAF" w:rsidRPr="00FD5FAF" w:rsidRDefault="00FD5FAF" w:rsidP="00FD5FAF">
            <w:pPr>
              <w:spacing w:before="0" w:after="0" w:line="240" w:lineRule="auto"/>
              <w:jc w:val="center"/>
              <w:rPr>
                <w:rFonts w:ascii="Calibri" w:eastAsia="Times New Roman" w:hAnsi="Calibri" w:cs="Calibri"/>
                <w:b/>
                <w:bCs/>
                <w:kern w:val="0"/>
                <w:sz w:val="22"/>
                <w:szCs w:val="22"/>
                <w:lang w:val="hu-HU" w:eastAsia="hu-HU"/>
                <w14:ligatures w14:val="none"/>
              </w:rPr>
            </w:pPr>
            <w:r w:rsidRPr="00FD5FAF">
              <w:rPr>
                <w:rFonts w:ascii="Calibri" w:eastAsia="Times New Roman" w:hAnsi="Calibri" w:cs="Calibri"/>
                <w:b/>
                <w:bCs/>
                <w:kern w:val="0"/>
                <w:sz w:val="22"/>
                <w:szCs w:val="22"/>
                <w:lang w:val="hu-HU" w:eastAsia="hu-HU"/>
                <w14:ligatures w14:val="none"/>
              </w:rPr>
              <w:t>97,5%</w:t>
            </w:r>
          </w:p>
        </w:tc>
        <w:tc>
          <w:tcPr>
            <w:tcW w:w="1064" w:type="dxa"/>
            <w:tcBorders>
              <w:top w:val="nil"/>
              <w:left w:val="nil"/>
              <w:bottom w:val="single" w:sz="4" w:space="0" w:color="auto"/>
              <w:right w:val="nil"/>
            </w:tcBorders>
            <w:noWrap/>
            <w:vAlign w:val="bottom"/>
            <w:hideMark/>
          </w:tcPr>
          <w:p w14:paraId="657AAF6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0.0045</w:t>
            </w:r>
          </w:p>
        </w:tc>
        <w:tc>
          <w:tcPr>
            <w:tcW w:w="1064" w:type="dxa"/>
            <w:tcBorders>
              <w:top w:val="nil"/>
              <w:left w:val="nil"/>
              <w:bottom w:val="single" w:sz="4" w:space="0" w:color="auto"/>
              <w:right w:val="nil"/>
            </w:tcBorders>
            <w:noWrap/>
            <w:vAlign w:val="bottom"/>
            <w:hideMark/>
          </w:tcPr>
          <w:p w14:paraId="2EA7C508"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-0.5315</w:t>
            </w:r>
          </w:p>
        </w:tc>
        <w:tc>
          <w:tcPr>
            <w:tcW w:w="1064" w:type="dxa"/>
            <w:tcBorders>
              <w:top w:val="nil"/>
              <w:left w:val="nil"/>
              <w:bottom w:val="single" w:sz="4" w:space="0" w:color="auto"/>
              <w:right w:val="nil"/>
            </w:tcBorders>
            <w:noWrap/>
            <w:vAlign w:val="bottom"/>
            <w:hideMark/>
          </w:tcPr>
          <w:p w14:paraId="753E89BD"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2.2809</w:t>
            </w:r>
          </w:p>
        </w:tc>
        <w:tc>
          <w:tcPr>
            <w:tcW w:w="1064" w:type="dxa"/>
            <w:tcBorders>
              <w:top w:val="nil"/>
              <w:left w:val="nil"/>
              <w:bottom w:val="single" w:sz="4" w:space="0" w:color="auto"/>
              <w:right w:val="nil"/>
            </w:tcBorders>
            <w:noWrap/>
            <w:vAlign w:val="bottom"/>
            <w:hideMark/>
          </w:tcPr>
          <w:p w14:paraId="7B36FC96"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-0.8003</w:t>
            </w:r>
          </w:p>
        </w:tc>
        <w:tc>
          <w:tcPr>
            <w:tcW w:w="1064" w:type="dxa"/>
            <w:tcBorders>
              <w:top w:val="nil"/>
              <w:left w:val="nil"/>
              <w:bottom w:val="single" w:sz="4" w:space="0" w:color="auto"/>
              <w:right w:val="nil"/>
            </w:tcBorders>
            <w:noWrap/>
            <w:vAlign w:val="bottom"/>
            <w:hideMark/>
          </w:tcPr>
          <w:p w14:paraId="0784FA1C"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-1.6455</w:t>
            </w:r>
          </w:p>
        </w:tc>
        <w:tc>
          <w:tcPr>
            <w:tcW w:w="1064" w:type="dxa"/>
            <w:tcBorders>
              <w:top w:val="nil"/>
              <w:left w:val="nil"/>
              <w:bottom w:val="single" w:sz="4" w:space="0" w:color="auto"/>
              <w:right w:val="nil"/>
            </w:tcBorders>
            <w:noWrap/>
            <w:vAlign w:val="bottom"/>
            <w:hideMark/>
          </w:tcPr>
          <w:p w14:paraId="137BC224"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1.0925</w:t>
            </w:r>
          </w:p>
        </w:tc>
        <w:tc>
          <w:tcPr>
            <w:tcW w:w="1064" w:type="dxa"/>
            <w:tcBorders>
              <w:top w:val="nil"/>
              <w:left w:val="nil"/>
              <w:bottom w:val="single" w:sz="4" w:space="0" w:color="auto"/>
              <w:right w:val="single" w:sz="4" w:space="0" w:color="auto"/>
            </w:tcBorders>
            <w:noWrap/>
            <w:vAlign w:val="bottom"/>
            <w:hideMark/>
          </w:tcPr>
          <w:p w14:paraId="0DD39AE0" w14:textId="77777777" w:rsidR="00FD5FAF" w:rsidRPr="00FD5FAF" w:rsidRDefault="00FD5FAF" w:rsidP="00FD5FAF">
            <w:pPr>
              <w:spacing w:before="0" w:after="0" w:line="240" w:lineRule="auto"/>
              <w:jc w:val="right"/>
              <w:rPr>
                <w:rFonts w:ascii="Calibri" w:eastAsia="Times New Roman" w:hAnsi="Calibri" w:cs="Calibri"/>
                <w:color w:val="000000"/>
                <w:kern w:val="0"/>
                <w:sz w:val="22"/>
                <w:szCs w:val="22"/>
                <w:lang w:val="hu-HU" w:eastAsia="hu-HU"/>
                <w14:ligatures w14:val="none"/>
              </w:rPr>
            </w:pPr>
            <w:r w:rsidRPr="00FD5FAF">
              <w:rPr>
                <w:rFonts w:ascii="Calibri" w:eastAsia="Times New Roman" w:hAnsi="Calibri" w:cs="Calibri"/>
                <w:color w:val="000000"/>
                <w:kern w:val="0"/>
                <w:sz w:val="22"/>
                <w:szCs w:val="22"/>
                <w:lang w:val="hu-HU" w:eastAsia="hu-HU"/>
                <w14:ligatures w14:val="none"/>
              </w:rPr>
              <w:t>1.2559</w:t>
            </w:r>
          </w:p>
        </w:tc>
      </w:tr>
    </w:tbl>
    <w:p w14:paraId="19D8AC5F" w14:textId="2F4896A9" w:rsidR="00E7062A" w:rsidRPr="00E7062A" w:rsidRDefault="00E7062A">
      <w:pPr>
        <w:pStyle w:val="Kpalrs"/>
        <w:rPr>
          <w:color w:val="auto"/>
        </w:rPr>
      </w:pPr>
      <w:r w:rsidRPr="00E7062A">
        <w:rPr>
          <w:color w:val="auto"/>
        </w:rPr>
        <w:fldChar w:fldCharType="begin"/>
      </w:r>
      <w:r w:rsidRPr="00E7062A">
        <w:rPr>
          <w:color w:val="auto"/>
        </w:rPr>
        <w:instrText xml:space="preserve"> SEQ táblázat \* ARABIC </w:instrText>
      </w:r>
      <w:r w:rsidRPr="00E7062A">
        <w:rPr>
          <w:color w:val="auto"/>
        </w:rPr>
        <w:fldChar w:fldCharType="separate"/>
      </w:r>
      <w:bookmarkStart w:id="17" w:name="_Toc218075169"/>
      <w:r>
        <w:rPr>
          <w:noProof/>
          <w:color w:val="auto"/>
        </w:rPr>
        <w:t>2</w:t>
      </w:r>
      <w:r w:rsidRPr="00E7062A">
        <w:rPr>
          <w:color w:val="auto"/>
        </w:rPr>
        <w:fldChar w:fldCharType="end"/>
      </w:r>
      <w:r w:rsidRPr="00E7062A">
        <w:rPr>
          <w:color w:val="auto"/>
        </w:rPr>
        <w:t xml:space="preserve">. </w:t>
      </w:r>
      <w:proofErr w:type="spellStart"/>
      <w:r w:rsidRPr="00E7062A">
        <w:rPr>
          <w:color w:val="auto"/>
        </w:rPr>
        <w:t>táblázat</w:t>
      </w:r>
      <w:proofErr w:type="spellEnd"/>
      <w:r w:rsidRPr="00E7062A">
        <w:rPr>
          <w:color w:val="auto"/>
        </w:rPr>
        <w:t xml:space="preserve">: </w:t>
      </w:r>
      <w:proofErr w:type="spellStart"/>
      <w:r w:rsidRPr="00E7062A">
        <w:rPr>
          <w:color w:val="auto"/>
        </w:rPr>
        <w:t>Szektoronként</w:t>
      </w:r>
      <w:proofErr w:type="spellEnd"/>
      <w:r w:rsidRPr="00E7062A">
        <w:rPr>
          <w:color w:val="auto"/>
        </w:rPr>
        <w:t xml:space="preserve"> </w:t>
      </w:r>
      <w:proofErr w:type="spellStart"/>
      <w:r w:rsidRPr="00E7062A">
        <w:rPr>
          <w:color w:val="auto"/>
        </w:rPr>
        <w:t>számított</w:t>
      </w:r>
      <w:proofErr w:type="spellEnd"/>
      <w:r w:rsidRPr="00E7062A">
        <w:rPr>
          <w:color w:val="auto"/>
        </w:rPr>
        <w:t xml:space="preserve"> </w:t>
      </w:r>
      <w:proofErr w:type="spellStart"/>
      <w:r w:rsidRPr="00E7062A">
        <w:rPr>
          <w:color w:val="auto"/>
        </w:rPr>
        <w:t>átlagos</w:t>
      </w:r>
      <w:proofErr w:type="spellEnd"/>
      <w:r w:rsidRPr="00E7062A">
        <w:rPr>
          <w:color w:val="auto"/>
        </w:rPr>
        <w:t xml:space="preserve"> </w:t>
      </w:r>
      <w:proofErr w:type="spellStart"/>
      <w:r w:rsidRPr="00E7062A">
        <w:rPr>
          <w:color w:val="auto"/>
        </w:rPr>
        <w:t>abnormális</w:t>
      </w:r>
      <w:proofErr w:type="spellEnd"/>
      <w:r w:rsidRPr="00E7062A">
        <w:rPr>
          <w:color w:val="auto"/>
        </w:rPr>
        <w:t xml:space="preserve"> </w:t>
      </w:r>
      <w:proofErr w:type="spellStart"/>
      <w:r w:rsidRPr="00E7062A">
        <w:rPr>
          <w:color w:val="auto"/>
        </w:rPr>
        <w:t>hozamok</w:t>
      </w:r>
      <w:bookmarkEnd w:id="17"/>
      <w:proofErr w:type="spellEnd"/>
    </w:p>
    <w:p w14:paraId="28E15175" w14:textId="77777777" w:rsidR="0061303E" w:rsidRPr="00A42090" w:rsidRDefault="0061303E" w:rsidP="0061303E">
      <w:pPr>
        <w:rPr>
          <w:rFonts w:cs="Times New Roman"/>
          <w:lang w:val="hu-HU"/>
        </w:rPr>
      </w:pPr>
      <w:r w:rsidRPr="00A42090">
        <w:rPr>
          <w:rFonts w:cs="Times New Roman"/>
          <w:lang w:val="hu-HU"/>
        </w:rPr>
        <w:t>Ezeknél a részvényeknél már az eseményt megelőző napon (T–1) is pozitív abnormális hozam volt kimutatható. Ez összevethető azon vállalatok részvényeivel, amelyek esetében Harris győzelme jelentett volna kedvező kimenetelt, mivel ezek a papírok szintén szignifikánsan pozitívan reagáltak a beérkező információkra. A pozitív abnormális hozamok abszolút értékben jellemzően meghaladták a negatív elmozdulásokat.</w:t>
      </w:r>
    </w:p>
    <w:p w14:paraId="66FEB32B" w14:textId="77777777" w:rsidR="0061303E" w:rsidRPr="00A42090" w:rsidRDefault="0061303E" w:rsidP="0061303E">
      <w:pPr>
        <w:rPr>
          <w:rFonts w:cs="Times New Roman"/>
          <w:lang w:val="hu-HU"/>
        </w:rPr>
      </w:pPr>
      <w:r w:rsidRPr="00A42090">
        <w:rPr>
          <w:rFonts w:cs="Times New Roman"/>
          <w:lang w:val="hu-HU"/>
        </w:rPr>
        <w:t xml:space="preserve">A Harris számára kedvező kimenetelt feltételező vállalatok esetében több időpontban is </w:t>
      </w:r>
      <w:proofErr w:type="spellStart"/>
      <w:r w:rsidRPr="00A42090">
        <w:rPr>
          <w:rFonts w:cs="Times New Roman"/>
          <w:lang w:val="hu-HU"/>
        </w:rPr>
        <w:t>statisztikailag</w:t>
      </w:r>
      <w:proofErr w:type="spellEnd"/>
      <w:r w:rsidRPr="00A42090">
        <w:rPr>
          <w:rFonts w:cs="Times New Roman"/>
          <w:lang w:val="hu-HU"/>
        </w:rPr>
        <w:t xml:space="preserve"> szignifikáns eredmények adódtak. A választás napján, illetve azt megelőzően az abnormális hozamok jellemzően </w:t>
      </w:r>
      <w:proofErr w:type="spellStart"/>
      <w:r w:rsidRPr="00A42090">
        <w:rPr>
          <w:rFonts w:cs="Times New Roman"/>
          <w:lang w:val="hu-HU"/>
        </w:rPr>
        <w:t>pozitívak</w:t>
      </w:r>
      <w:proofErr w:type="spellEnd"/>
      <w:r w:rsidRPr="00A42090">
        <w:rPr>
          <w:rFonts w:cs="Times New Roman"/>
          <w:lang w:val="hu-HU"/>
        </w:rPr>
        <w:t xml:space="preserve"> és szignifikánsak voltak, míg a választást követően – a várakozásoknak megfelelően – negatív és szignifikáns elmozdulás következett be. Abszolút </w:t>
      </w:r>
      <w:r w:rsidRPr="00A42090">
        <w:rPr>
          <w:rFonts w:cs="Times New Roman"/>
          <w:lang w:val="hu-HU"/>
        </w:rPr>
        <w:lastRenderedPageBreak/>
        <w:t>értékben a legerőteljesebb korrekció a választást követő első napon jelentkezett, amelyet a második és harmadik napon további kiigazodás követett; ezek közül azonban csak a harmadik napi eredmény bizonyult szignifikánsnak.</w:t>
      </w:r>
    </w:p>
    <w:p w14:paraId="542C6544" w14:textId="77777777" w:rsidR="0061303E" w:rsidRPr="00A42090" w:rsidRDefault="0061303E" w:rsidP="0061303E">
      <w:pPr>
        <w:rPr>
          <w:rFonts w:cs="Times New Roman"/>
          <w:lang w:val="hu-HU"/>
        </w:rPr>
      </w:pPr>
      <w:r w:rsidRPr="00A42090">
        <w:rPr>
          <w:rFonts w:cs="Times New Roman"/>
          <w:lang w:val="hu-HU"/>
        </w:rPr>
        <w:t>A technológiai szektor esetében a választás napján szignifikánsan negatív abnormális hozam volt megfigyelhető, amelyet egy ellentétes irányú, szintén szignifikáns korrekció követett. A választást követő második és harmadik napon ismét szignifikáns árfolyamcsökkenés volt tapasztalható, amelyet ezt követően további korrekció követett. A gyakori előjelváltások magyarázhatók az eseményhez kapcsolódó megnövekedett volatilitással, valamint a befektetők heterogenitásával, akik eltérően értelmezhették a kialakult helyzetet.</w:t>
      </w:r>
    </w:p>
    <w:p w14:paraId="48170AB6" w14:textId="148D3BE9" w:rsidR="0061303E" w:rsidRPr="00A42090" w:rsidRDefault="0061303E" w:rsidP="0061303E">
      <w:pPr>
        <w:rPr>
          <w:rFonts w:cs="Times New Roman"/>
          <w:lang w:val="hu-HU"/>
        </w:rPr>
      </w:pPr>
      <w:r w:rsidRPr="00A42090">
        <w:rPr>
          <w:rFonts w:cs="Times New Roman"/>
          <w:lang w:val="hu-HU"/>
        </w:rPr>
        <w:t xml:space="preserve">Az eseményt megelőző napon a technológiai szektor abnormális hozama negatív volt, azonban mivel a konfidenciaintervallum tartalmazta a nullát, az eredmény nem tekinthető </w:t>
      </w:r>
      <w:proofErr w:type="spellStart"/>
      <w:r w:rsidRPr="00A42090">
        <w:rPr>
          <w:rFonts w:cs="Times New Roman"/>
          <w:lang w:val="hu-HU"/>
        </w:rPr>
        <w:t>statisztikailag</w:t>
      </w:r>
      <w:proofErr w:type="spellEnd"/>
      <w:r w:rsidRPr="00A42090">
        <w:rPr>
          <w:rFonts w:cs="Times New Roman"/>
          <w:lang w:val="hu-HU"/>
        </w:rPr>
        <w:t xml:space="preserve"> szignifikánsnak.</w:t>
      </w:r>
    </w:p>
    <w:p w14:paraId="6BA27271" w14:textId="77777777" w:rsidR="0067337C" w:rsidRDefault="0061303E" w:rsidP="008D5195">
      <w:pPr>
        <w:keepNext/>
        <w:jc w:val="center"/>
      </w:pPr>
      <w:r w:rsidRPr="00A42090">
        <w:rPr>
          <w:rFonts w:cs="Times New Roman"/>
          <w:noProof/>
        </w:rPr>
        <w:lastRenderedPageBreak/>
        <w:drawing>
          <wp:inline distT="0" distB="0" distL="0" distR="0" wp14:anchorId="409BE736" wp14:editId="012A1C28">
            <wp:extent cx="5648325" cy="5648325"/>
            <wp:effectExtent l="0" t="0" r="9525" b="9525"/>
            <wp:docPr id="491737550" name="Áb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7550" name="Ábra 491737550"/>
                    <pic:cNvPicPr/>
                  </pic:nvPicPr>
                  <pic:blipFill>
                    <a:blip r:embed="rId10">
                      <a:extLst>
                        <a:ext uri="{96DAC541-7B7A-43D3-8B79-37D633B846F1}">
                          <asvg:svgBlip xmlns:asvg="http://schemas.microsoft.com/office/drawing/2016/SVG/main" r:embed="rId11"/>
                        </a:ext>
                      </a:extLst>
                    </a:blip>
                    <a:stretch>
                      <a:fillRect/>
                    </a:stretch>
                  </pic:blipFill>
                  <pic:spPr>
                    <a:xfrm>
                      <a:off x="0" y="0"/>
                      <a:ext cx="5648325" cy="5648325"/>
                    </a:xfrm>
                    <a:prstGeom prst="rect">
                      <a:avLst/>
                    </a:prstGeom>
                  </pic:spPr>
                </pic:pic>
              </a:graphicData>
            </a:graphic>
          </wp:inline>
        </w:drawing>
      </w:r>
    </w:p>
    <w:p w14:paraId="0AAE3BF0" w14:textId="419E0A24" w:rsidR="0061303E" w:rsidRPr="0067337C" w:rsidRDefault="0067337C" w:rsidP="008D5195">
      <w:pPr>
        <w:pStyle w:val="Kpalrs"/>
        <w:rPr>
          <w:rFonts w:cs="Times New Roman"/>
          <w:color w:val="auto"/>
          <w:lang w:val="hu-HU"/>
        </w:rPr>
      </w:pPr>
      <w:r w:rsidRPr="0067337C">
        <w:rPr>
          <w:rFonts w:cs="Times New Roman"/>
          <w:color w:val="auto"/>
          <w:lang w:val="hu-HU"/>
        </w:rPr>
        <w:fldChar w:fldCharType="begin"/>
      </w:r>
      <w:r w:rsidRPr="0067337C">
        <w:rPr>
          <w:rFonts w:cs="Times New Roman"/>
          <w:color w:val="auto"/>
          <w:lang w:val="hu-HU"/>
        </w:rPr>
        <w:instrText xml:space="preserve"> SEQ ábra \* ARABIC </w:instrText>
      </w:r>
      <w:r w:rsidRPr="0067337C">
        <w:rPr>
          <w:rFonts w:cs="Times New Roman"/>
          <w:color w:val="auto"/>
          <w:lang w:val="hu-HU"/>
        </w:rPr>
        <w:fldChar w:fldCharType="separate"/>
      </w:r>
      <w:bookmarkStart w:id="18" w:name="_Toc218075164"/>
      <w:r w:rsidRPr="0067337C">
        <w:rPr>
          <w:rFonts w:cs="Times New Roman"/>
          <w:noProof/>
          <w:color w:val="auto"/>
          <w:lang w:val="hu-HU"/>
        </w:rPr>
        <w:t>2</w:t>
      </w:r>
      <w:r w:rsidRPr="0067337C">
        <w:rPr>
          <w:rFonts w:cs="Times New Roman"/>
          <w:color w:val="auto"/>
          <w:lang w:val="hu-HU"/>
        </w:rPr>
        <w:fldChar w:fldCharType="end"/>
      </w:r>
      <w:r w:rsidRPr="0067337C">
        <w:rPr>
          <w:color w:val="auto"/>
        </w:rPr>
        <w:t xml:space="preserve">. </w:t>
      </w:r>
      <w:proofErr w:type="spellStart"/>
      <w:r w:rsidRPr="0067337C">
        <w:rPr>
          <w:color w:val="auto"/>
        </w:rPr>
        <w:t>ábra</w:t>
      </w:r>
      <w:proofErr w:type="spellEnd"/>
      <w:r w:rsidRPr="0067337C">
        <w:rPr>
          <w:color w:val="auto"/>
        </w:rPr>
        <w:t xml:space="preserve">: Az </w:t>
      </w:r>
      <w:proofErr w:type="spellStart"/>
      <w:r w:rsidRPr="0067337C">
        <w:rPr>
          <w:color w:val="auto"/>
        </w:rPr>
        <w:t>abnormális</w:t>
      </w:r>
      <w:proofErr w:type="spellEnd"/>
      <w:r w:rsidRPr="0067337C">
        <w:rPr>
          <w:color w:val="auto"/>
        </w:rPr>
        <w:t xml:space="preserve"> </w:t>
      </w:r>
      <w:proofErr w:type="spellStart"/>
      <w:r w:rsidRPr="0067337C">
        <w:rPr>
          <w:color w:val="auto"/>
        </w:rPr>
        <w:t>hozam</w:t>
      </w:r>
      <w:proofErr w:type="spellEnd"/>
      <w:r w:rsidRPr="0067337C">
        <w:rPr>
          <w:color w:val="auto"/>
        </w:rPr>
        <w:t xml:space="preserve"> </w:t>
      </w:r>
      <w:proofErr w:type="spellStart"/>
      <w:r w:rsidRPr="0067337C">
        <w:rPr>
          <w:color w:val="auto"/>
        </w:rPr>
        <w:t>alakulása</w:t>
      </w:r>
      <w:bookmarkEnd w:id="18"/>
      <w:proofErr w:type="spellEnd"/>
    </w:p>
    <w:p w14:paraId="13EF8C49" w14:textId="77777777" w:rsidR="0061303E" w:rsidRPr="00A42090" w:rsidRDefault="0061303E" w:rsidP="0061303E">
      <w:pPr>
        <w:pStyle w:val="Cmsor2"/>
        <w:rPr>
          <w:rFonts w:cs="Times New Roman"/>
          <w:bCs/>
          <w:lang w:val="hu-HU"/>
        </w:rPr>
      </w:pPr>
      <w:bookmarkStart w:id="19" w:name="_Toc218075159"/>
      <w:r w:rsidRPr="00A42090">
        <w:rPr>
          <w:rFonts w:cs="Times New Roman"/>
          <w:bCs/>
          <w:lang w:val="hu-HU"/>
        </w:rPr>
        <w:t>Részvénytípusonként számított kumulált átlagos abnormális hozamok (CAAR)</w:t>
      </w:r>
      <w:bookmarkEnd w:id="19"/>
    </w:p>
    <w:p w14:paraId="67E584CA" w14:textId="77777777" w:rsidR="0061303E" w:rsidRPr="00A42090" w:rsidRDefault="0061303E" w:rsidP="0061303E">
      <w:pPr>
        <w:rPr>
          <w:rFonts w:cs="Times New Roman"/>
          <w:lang w:val="hu-HU"/>
        </w:rPr>
      </w:pPr>
      <w:r w:rsidRPr="00A42090">
        <w:rPr>
          <w:rFonts w:cs="Times New Roman"/>
          <w:lang w:val="hu-HU"/>
        </w:rPr>
        <w:t xml:space="preserve">A </w:t>
      </w:r>
      <w:proofErr w:type="spellStart"/>
      <w:r w:rsidRPr="00A42090">
        <w:rPr>
          <w:rFonts w:cs="Times New Roman"/>
          <w:lang w:val="hu-HU"/>
        </w:rPr>
        <w:t>Trump</w:t>
      </w:r>
      <w:proofErr w:type="spellEnd"/>
      <w:r w:rsidRPr="00A42090">
        <w:rPr>
          <w:rFonts w:cs="Times New Roman"/>
          <w:lang w:val="hu-HU"/>
        </w:rPr>
        <w:t xml:space="preserve">-hoz köthető részvények esetében a vizsgált eseményablakok mindegyikében pozitív előjelű kumulált átlagos abnormális hozam figyelhető meg. Az eredmények 5%-os szignifikanciaszint mellett, a [0,1] időablak kivételével, </w:t>
      </w:r>
      <w:proofErr w:type="spellStart"/>
      <w:r w:rsidRPr="00A42090">
        <w:rPr>
          <w:rFonts w:cs="Times New Roman"/>
          <w:lang w:val="hu-HU"/>
        </w:rPr>
        <w:t>statisztikailag</w:t>
      </w:r>
      <w:proofErr w:type="spellEnd"/>
      <w:r w:rsidRPr="00A42090">
        <w:rPr>
          <w:rFonts w:cs="Times New Roman"/>
          <w:lang w:val="hu-HU"/>
        </w:rPr>
        <w:t xml:space="preserve"> szignifikánsak, ami </w:t>
      </w:r>
      <w:r w:rsidRPr="00A42090">
        <w:rPr>
          <w:rFonts w:cs="Times New Roman"/>
          <w:lang w:val="hu-HU"/>
        </w:rPr>
        <w:lastRenderedPageBreak/>
        <w:t xml:space="preserve">összhangban áll azzal az előzetes várakozással, hogy egy </w:t>
      </w:r>
      <w:proofErr w:type="spellStart"/>
      <w:r w:rsidRPr="00A42090">
        <w:rPr>
          <w:rFonts w:cs="Times New Roman"/>
          <w:lang w:val="hu-HU"/>
        </w:rPr>
        <w:t>Trump</w:t>
      </w:r>
      <w:proofErr w:type="spellEnd"/>
      <w:r w:rsidRPr="00A42090">
        <w:rPr>
          <w:rFonts w:cs="Times New Roman"/>
          <w:lang w:val="hu-HU"/>
        </w:rPr>
        <w:t>-győzelemhez kapcsolódó esemény kedvező piaci várakozásokat váltott ki, amelyeket a befektetők az árakba beépítettek.</w:t>
      </w:r>
    </w:p>
    <w:p w14:paraId="63D25E1D" w14:textId="77777777" w:rsidR="0067337C" w:rsidRDefault="0061303E" w:rsidP="0067337C">
      <w:pPr>
        <w:keepNext/>
      </w:pPr>
      <w:r w:rsidRPr="00A42090">
        <w:rPr>
          <w:rFonts w:cs="Times New Roman"/>
          <w:noProof/>
        </w:rPr>
        <w:drawing>
          <wp:inline distT="0" distB="0" distL="0" distR="0" wp14:anchorId="2CC21433" wp14:editId="2C8DC271">
            <wp:extent cx="5760720" cy="4320540"/>
            <wp:effectExtent l="0" t="0" r="0" b="3810"/>
            <wp:docPr id="1299838492" name="Áb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38492" name="Ábra 1299838492"/>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4320540"/>
                    </a:xfrm>
                    <a:prstGeom prst="rect">
                      <a:avLst/>
                    </a:prstGeom>
                  </pic:spPr>
                </pic:pic>
              </a:graphicData>
            </a:graphic>
          </wp:inline>
        </w:drawing>
      </w:r>
    </w:p>
    <w:p w14:paraId="44B102DF" w14:textId="0004493F" w:rsidR="0061303E" w:rsidRPr="0067337C" w:rsidRDefault="0067337C" w:rsidP="0067337C">
      <w:pPr>
        <w:pStyle w:val="Kpalrs"/>
        <w:rPr>
          <w:rFonts w:cs="Times New Roman"/>
          <w:color w:val="auto"/>
          <w:lang w:val="hu-HU"/>
        </w:rPr>
      </w:pPr>
      <w:r w:rsidRPr="0067337C">
        <w:rPr>
          <w:rFonts w:cs="Times New Roman"/>
          <w:color w:val="auto"/>
          <w:lang w:val="hu-HU"/>
        </w:rPr>
        <w:fldChar w:fldCharType="begin"/>
      </w:r>
      <w:r w:rsidRPr="0067337C">
        <w:rPr>
          <w:rFonts w:cs="Times New Roman"/>
          <w:color w:val="auto"/>
          <w:lang w:val="hu-HU"/>
        </w:rPr>
        <w:instrText xml:space="preserve"> SEQ ábra \* ARABIC </w:instrText>
      </w:r>
      <w:r w:rsidRPr="0067337C">
        <w:rPr>
          <w:rFonts w:cs="Times New Roman"/>
          <w:color w:val="auto"/>
          <w:lang w:val="hu-HU"/>
        </w:rPr>
        <w:fldChar w:fldCharType="separate"/>
      </w:r>
      <w:bookmarkStart w:id="20" w:name="_Toc218075165"/>
      <w:r w:rsidRPr="0067337C">
        <w:rPr>
          <w:rFonts w:cs="Times New Roman"/>
          <w:noProof/>
          <w:color w:val="auto"/>
          <w:lang w:val="hu-HU"/>
        </w:rPr>
        <w:t>3</w:t>
      </w:r>
      <w:r w:rsidRPr="0067337C">
        <w:rPr>
          <w:rFonts w:cs="Times New Roman"/>
          <w:color w:val="auto"/>
          <w:lang w:val="hu-HU"/>
        </w:rPr>
        <w:fldChar w:fldCharType="end"/>
      </w:r>
      <w:r w:rsidRPr="0067337C">
        <w:rPr>
          <w:color w:val="auto"/>
        </w:rPr>
        <w:t xml:space="preserve">. </w:t>
      </w:r>
      <w:proofErr w:type="spellStart"/>
      <w:r w:rsidRPr="0067337C">
        <w:rPr>
          <w:color w:val="auto"/>
        </w:rPr>
        <w:t>ábra</w:t>
      </w:r>
      <w:proofErr w:type="spellEnd"/>
      <w:r w:rsidRPr="0067337C">
        <w:rPr>
          <w:color w:val="auto"/>
        </w:rPr>
        <w:t xml:space="preserve">: A </w:t>
      </w:r>
      <w:proofErr w:type="spellStart"/>
      <w:r w:rsidRPr="0067337C">
        <w:rPr>
          <w:color w:val="auto"/>
        </w:rPr>
        <w:t>kummulált</w:t>
      </w:r>
      <w:proofErr w:type="spellEnd"/>
      <w:r w:rsidRPr="0067337C">
        <w:rPr>
          <w:color w:val="auto"/>
        </w:rPr>
        <w:t xml:space="preserve"> </w:t>
      </w:r>
      <w:proofErr w:type="spellStart"/>
      <w:r w:rsidRPr="0067337C">
        <w:rPr>
          <w:color w:val="auto"/>
        </w:rPr>
        <w:t>abnormális</w:t>
      </w:r>
      <w:proofErr w:type="spellEnd"/>
      <w:r w:rsidRPr="0067337C">
        <w:rPr>
          <w:color w:val="auto"/>
        </w:rPr>
        <w:t xml:space="preserve"> </w:t>
      </w:r>
      <w:proofErr w:type="spellStart"/>
      <w:r w:rsidRPr="0067337C">
        <w:rPr>
          <w:color w:val="auto"/>
        </w:rPr>
        <w:t>hozam</w:t>
      </w:r>
      <w:proofErr w:type="spellEnd"/>
      <w:r w:rsidRPr="0067337C">
        <w:rPr>
          <w:color w:val="auto"/>
        </w:rPr>
        <w:t xml:space="preserve"> </w:t>
      </w:r>
      <w:proofErr w:type="spellStart"/>
      <w:r w:rsidRPr="0067337C">
        <w:rPr>
          <w:color w:val="auto"/>
        </w:rPr>
        <w:t>eloszlás</w:t>
      </w:r>
      <w:proofErr w:type="spellEnd"/>
      <w:r w:rsidRPr="0067337C">
        <w:rPr>
          <w:color w:val="auto"/>
        </w:rPr>
        <w:t xml:space="preserve"> Trump</w:t>
      </w:r>
      <w:bookmarkEnd w:id="20"/>
    </w:p>
    <w:p w14:paraId="530DB63F" w14:textId="4AF25CB7" w:rsidR="0061303E" w:rsidRPr="00A42090" w:rsidRDefault="0061303E" w:rsidP="0061303E">
      <w:pPr>
        <w:rPr>
          <w:rFonts w:cs="Times New Roman"/>
          <w:lang w:val="hu-HU"/>
        </w:rPr>
      </w:pPr>
      <w:r w:rsidRPr="00A42090">
        <w:rPr>
          <w:rFonts w:cs="Times New Roman"/>
          <w:lang w:val="hu-HU"/>
        </w:rPr>
        <w:t xml:space="preserve">A Harris-hez köthető részvények esetében ezzel szemben valamennyi vizsgált eseményablakban negatív és </w:t>
      </w:r>
      <w:proofErr w:type="spellStart"/>
      <w:r w:rsidRPr="00A42090">
        <w:rPr>
          <w:rFonts w:cs="Times New Roman"/>
          <w:lang w:val="hu-HU"/>
        </w:rPr>
        <w:t>statisztikailag</w:t>
      </w:r>
      <w:proofErr w:type="spellEnd"/>
      <w:r w:rsidRPr="00A42090">
        <w:rPr>
          <w:rFonts w:cs="Times New Roman"/>
          <w:lang w:val="hu-HU"/>
        </w:rPr>
        <w:t xml:space="preserve"> szignifikáns kumulált átlagos abnormális hozam figyelhető meg. Ez az eredmény megfelel annak a várakozásnak, miszerint a </w:t>
      </w:r>
      <w:proofErr w:type="spellStart"/>
      <w:r w:rsidRPr="00A42090">
        <w:rPr>
          <w:rFonts w:cs="Times New Roman"/>
          <w:lang w:val="hu-HU"/>
        </w:rPr>
        <w:t>Harrishez</w:t>
      </w:r>
      <w:proofErr w:type="spellEnd"/>
      <w:r w:rsidRPr="00A42090">
        <w:rPr>
          <w:rFonts w:cs="Times New Roman"/>
          <w:lang w:val="hu-HU"/>
        </w:rPr>
        <w:t xml:space="preserve"> köthető vállalatok szektorai a </w:t>
      </w:r>
      <w:proofErr w:type="spellStart"/>
      <w:r w:rsidRPr="00A42090">
        <w:rPr>
          <w:rFonts w:cs="Times New Roman"/>
          <w:lang w:val="hu-HU"/>
        </w:rPr>
        <w:t>Trump</w:t>
      </w:r>
      <w:proofErr w:type="spellEnd"/>
      <w:r w:rsidRPr="00A42090">
        <w:rPr>
          <w:rFonts w:cs="Times New Roman"/>
          <w:lang w:val="hu-HU"/>
        </w:rPr>
        <w:t>-féle gazdaságpolitikai és szabályozási prioritások alapján kedvezőtlenebb piaci megítélés alá esnek.</w:t>
      </w:r>
    </w:p>
    <w:p w14:paraId="45BDD0AA" w14:textId="77777777" w:rsidR="0067337C" w:rsidRDefault="0061303E" w:rsidP="0067337C">
      <w:pPr>
        <w:keepNext/>
      </w:pPr>
      <w:r w:rsidRPr="00A42090">
        <w:rPr>
          <w:rFonts w:cs="Times New Roman"/>
          <w:noProof/>
        </w:rPr>
        <w:lastRenderedPageBreak/>
        <w:drawing>
          <wp:inline distT="0" distB="0" distL="0" distR="0" wp14:anchorId="2CC23FF9" wp14:editId="331D0D72">
            <wp:extent cx="5760720" cy="4320540"/>
            <wp:effectExtent l="0" t="0" r="0" b="3810"/>
            <wp:docPr id="2134489468" name="Áb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9468" name="Ábra 2134489468"/>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4320540"/>
                    </a:xfrm>
                    <a:prstGeom prst="rect">
                      <a:avLst/>
                    </a:prstGeom>
                  </pic:spPr>
                </pic:pic>
              </a:graphicData>
            </a:graphic>
          </wp:inline>
        </w:drawing>
      </w:r>
    </w:p>
    <w:p w14:paraId="33A8E6DE" w14:textId="303D083A" w:rsidR="0061303E" w:rsidRPr="0067337C" w:rsidRDefault="0067337C" w:rsidP="0067337C">
      <w:pPr>
        <w:pStyle w:val="Kpalrs"/>
        <w:rPr>
          <w:rFonts w:cs="Times New Roman"/>
          <w:color w:val="auto"/>
          <w:lang w:val="hu-HU"/>
        </w:rPr>
      </w:pPr>
      <w:r w:rsidRPr="0067337C">
        <w:rPr>
          <w:rFonts w:cs="Times New Roman"/>
          <w:color w:val="auto"/>
          <w:lang w:val="hu-HU"/>
        </w:rPr>
        <w:fldChar w:fldCharType="begin"/>
      </w:r>
      <w:r w:rsidRPr="0067337C">
        <w:rPr>
          <w:rFonts w:cs="Times New Roman"/>
          <w:color w:val="auto"/>
          <w:lang w:val="hu-HU"/>
        </w:rPr>
        <w:instrText xml:space="preserve"> SEQ ábra \* ARABIC </w:instrText>
      </w:r>
      <w:r w:rsidRPr="0067337C">
        <w:rPr>
          <w:rFonts w:cs="Times New Roman"/>
          <w:color w:val="auto"/>
          <w:lang w:val="hu-HU"/>
        </w:rPr>
        <w:fldChar w:fldCharType="separate"/>
      </w:r>
      <w:bookmarkStart w:id="21" w:name="_Toc218075166"/>
      <w:r w:rsidRPr="0067337C">
        <w:rPr>
          <w:rFonts w:cs="Times New Roman"/>
          <w:noProof/>
          <w:color w:val="auto"/>
          <w:lang w:val="hu-HU"/>
        </w:rPr>
        <w:t>4</w:t>
      </w:r>
      <w:r w:rsidRPr="0067337C">
        <w:rPr>
          <w:rFonts w:cs="Times New Roman"/>
          <w:color w:val="auto"/>
          <w:lang w:val="hu-HU"/>
        </w:rPr>
        <w:fldChar w:fldCharType="end"/>
      </w:r>
      <w:r w:rsidRPr="0067337C">
        <w:rPr>
          <w:color w:val="auto"/>
        </w:rPr>
        <w:t xml:space="preserve">. </w:t>
      </w:r>
      <w:proofErr w:type="spellStart"/>
      <w:r w:rsidRPr="0067337C">
        <w:rPr>
          <w:color w:val="auto"/>
        </w:rPr>
        <w:t>ábra</w:t>
      </w:r>
      <w:proofErr w:type="spellEnd"/>
      <w:r w:rsidRPr="0067337C">
        <w:rPr>
          <w:color w:val="auto"/>
        </w:rPr>
        <w:t xml:space="preserve">: A </w:t>
      </w:r>
      <w:proofErr w:type="spellStart"/>
      <w:r w:rsidRPr="0067337C">
        <w:rPr>
          <w:color w:val="auto"/>
        </w:rPr>
        <w:t>kummulált</w:t>
      </w:r>
      <w:proofErr w:type="spellEnd"/>
      <w:r w:rsidRPr="0067337C">
        <w:rPr>
          <w:color w:val="auto"/>
        </w:rPr>
        <w:t xml:space="preserve"> </w:t>
      </w:r>
      <w:proofErr w:type="spellStart"/>
      <w:r w:rsidRPr="0067337C">
        <w:rPr>
          <w:color w:val="auto"/>
        </w:rPr>
        <w:t>abnormális</w:t>
      </w:r>
      <w:proofErr w:type="spellEnd"/>
      <w:r w:rsidRPr="0067337C">
        <w:rPr>
          <w:color w:val="auto"/>
        </w:rPr>
        <w:t xml:space="preserve"> </w:t>
      </w:r>
      <w:proofErr w:type="spellStart"/>
      <w:r w:rsidRPr="0067337C">
        <w:rPr>
          <w:color w:val="auto"/>
        </w:rPr>
        <w:t>hozam</w:t>
      </w:r>
      <w:proofErr w:type="spellEnd"/>
      <w:r w:rsidRPr="0067337C">
        <w:rPr>
          <w:color w:val="auto"/>
        </w:rPr>
        <w:t xml:space="preserve"> </w:t>
      </w:r>
      <w:proofErr w:type="spellStart"/>
      <w:r w:rsidRPr="0067337C">
        <w:rPr>
          <w:color w:val="auto"/>
        </w:rPr>
        <w:t>eloszlás</w:t>
      </w:r>
      <w:proofErr w:type="spellEnd"/>
      <w:r w:rsidRPr="0067337C">
        <w:rPr>
          <w:color w:val="auto"/>
        </w:rPr>
        <w:t xml:space="preserve"> Harris</w:t>
      </w:r>
      <w:bookmarkEnd w:id="21"/>
    </w:p>
    <w:p w14:paraId="64418474" w14:textId="77777777" w:rsidR="0061303E" w:rsidRPr="00A42090" w:rsidRDefault="0061303E" w:rsidP="0061303E">
      <w:pPr>
        <w:rPr>
          <w:rFonts w:cs="Times New Roman"/>
          <w:lang w:val="hu-HU"/>
        </w:rPr>
      </w:pPr>
      <w:r w:rsidRPr="00A42090">
        <w:rPr>
          <w:rFonts w:cs="Times New Roman"/>
          <w:lang w:val="hu-HU"/>
        </w:rPr>
        <w:t xml:space="preserve">A technológiai részvények esetében egyik vizsgált eseményablakban sem mutatható ki </w:t>
      </w:r>
      <w:proofErr w:type="spellStart"/>
      <w:r w:rsidRPr="00A42090">
        <w:rPr>
          <w:rFonts w:cs="Times New Roman"/>
          <w:lang w:val="hu-HU"/>
        </w:rPr>
        <w:t>statisztikailag</w:t>
      </w:r>
      <w:proofErr w:type="spellEnd"/>
      <w:r w:rsidRPr="00A42090">
        <w:rPr>
          <w:rFonts w:cs="Times New Roman"/>
          <w:lang w:val="hu-HU"/>
        </w:rPr>
        <w:t xml:space="preserve"> szignifikáns CAAR. Bár egyes időablakokban pozitív, másokban negatív előjelű becslések figyelhetők meg, ezek nagyságrendje elhanyagolható. Ez arra utal, hogy a technológiai részvények árfolyamait az esemény érdemben nem befolyásolta, így megfelelő kontrollcsoportként szolgálnak az elemzésben. Ez az eredmény az előzetes várakozásainkkal ellentétes, mivel a finomabb szabályozás hatására pozitív CAAR-t vártunk.</w:t>
      </w:r>
    </w:p>
    <w:p w14:paraId="29BF2566" w14:textId="77777777" w:rsidR="0067337C" w:rsidRDefault="0061303E" w:rsidP="0067337C">
      <w:pPr>
        <w:keepNext/>
      </w:pPr>
      <w:r w:rsidRPr="00A42090">
        <w:rPr>
          <w:rFonts w:cs="Times New Roman"/>
          <w:noProof/>
        </w:rPr>
        <w:lastRenderedPageBreak/>
        <w:drawing>
          <wp:inline distT="0" distB="0" distL="0" distR="0" wp14:anchorId="064D9B72" wp14:editId="6A51180A">
            <wp:extent cx="5760720" cy="4320540"/>
            <wp:effectExtent l="0" t="0" r="0" b="3810"/>
            <wp:docPr id="1466628918" name="Áb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8918" name="Ábra 1466628918"/>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4320540"/>
                    </a:xfrm>
                    <a:prstGeom prst="rect">
                      <a:avLst/>
                    </a:prstGeom>
                  </pic:spPr>
                </pic:pic>
              </a:graphicData>
            </a:graphic>
          </wp:inline>
        </w:drawing>
      </w:r>
    </w:p>
    <w:p w14:paraId="746B238F" w14:textId="4150F6B9" w:rsidR="0061303E" w:rsidRPr="0067337C" w:rsidRDefault="0067337C" w:rsidP="0067337C">
      <w:pPr>
        <w:pStyle w:val="Kpalrs"/>
        <w:rPr>
          <w:rFonts w:cs="Times New Roman"/>
          <w:color w:val="auto"/>
          <w:lang w:val="hu-HU"/>
        </w:rPr>
      </w:pPr>
      <w:r w:rsidRPr="0067337C">
        <w:rPr>
          <w:rFonts w:cs="Times New Roman"/>
          <w:color w:val="auto"/>
          <w:lang w:val="hu-HU"/>
        </w:rPr>
        <w:fldChar w:fldCharType="begin"/>
      </w:r>
      <w:r w:rsidRPr="0067337C">
        <w:rPr>
          <w:rFonts w:cs="Times New Roman"/>
          <w:color w:val="auto"/>
          <w:lang w:val="hu-HU"/>
        </w:rPr>
        <w:instrText xml:space="preserve"> SEQ ábra \* ARABIC </w:instrText>
      </w:r>
      <w:r w:rsidRPr="0067337C">
        <w:rPr>
          <w:rFonts w:cs="Times New Roman"/>
          <w:color w:val="auto"/>
          <w:lang w:val="hu-HU"/>
        </w:rPr>
        <w:fldChar w:fldCharType="separate"/>
      </w:r>
      <w:bookmarkStart w:id="22" w:name="_Toc218075167"/>
      <w:r w:rsidRPr="0067337C">
        <w:rPr>
          <w:rFonts w:cs="Times New Roman"/>
          <w:noProof/>
          <w:color w:val="auto"/>
          <w:lang w:val="hu-HU"/>
        </w:rPr>
        <w:t>5</w:t>
      </w:r>
      <w:r w:rsidRPr="0067337C">
        <w:rPr>
          <w:rFonts w:cs="Times New Roman"/>
          <w:color w:val="auto"/>
          <w:lang w:val="hu-HU"/>
        </w:rPr>
        <w:fldChar w:fldCharType="end"/>
      </w:r>
      <w:r w:rsidRPr="0067337C">
        <w:rPr>
          <w:color w:val="auto"/>
        </w:rPr>
        <w:t xml:space="preserve">. </w:t>
      </w:r>
      <w:proofErr w:type="spellStart"/>
      <w:r w:rsidRPr="0067337C">
        <w:rPr>
          <w:color w:val="auto"/>
        </w:rPr>
        <w:t>ábra</w:t>
      </w:r>
      <w:proofErr w:type="spellEnd"/>
      <w:r w:rsidRPr="0067337C">
        <w:rPr>
          <w:color w:val="auto"/>
        </w:rPr>
        <w:t xml:space="preserve">: A </w:t>
      </w:r>
      <w:proofErr w:type="spellStart"/>
      <w:r w:rsidRPr="0067337C">
        <w:rPr>
          <w:color w:val="auto"/>
        </w:rPr>
        <w:t>kummulált</w:t>
      </w:r>
      <w:proofErr w:type="spellEnd"/>
      <w:r w:rsidRPr="0067337C">
        <w:rPr>
          <w:color w:val="auto"/>
        </w:rPr>
        <w:t xml:space="preserve"> </w:t>
      </w:r>
      <w:proofErr w:type="spellStart"/>
      <w:r w:rsidRPr="0067337C">
        <w:rPr>
          <w:color w:val="auto"/>
        </w:rPr>
        <w:t>abnormális</w:t>
      </w:r>
      <w:proofErr w:type="spellEnd"/>
      <w:r w:rsidRPr="0067337C">
        <w:rPr>
          <w:color w:val="auto"/>
        </w:rPr>
        <w:t xml:space="preserve"> </w:t>
      </w:r>
      <w:proofErr w:type="spellStart"/>
      <w:r w:rsidRPr="0067337C">
        <w:rPr>
          <w:color w:val="auto"/>
        </w:rPr>
        <w:t>hozam</w:t>
      </w:r>
      <w:proofErr w:type="spellEnd"/>
      <w:r w:rsidRPr="0067337C">
        <w:rPr>
          <w:color w:val="auto"/>
        </w:rPr>
        <w:t xml:space="preserve"> </w:t>
      </w:r>
      <w:proofErr w:type="spellStart"/>
      <w:r w:rsidRPr="0067337C">
        <w:rPr>
          <w:color w:val="auto"/>
        </w:rPr>
        <w:t>eloszlás</w:t>
      </w:r>
      <w:proofErr w:type="spellEnd"/>
      <w:r w:rsidRPr="0067337C">
        <w:rPr>
          <w:color w:val="auto"/>
        </w:rPr>
        <w:t xml:space="preserve"> Tech</w:t>
      </w:r>
      <w:bookmarkEnd w:id="22"/>
    </w:p>
    <w:p w14:paraId="57A19CDD" w14:textId="77777777" w:rsidR="0061303E" w:rsidRPr="00A42090" w:rsidRDefault="0061303E" w:rsidP="0061303E">
      <w:pPr>
        <w:rPr>
          <w:rFonts w:cs="Times New Roman"/>
          <w:lang w:val="hu-HU"/>
        </w:rPr>
      </w:pPr>
      <w:r w:rsidRPr="00A42090">
        <w:rPr>
          <w:rFonts w:cs="Times New Roman"/>
          <w:lang w:val="hu-HU"/>
        </w:rPr>
        <w:t xml:space="preserve">A különbségi CAAR-ok alapján a </w:t>
      </w:r>
      <w:proofErr w:type="spellStart"/>
      <w:r w:rsidRPr="00A42090">
        <w:rPr>
          <w:rFonts w:cs="Times New Roman"/>
          <w:lang w:val="hu-HU"/>
        </w:rPr>
        <w:t>Trump</w:t>
      </w:r>
      <w:proofErr w:type="spellEnd"/>
      <w:r w:rsidRPr="00A42090">
        <w:rPr>
          <w:rFonts w:cs="Times New Roman"/>
          <w:lang w:val="hu-HU"/>
        </w:rPr>
        <w:t xml:space="preserve">-hoz köthető részvények a vizsgált eseményablakok többségében </w:t>
      </w:r>
      <w:proofErr w:type="spellStart"/>
      <w:r w:rsidRPr="00A42090">
        <w:rPr>
          <w:rFonts w:cs="Times New Roman"/>
          <w:lang w:val="hu-HU"/>
        </w:rPr>
        <w:t>statisztikailag</w:t>
      </w:r>
      <w:proofErr w:type="spellEnd"/>
      <w:r w:rsidRPr="00A42090">
        <w:rPr>
          <w:rFonts w:cs="Times New Roman"/>
          <w:lang w:val="hu-HU"/>
        </w:rPr>
        <w:t xml:space="preserve"> szignifikánsan felülteljesítették a Harris-hez köthető részvényeket. A </w:t>
      </w:r>
      <w:proofErr w:type="spellStart"/>
      <w:r w:rsidRPr="00A42090">
        <w:rPr>
          <w:rFonts w:cs="Times New Roman"/>
          <w:lang w:val="hu-HU"/>
        </w:rPr>
        <w:t>Trump</w:t>
      </w:r>
      <w:proofErr w:type="spellEnd"/>
      <w:r w:rsidRPr="00A42090">
        <w:rPr>
          <w:rFonts w:cs="Times New Roman"/>
          <w:lang w:val="hu-HU"/>
        </w:rPr>
        <w:t>–Harris különbség nagysága a hosszabb eseményablakokban tovább növekszik, ami aszimmetrikus piaci reakcióra utal a két politikai kimenetel között.</w:t>
      </w:r>
    </w:p>
    <w:p w14:paraId="6E0BAC83" w14:textId="77777777" w:rsidR="0061303E" w:rsidRPr="00A42090" w:rsidRDefault="0061303E" w:rsidP="0061303E">
      <w:pPr>
        <w:rPr>
          <w:rFonts w:cs="Times New Roman"/>
          <w:lang w:val="hu-HU"/>
        </w:rPr>
      </w:pPr>
      <w:r w:rsidRPr="00A42090">
        <w:rPr>
          <w:rFonts w:cs="Times New Roman"/>
          <w:lang w:val="hu-HU"/>
        </w:rPr>
        <w:t xml:space="preserve">A </w:t>
      </w:r>
      <w:proofErr w:type="spellStart"/>
      <w:r w:rsidRPr="00A42090">
        <w:rPr>
          <w:rFonts w:cs="Times New Roman"/>
          <w:lang w:val="hu-HU"/>
        </w:rPr>
        <w:t>Trump</w:t>
      </w:r>
      <w:proofErr w:type="spellEnd"/>
      <w:r w:rsidRPr="00A42090">
        <w:rPr>
          <w:rFonts w:cs="Times New Roman"/>
          <w:lang w:val="hu-HU"/>
        </w:rPr>
        <w:t>–</w:t>
      </w:r>
      <w:proofErr w:type="spellStart"/>
      <w:r w:rsidRPr="00A42090">
        <w:rPr>
          <w:rFonts w:cs="Times New Roman"/>
          <w:lang w:val="hu-HU"/>
        </w:rPr>
        <w:t>Tech</w:t>
      </w:r>
      <w:proofErr w:type="spellEnd"/>
      <w:r w:rsidRPr="00A42090">
        <w:rPr>
          <w:rFonts w:cs="Times New Roman"/>
          <w:lang w:val="hu-HU"/>
        </w:rPr>
        <w:t xml:space="preserve"> összehasonlítás eredményei szerint a </w:t>
      </w:r>
      <w:proofErr w:type="spellStart"/>
      <w:r w:rsidRPr="00A42090">
        <w:rPr>
          <w:rFonts w:cs="Times New Roman"/>
          <w:lang w:val="hu-HU"/>
        </w:rPr>
        <w:t>Trump</w:t>
      </w:r>
      <w:proofErr w:type="spellEnd"/>
      <w:r w:rsidRPr="00A42090">
        <w:rPr>
          <w:rFonts w:cs="Times New Roman"/>
          <w:lang w:val="hu-HU"/>
        </w:rPr>
        <w:t xml:space="preserve">-részvények több eseményablakban is </w:t>
      </w:r>
      <w:proofErr w:type="spellStart"/>
      <w:r w:rsidRPr="00A42090">
        <w:rPr>
          <w:rFonts w:cs="Times New Roman"/>
          <w:lang w:val="hu-HU"/>
        </w:rPr>
        <w:t>statisztikailag</w:t>
      </w:r>
      <w:proofErr w:type="spellEnd"/>
      <w:r w:rsidRPr="00A42090">
        <w:rPr>
          <w:rFonts w:cs="Times New Roman"/>
          <w:lang w:val="hu-HU"/>
        </w:rPr>
        <w:t xml:space="preserve"> szignifikánsan felülteljesítették a technológiai részvényeket, míg a Harris–</w:t>
      </w:r>
      <w:proofErr w:type="spellStart"/>
      <w:r w:rsidRPr="00A42090">
        <w:rPr>
          <w:rFonts w:cs="Times New Roman"/>
          <w:lang w:val="hu-HU"/>
        </w:rPr>
        <w:t>Tech</w:t>
      </w:r>
      <w:proofErr w:type="spellEnd"/>
      <w:r w:rsidRPr="00A42090">
        <w:rPr>
          <w:rFonts w:cs="Times New Roman"/>
          <w:lang w:val="hu-HU"/>
        </w:rPr>
        <w:t xml:space="preserve"> különbségek a [0,1] és [1,5] időablakokban szignifikáns </w:t>
      </w:r>
      <w:proofErr w:type="spellStart"/>
      <w:r w:rsidRPr="00A42090">
        <w:rPr>
          <w:rFonts w:cs="Times New Roman"/>
          <w:lang w:val="hu-HU"/>
        </w:rPr>
        <w:t>alulteljesítést</w:t>
      </w:r>
      <w:proofErr w:type="spellEnd"/>
      <w:r w:rsidRPr="00A42090">
        <w:rPr>
          <w:rFonts w:cs="Times New Roman"/>
          <w:lang w:val="hu-HU"/>
        </w:rPr>
        <w:t xml:space="preserve"> jeleznek. Ezek az eredmények megerősítik, hogy a megfigyelt hatások nem általános piaci vagy </w:t>
      </w:r>
      <w:proofErr w:type="spellStart"/>
      <w:r w:rsidRPr="00A42090">
        <w:rPr>
          <w:rFonts w:cs="Times New Roman"/>
          <w:lang w:val="hu-HU"/>
        </w:rPr>
        <w:t>szektorális</w:t>
      </w:r>
      <w:proofErr w:type="spellEnd"/>
      <w:r w:rsidRPr="00A42090">
        <w:rPr>
          <w:rFonts w:cs="Times New Roman"/>
          <w:lang w:val="hu-HU"/>
        </w:rPr>
        <w:t xml:space="preserve"> mozgások következményei.</w:t>
      </w:r>
    </w:p>
    <w:tbl>
      <w:tblPr>
        <w:tblW w:w="9440" w:type="dxa"/>
        <w:tblCellMar>
          <w:left w:w="70" w:type="dxa"/>
          <w:right w:w="70" w:type="dxa"/>
        </w:tblCellMar>
        <w:tblLook w:val="04A0" w:firstRow="1" w:lastRow="0" w:firstColumn="1" w:lastColumn="0" w:noHBand="0" w:noVBand="1"/>
      </w:tblPr>
      <w:tblGrid>
        <w:gridCol w:w="1840"/>
        <w:gridCol w:w="1120"/>
        <w:gridCol w:w="840"/>
        <w:gridCol w:w="1070"/>
        <w:gridCol w:w="840"/>
        <w:gridCol w:w="1070"/>
        <w:gridCol w:w="840"/>
        <w:gridCol w:w="1070"/>
        <w:gridCol w:w="840"/>
      </w:tblGrid>
      <w:tr w:rsidR="002C721B" w:rsidRPr="002C721B" w14:paraId="241F49A9" w14:textId="77777777" w:rsidTr="002C721B">
        <w:trPr>
          <w:trHeight w:val="300"/>
        </w:trPr>
        <w:tc>
          <w:tcPr>
            <w:tcW w:w="1840" w:type="dxa"/>
            <w:tcBorders>
              <w:top w:val="single" w:sz="4" w:space="0" w:color="auto"/>
              <w:left w:val="single" w:sz="4" w:space="0" w:color="auto"/>
              <w:bottom w:val="nil"/>
              <w:right w:val="nil"/>
            </w:tcBorders>
            <w:noWrap/>
            <w:vAlign w:val="bottom"/>
            <w:hideMark/>
          </w:tcPr>
          <w:p w14:paraId="09AA194D" w14:textId="77777777" w:rsidR="002C721B" w:rsidRPr="002C721B" w:rsidRDefault="002C721B" w:rsidP="002C721B">
            <w:pPr>
              <w:spacing w:before="0" w:after="0" w:line="240" w:lineRule="auto"/>
              <w:jc w:val="lef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lastRenderedPageBreak/>
              <w:t> </w:t>
            </w:r>
          </w:p>
        </w:tc>
        <w:tc>
          <w:tcPr>
            <w:tcW w:w="1120" w:type="dxa"/>
            <w:tcBorders>
              <w:top w:val="single" w:sz="4" w:space="0" w:color="auto"/>
              <w:left w:val="single" w:sz="4" w:space="0" w:color="auto"/>
              <w:bottom w:val="single" w:sz="4" w:space="0" w:color="auto"/>
              <w:right w:val="single" w:sz="4" w:space="0" w:color="auto"/>
            </w:tcBorders>
            <w:noWrap/>
            <w:hideMark/>
          </w:tcPr>
          <w:p w14:paraId="5D9947BB"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2C721B">
              <w:rPr>
                <w:rFonts w:ascii="Calibri" w:eastAsia="Times New Roman" w:hAnsi="Calibri" w:cs="Calibri"/>
                <w:b/>
                <w:bCs/>
                <w:kern w:val="0"/>
                <w:sz w:val="22"/>
                <w:szCs w:val="22"/>
                <w:lang w:val="hu-HU" w:eastAsia="hu-HU"/>
                <w14:ligatures w14:val="none"/>
              </w:rPr>
              <w:t>CAAR[</w:t>
            </w:r>
            <w:proofErr w:type="gramEnd"/>
            <w:r w:rsidRPr="002C721B">
              <w:rPr>
                <w:rFonts w:ascii="Calibri" w:eastAsia="Times New Roman" w:hAnsi="Calibri" w:cs="Calibri"/>
                <w:b/>
                <w:bCs/>
                <w:kern w:val="0"/>
                <w:sz w:val="22"/>
                <w:szCs w:val="22"/>
                <w:lang w:val="hu-HU" w:eastAsia="hu-HU"/>
                <w14:ligatures w14:val="none"/>
              </w:rPr>
              <w:t>-1,1]</w:t>
            </w:r>
          </w:p>
        </w:tc>
        <w:tc>
          <w:tcPr>
            <w:tcW w:w="840" w:type="dxa"/>
            <w:tcBorders>
              <w:top w:val="single" w:sz="4" w:space="0" w:color="auto"/>
              <w:left w:val="nil"/>
              <w:bottom w:val="single" w:sz="4" w:space="0" w:color="auto"/>
              <w:right w:val="single" w:sz="4" w:space="0" w:color="auto"/>
            </w:tcBorders>
            <w:noWrap/>
            <w:hideMark/>
          </w:tcPr>
          <w:p w14:paraId="5C61C9F1"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 xml:space="preserve">p-érték </w:t>
            </w:r>
          </w:p>
        </w:tc>
        <w:tc>
          <w:tcPr>
            <w:tcW w:w="1040" w:type="dxa"/>
            <w:tcBorders>
              <w:top w:val="single" w:sz="4" w:space="0" w:color="auto"/>
              <w:left w:val="nil"/>
              <w:bottom w:val="single" w:sz="4" w:space="0" w:color="auto"/>
              <w:right w:val="single" w:sz="4" w:space="0" w:color="auto"/>
            </w:tcBorders>
            <w:noWrap/>
            <w:hideMark/>
          </w:tcPr>
          <w:p w14:paraId="2E8D09CE"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2C721B">
              <w:rPr>
                <w:rFonts w:ascii="Calibri" w:eastAsia="Times New Roman" w:hAnsi="Calibri" w:cs="Calibri"/>
                <w:b/>
                <w:bCs/>
                <w:kern w:val="0"/>
                <w:sz w:val="22"/>
                <w:szCs w:val="22"/>
                <w:lang w:val="hu-HU" w:eastAsia="hu-HU"/>
                <w14:ligatures w14:val="none"/>
              </w:rPr>
              <w:t>CAAR[</w:t>
            </w:r>
            <w:proofErr w:type="gramEnd"/>
            <w:r w:rsidRPr="002C721B">
              <w:rPr>
                <w:rFonts w:ascii="Calibri" w:eastAsia="Times New Roman" w:hAnsi="Calibri" w:cs="Calibri"/>
                <w:b/>
                <w:bCs/>
                <w:kern w:val="0"/>
                <w:sz w:val="22"/>
                <w:szCs w:val="22"/>
                <w:lang w:val="hu-HU" w:eastAsia="hu-HU"/>
                <w14:ligatures w14:val="none"/>
              </w:rPr>
              <w:t>0,1]</w:t>
            </w:r>
          </w:p>
        </w:tc>
        <w:tc>
          <w:tcPr>
            <w:tcW w:w="840" w:type="dxa"/>
            <w:tcBorders>
              <w:top w:val="single" w:sz="4" w:space="0" w:color="auto"/>
              <w:left w:val="nil"/>
              <w:bottom w:val="single" w:sz="4" w:space="0" w:color="auto"/>
              <w:right w:val="single" w:sz="4" w:space="0" w:color="auto"/>
            </w:tcBorders>
            <w:noWrap/>
            <w:hideMark/>
          </w:tcPr>
          <w:p w14:paraId="73BDE2D9"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 xml:space="preserve">p-érték </w:t>
            </w:r>
          </w:p>
        </w:tc>
        <w:tc>
          <w:tcPr>
            <w:tcW w:w="1040" w:type="dxa"/>
            <w:tcBorders>
              <w:top w:val="single" w:sz="4" w:space="0" w:color="auto"/>
              <w:left w:val="nil"/>
              <w:bottom w:val="single" w:sz="4" w:space="0" w:color="auto"/>
              <w:right w:val="single" w:sz="4" w:space="0" w:color="auto"/>
            </w:tcBorders>
            <w:noWrap/>
            <w:hideMark/>
          </w:tcPr>
          <w:p w14:paraId="56B495D1"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2C721B">
              <w:rPr>
                <w:rFonts w:ascii="Calibri" w:eastAsia="Times New Roman" w:hAnsi="Calibri" w:cs="Calibri"/>
                <w:b/>
                <w:bCs/>
                <w:kern w:val="0"/>
                <w:sz w:val="22"/>
                <w:szCs w:val="22"/>
                <w:lang w:val="hu-HU" w:eastAsia="hu-HU"/>
                <w14:ligatures w14:val="none"/>
              </w:rPr>
              <w:t>CAAR[</w:t>
            </w:r>
            <w:proofErr w:type="gramEnd"/>
            <w:r w:rsidRPr="002C721B">
              <w:rPr>
                <w:rFonts w:ascii="Calibri" w:eastAsia="Times New Roman" w:hAnsi="Calibri" w:cs="Calibri"/>
                <w:b/>
                <w:bCs/>
                <w:kern w:val="0"/>
                <w:sz w:val="22"/>
                <w:szCs w:val="22"/>
                <w:lang w:val="hu-HU" w:eastAsia="hu-HU"/>
                <w14:ligatures w14:val="none"/>
              </w:rPr>
              <w:t>1,3]</w:t>
            </w:r>
          </w:p>
        </w:tc>
        <w:tc>
          <w:tcPr>
            <w:tcW w:w="840" w:type="dxa"/>
            <w:tcBorders>
              <w:top w:val="single" w:sz="4" w:space="0" w:color="auto"/>
              <w:left w:val="nil"/>
              <w:bottom w:val="single" w:sz="4" w:space="0" w:color="auto"/>
              <w:right w:val="single" w:sz="4" w:space="0" w:color="auto"/>
            </w:tcBorders>
            <w:noWrap/>
            <w:hideMark/>
          </w:tcPr>
          <w:p w14:paraId="68E45DD9"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 xml:space="preserve">p-érték </w:t>
            </w:r>
          </w:p>
        </w:tc>
        <w:tc>
          <w:tcPr>
            <w:tcW w:w="1040" w:type="dxa"/>
            <w:tcBorders>
              <w:top w:val="single" w:sz="4" w:space="0" w:color="auto"/>
              <w:left w:val="nil"/>
              <w:bottom w:val="single" w:sz="4" w:space="0" w:color="auto"/>
              <w:right w:val="single" w:sz="4" w:space="0" w:color="auto"/>
            </w:tcBorders>
            <w:noWrap/>
            <w:hideMark/>
          </w:tcPr>
          <w:p w14:paraId="1BF12F64"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gramStart"/>
            <w:r w:rsidRPr="002C721B">
              <w:rPr>
                <w:rFonts w:ascii="Calibri" w:eastAsia="Times New Roman" w:hAnsi="Calibri" w:cs="Calibri"/>
                <w:b/>
                <w:bCs/>
                <w:kern w:val="0"/>
                <w:sz w:val="22"/>
                <w:szCs w:val="22"/>
                <w:lang w:val="hu-HU" w:eastAsia="hu-HU"/>
                <w14:ligatures w14:val="none"/>
              </w:rPr>
              <w:t>CAAR[</w:t>
            </w:r>
            <w:proofErr w:type="gramEnd"/>
            <w:r w:rsidRPr="002C721B">
              <w:rPr>
                <w:rFonts w:ascii="Calibri" w:eastAsia="Times New Roman" w:hAnsi="Calibri" w:cs="Calibri"/>
                <w:b/>
                <w:bCs/>
                <w:kern w:val="0"/>
                <w:sz w:val="22"/>
                <w:szCs w:val="22"/>
                <w:lang w:val="hu-HU" w:eastAsia="hu-HU"/>
                <w14:ligatures w14:val="none"/>
              </w:rPr>
              <w:t>1,5]</w:t>
            </w:r>
          </w:p>
        </w:tc>
        <w:tc>
          <w:tcPr>
            <w:tcW w:w="840" w:type="dxa"/>
            <w:tcBorders>
              <w:top w:val="single" w:sz="4" w:space="0" w:color="auto"/>
              <w:left w:val="nil"/>
              <w:bottom w:val="single" w:sz="4" w:space="0" w:color="auto"/>
              <w:right w:val="single" w:sz="4" w:space="0" w:color="auto"/>
            </w:tcBorders>
            <w:noWrap/>
            <w:hideMark/>
          </w:tcPr>
          <w:p w14:paraId="0EB3D5D7"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 xml:space="preserve">p-érték </w:t>
            </w:r>
          </w:p>
        </w:tc>
      </w:tr>
      <w:tr w:rsidR="002C721B" w:rsidRPr="002C721B" w14:paraId="65D093B6" w14:textId="77777777" w:rsidTr="002C721B">
        <w:trPr>
          <w:trHeight w:val="300"/>
        </w:trPr>
        <w:tc>
          <w:tcPr>
            <w:tcW w:w="1840" w:type="dxa"/>
            <w:tcBorders>
              <w:top w:val="single" w:sz="4" w:space="0" w:color="auto"/>
              <w:left w:val="single" w:sz="4" w:space="0" w:color="auto"/>
              <w:bottom w:val="single" w:sz="4" w:space="0" w:color="auto"/>
              <w:right w:val="single" w:sz="4" w:space="0" w:color="auto"/>
            </w:tcBorders>
            <w:noWrap/>
            <w:hideMark/>
          </w:tcPr>
          <w:p w14:paraId="5F59A6D8"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2C721B">
              <w:rPr>
                <w:rFonts w:ascii="Calibri" w:eastAsia="Times New Roman" w:hAnsi="Calibri" w:cs="Calibri"/>
                <w:b/>
                <w:bCs/>
                <w:kern w:val="0"/>
                <w:sz w:val="22"/>
                <w:szCs w:val="22"/>
                <w:lang w:val="hu-HU" w:eastAsia="hu-HU"/>
                <w14:ligatures w14:val="none"/>
              </w:rPr>
              <w:t>Trump</w:t>
            </w:r>
            <w:proofErr w:type="spellEnd"/>
            <w:r w:rsidRPr="002C721B">
              <w:rPr>
                <w:rFonts w:ascii="Calibri" w:eastAsia="Times New Roman" w:hAnsi="Calibri" w:cs="Calibri"/>
                <w:b/>
                <w:bCs/>
                <w:kern w:val="0"/>
                <w:sz w:val="22"/>
                <w:szCs w:val="22"/>
                <w:lang w:val="hu-HU" w:eastAsia="hu-HU"/>
                <w14:ligatures w14:val="none"/>
              </w:rPr>
              <w:t xml:space="preserve"> részvények</w:t>
            </w:r>
          </w:p>
        </w:tc>
        <w:tc>
          <w:tcPr>
            <w:tcW w:w="1120" w:type="dxa"/>
            <w:tcBorders>
              <w:top w:val="nil"/>
              <w:left w:val="nil"/>
              <w:bottom w:val="nil"/>
              <w:right w:val="nil"/>
            </w:tcBorders>
            <w:noWrap/>
            <w:vAlign w:val="bottom"/>
            <w:hideMark/>
          </w:tcPr>
          <w:p w14:paraId="0D628D21"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5.0529</w:t>
            </w:r>
          </w:p>
        </w:tc>
        <w:tc>
          <w:tcPr>
            <w:tcW w:w="840" w:type="dxa"/>
            <w:tcBorders>
              <w:top w:val="nil"/>
              <w:left w:val="nil"/>
              <w:bottom w:val="nil"/>
              <w:right w:val="nil"/>
            </w:tcBorders>
            <w:noWrap/>
            <w:vAlign w:val="bottom"/>
            <w:hideMark/>
          </w:tcPr>
          <w:p w14:paraId="18CCEA9B"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0.0321</w:t>
            </w:r>
          </w:p>
        </w:tc>
        <w:tc>
          <w:tcPr>
            <w:tcW w:w="1040" w:type="dxa"/>
            <w:tcBorders>
              <w:top w:val="nil"/>
              <w:left w:val="nil"/>
              <w:bottom w:val="nil"/>
              <w:right w:val="nil"/>
            </w:tcBorders>
            <w:noWrap/>
            <w:vAlign w:val="bottom"/>
            <w:hideMark/>
          </w:tcPr>
          <w:p w14:paraId="0850F7F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3.6676</w:t>
            </w:r>
          </w:p>
        </w:tc>
        <w:tc>
          <w:tcPr>
            <w:tcW w:w="840" w:type="dxa"/>
            <w:tcBorders>
              <w:top w:val="nil"/>
              <w:left w:val="nil"/>
              <w:bottom w:val="nil"/>
              <w:right w:val="nil"/>
            </w:tcBorders>
            <w:noWrap/>
            <w:vAlign w:val="bottom"/>
            <w:hideMark/>
          </w:tcPr>
          <w:p w14:paraId="25451599"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0.1006</w:t>
            </w:r>
          </w:p>
        </w:tc>
        <w:tc>
          <w:tcPr>
            <w:tcW w:w="1040" w:type="dxa"/>
            <w:tcBorders>
              <w:top w:val="nil"/>
              <w:left w:val="nil"/>
              <w:bottom w:val="nil"/>
              <w:right w:val="nil"/>
            </w:tcBorders>
            <w:noWrap/>
            <w:vAlign w:val="bottom"/>
            <w:hideMark/>
          </w:tcPr>
          <w:p w14:paraId="665A4CC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4.6757</w:t>
            </w:r>
          </w:p>
        </w:tc>
        <w:tc>
          <w:tcPr>
            <w:tcW w:w="840" w:type="dxa"/>
            <w:tcBorders>
              <w:top w:val="nil"/>
              <w:left w:val="nil"/>
              <w:bottom w:val="nil"/>
              <w:right w:val="nil"/>
            </w:tcBorders>
            <w:noWrap/>
            <w:vAlign w:val="bottom"/>
            <w:hideMark/>
          </w:tcPr>
          <w:p w14:paraId="314018A1"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0.0433</w:t>
            </w:r>
          </w:p>
        </w:tc>
        <w:tc>
          <w:tcPr>
            <w:tcW w:w="1040" w:type="dxa"/>
            <w:tcBorders>
              <w:top w:val="nil"/>
              <w:left w:val="nil"/>
              <w:bottom w:val="nil"/>
              <w:right w:val="nil"/>
            </w:tcBorders>
            <w:noWrap/>
            <w:vAlign w:val="bottom"/>
            <w:hideMark/>
          </w:tcPr>
          <w:p w14:paraId="02FDA40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9.0750</w:t>
            </w:r>
          </w:p>
        </w:tc>
        <w:tc>
          <w:tcPr>
            <w:tcW w:w="840" w:type="dxa"/>
            <w:tcBorders>
              <w:top w:val="nil"/>
              <w:left w:val="nil"/>
              <w:bottom w:val="nil"/>
              <w:right w:val="single" w:sz="4" w:space="0" w:color="auto"/>
            </w:tcBorders>
            <w:noWrap/>
            <w:vAlign w:val="bottom"/>
            <w:hideMark/>
          </w:tcPr>
          <w:p w14:paraId="578A0AE3"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0.0016</w:t>
            </w:r>
          </w:p>
        </w:tc>
      </w:tr>
      <w:tr w:rsidR="002C721B" w:rsidRPr="002C721B" w14:paraId="26178793" w14:textId="77777777" w:rsidTr="002C721B">
        <w:trPr>
          <w:trHeight w:val="300"/>
        </w:trPr>
        <w:tc>
          <w:tcPr>
            <w:tcW w:w="1840" w:type="dxa"/>
            <w:tcBorders>
              <w:top w:val="nil"/>
              <w:left w:val="single" w:sz="4" w:space="0" w:color="auto"/>
              <w:bottom w:val="single" w:sz="4" w:space="0" w:color="auto"/>
              <w:right w:val="single" w:sz="4" w:space="0" w:color="auto"/>
            </w:tcBorders>
            <w:noWrap/>
            <w:hideMark/>
          </w:tcPr>
          <w:p w14:paraId="0DBF9785"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Harris részvények</w:t>
            </w:r>
          </w:p>
        </w:tc>
        <w:tc>
          <w:tcPr>
            <w:tcW w:w="1120" w:type="dxa"/>
            <w:tcBorders>
              <w:top w:val="nil"/>
              <w:left w:val="nil"/>
              <w:bottom w:val="nil"/>
              <w:right w:val="nil"/>
            </w:tcBorders>
            <w:noWrap/>
            <w:vAlign w:val="bottom"/>
            <w:hideMark/>
          </w:tcPr>
          <w:p w14:paraId="0A247A19"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-4.0922</w:t>
            </w:r>
          </w:p>
        </w:tc>
        <w:tc>
          <w:tcPr>
            <w:tcW w:w="840" w:type="dxa"/>
            <w:tcBorders>
              <w:top w:val="nil"/>
              <w:left w:val="nil"/>
              <w:bottom w:val="nil"/>
              <w:right w:val="nil"/>
            </w:tcBorders>
            <w:noWrap/>
            <w:vAlign w:val="bottom"/>
            <w:hideMark/>
          </w:tcPr>
          <w:p w14:paraId="346CCE13"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0.0107</w:t>
            </w:r>
          </w:p>
        </w:tc>
        <w:tc>
          <w:tcPr>
            <w:tcW w:w="1040" w:type="dxa"/>
            <w:tcBorders>
              <w:top w:val="nil"/>
              <w:left w:val="nil"/>
              <w:bottom w:val="nil"/>
              <w:right w:val="nil"/>
            </w:tcBorders>
            <w:noWrap/>
            <w:vAlign w:val="bottom"/>
            <w:hideMark/>
          </w:tcPr>
          <w:p w14:paraId="4D2A833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-5.7279</w:t>
            </w:r>
          </w:p>
        </w:tc>
        <w:tc>
          <w:tcPr>
            <w:tcW w:w="840" w:type="dxa"/>
            <w:tcBorders>
              <w:top w:val="nil"/>
              <w:left w:val="nil"/>
              <w:bottom w:val="nil"/>
              <w:right w:val="nil"/>
            </w:tcBorders>
            <w:noWrap/>
            <w:vAlign w:val="bottom"/>
            <w:hideMark/>
          </w:tcPr>
          <w:p w14:paraId="72F7FC43"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0.0004</w:t>
            </w:r>
          </w:p>
        </w:tc>
        <w:tc>
          <w:tcPr>
            <w:tcW w:w="1040" w:type="dxa"/>
            <w:tcBorders>
              <w:top w:val="nil"/>
              <w:left w:val="nil"/>
              <w:bottom w:val="nil"/>
              <w:right w:val="nil"/>
            </w:tcBorders>
            <w:noWrap/>
            <w:vAlign w:val="bottom"/>
            <w:hideMark/>
          </w:tcPr>
          <w:p w14:paraId="2E95942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-5.8668</w:t>
            </w:r>
          </w:p>
        </w:tc>
        <w:tc>
          <w:tcPr>
            <w:tcW w:w="840" w:type="dxa"/>
            <w:tcBorders>
              <w:top w:val="nil"/>
              <w:left w:val="nil"/>
              <w:bottom w:val="nil"/>
              <w:right w:val="nil"/>
            </w:tcBorders>
            <w:noWrap/>
            <w:vAlign w:val="bottom"/>
            <w:hideMark/>
          </w:tcPr>
          <w:p w14:paraId="3B61286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0.0004</w:t>
            </w:r>
          </w:p>
        </w:tc>
        <w:tc>
          <w:tcPr>
            <w:tcW w:w="1040" w:type="dxa"/>
            <w:tcBorders>
              <w:top w:val="nil"/>
              <w:left w:val="nil"/>
              <w:bottom w:val="nil"/>
              <w:right w:val="nil"/>
            </w:tcBorders>
            <w:noWrap/>
            <w:vAlign w:val="bottom"/>
            <w:hideMark/>
          </w:tcPr>
          <w:p w14:paraId="1957026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-9.8706</w:t>
            </w:r>
          </w:p>
        </w:tc>
        <w:tc>
          <w:tcPr>
            <w:tcW w:w="840" w:type="dxa"/>
            <w:tcBorders>
              <w:top w:val="nil"/>
              <w:left w:val="nil"/>
              <w:bottom w:val="nil"/>
              <w:right w:val="single" w:sz="4" w:space="0" w:color="auto"/>
            </w:tcBorders>
            <w:noWrap/>
            <w:vAlign w:val="bottom"/>
            <w:hideMark/>
          </w:tcPr>
          <w:p w14:paraId="3A0327B8"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0.0000</w:t>
            </w:r>
          </w:p>
        </w:tc>
      </w:tr>
      <w:tr w:rsidR="002C721B" w:rsidRPr="002C721B" w14:paraId="334907B7" w14:textId="77777777" w:rsidTr="002C721B">
        <w:trPr>
          <w:trHeight w:val="300"/>
        </w:trPr>
        <w:tc>
          <w:tcPr>
            <w:tcW w:w="1840" w:type="dxa"/>
            <w:tcBorders>
              <w:top w:val="nil"/>
              <w:left w:val="single" w:sz="4" w:space="0" w:color="auto"/>
              <w:bottom w:val="single" w:sz="4" w:space="0" w:color="auto"/>
              <w:right w:val="single" w:sz="4" w:space="0" w:color="auto"/>
            </w:tcBorders>
            <w:noWrap/>
            <w:hideMark/>
          </w:tcPr>
          <w:p w14:paraId="6FB8E20C"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2C721B">
              <w:rPr>
                <w:rFonts w:ascii="Calibri" w:eastAsia="Times New Roman" w:hAnsi="Calibri" w:cs="Calibri"/>
                <w:b/>
                <w:bCs/>
                <w:kern w:val="0"/>
                <w:sz w:val="22"/>
                <w:szCs w:val="22"/>
                <w:lang w:val="hu-HU" w:eastAsia="hu-HU"/>
                <w14:ligatures w14:val="none"/>
              </w:rPr>
              <w:t>Tech</w:t>
            </w:r>
            <w:proofErr w:type="spellEnd"/>
            <w:r w:rsidRPr="002C721B">
              <w:rPr>
                <w:rFonts w:ascii="Calibri" w:eastAsia="Times New Roman" w:hAnsi="Calibri" w:cs="Calibri"/>
                <w:b/>
                <w:bCs/>
                <w:kern w:val="0"/>
                <w:sz w:val="22"/>
                <w:szCs w:val="22"/>
                <w:lang w:val="hu-HU" w:eastAsia="hu-HU"/>
                <w14:ligatures w14:val="none"/>
              </w:rPr>
              <w:t xml:space="preserve"> részvények</w:t>
            </w:r>
          </w:p>
        </w:tc>
        <w:tc>
          <w:tcPr>
            <w:tcW w:w="1120" w:type="dxa"/>
            <w:tcBorders>
              <w:top w:val="nil"/>
              <w:left w:val="nil"/>
              <w:bottom w:val="nil"/>
              <w:right w:val="nil"/>
            </w:tcBorders>
            <w:noWrap/>
            <w:vAlign w:val="bottom"/>
            <w:hideMark/>
          </w:tcPr>
          <w:p w14:paraId="22C4E9C9"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-0.1369</w:t>
            </w:r>
          </w:p>
        </w:tc>
        <w:tc>
          <w:tcPr>
            <w:tcW w:w="840" w:type="dxa"/>
            <w:tcBorders>
              <w:top w:val="nil"/>
              <w:left w:val="nil"/>
              <w:bottom w:val="nil"/>
              <w:right w:val="nil"/>
            </w:tcBorders>
            <w:noWrap/>
            <w:vAlign w:val="bottom"/>
            <w:hideMark/>
          </w:tcPr>
          <w:p w14:paraId="77498E9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0.9166</w:t>
            </w:r>
          </w:p>
        </w:tc>
        <w:tc>
          <w:tcPr>
            <w:tcW w:w="1040" w:type="dxa"/>
            <w:tcBorders>
              <w:top w:val="nil"/>
              <w:left w:val="nil"/>
              <w:bottom w:val="nil"/>
              <w:right w:val="nil"/>
            </w:tcBorders>
            <w:noWrap/>
            <w:vAlign w:val="bottom"/>
            <w:hideMark/>
          </w:tcPr>
          <w:p w14:paraId="5BEF6CFA"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0.3135</w:t>
            </w:r>
          </w:p>
        </w:tc>
        <w:tc>
          <w:tcPr>
            <w:tcW w:w="840" w:type="dxa"/>
            <w:tcBorders>
              <w:top w:val="nil"/>
              <w:left w:val="nil"/>
              <w:bottom w:val="nil"/>
              <w:right w:val="nil"/>
            </w:tcBorders>
            <w:noWrap/>
            <w:vAlign w:val="bottom"/>
            <w:hideMark/>
          </w:tcPr>
          <w:p w14:paraId="0B348911"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0.8126</w:t>
            </w:r>
          </w:p>
        </w:tc>
        <w:tc>
          <w:tcPr>
            <w:tcW w:w="1040" w:type="dxa"/>
            <w:tcBorders>
              <w:top w:val="nil"/>
              <w:left w:val="nil"/>
              <w:bottom w:val="nil"/>
              <w:right w:val="nil"/>
            </w:tcBorders>
            <w:noWrap/>
            <w:vAlign w:val="bottom"/>
            <w:hideMark/>
          </w:tcPr>
          <w:p w14:paraId="797B074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-2.3582</w:t>
            </w:r>
          </w:p>
        </w:tc>
        <w:tc>
          <w:tcPr>
            <w:tcW w:w="840" w:type="dxa"/>
            <w:tcBorders>
              <w:top w:val="nil"/>
              <w:left w:val="nil"/>
              <w:bottom w:val="nil"/>
              <w:right w:val="nil"/>
            </w:tcBorders>
            <w:noWrap/>
            <w:vAlign w:val="bottom"/>
            <w:hideMark/>
          </w:tcPr>
          <w:p w14:paraId="7FD2E7CF"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0.0743</w:t>
            </w:r>
          </w:p>
        </w:tc>
        <w:tc>
          <w:tcPr>
            <w:tcW w:w="1040" w:type="dxa"/>
            <w:tcBorders>
              <w:top w:val="nil"/>
              <w:left w:val="nil"/>
              <w:bottom w:val="nil"/>
              <w:right w:val="nil"/>
            </w:tcBorders>
            <w:noWrap/>
            <w:vAlign w:val="bottom"/>
            <w:hideMark/>
          </w:tcPr>
          <w:p w14:paraId="5913F93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-0.7674</w:t>
            </w:r>
          </w:p>
        </w:tc>
        <w:tc>
          <w:tcPr>
            <w:tcW w:w="840" w:type="dxa"/>
            <w:tcBorders>
              <w:top w:val="nil"/>
              <w:left w:val="nil"/>
              <w:bottom w:val="nil"/>
              <w:right w:val="single" w:sz="4" w:space="0" w:color="auto"/>
            </w:tcBorders>
            <w:noWrap/>
            <w:vAlign w:val="bottom"/>
            <w:hideMark/>
          </w:tcPr>
          <w:p w14:paraId="6E4DA1E7"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0.5616</w:t>
            </w:r>
          </w:p>
        </w:tc>
      </w:tr>
      <w:tr w:rsidR="002C721B" w:rsidRPr="002C721B" w14:paraId="64D2CAF5" w14:textId="77777777" w:rsidTr="002C721B">
        <w:trPr>
          <w:trHeight w:val="300"/>
        </w:trPr>
        <w:tc>
          <w:tcPr>
            <w:tcW w:w="1840" w:type="dxa"/>
            <w:tcBorders>
              <w:top w:val="nil"/>
              <w:left w:val="single" w:sz="4" w:space="0" w:color="auto"/>
              <w:bottom w:val="single" w:sz="4" w:space="0" w:color="auto"/>
              <w:right w:val="single" w:sz="4" w:space="0" w:color="auto"/>
            </w:tcBorders>
            <w:noWrap/>
            <w:hideMark/>
          </w:tcPr>
          <w:p w14:paraId="13B9C76F"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2C721B">
              <w:rPr>
                <w:rFonts w:ascii="Calibri" w:eastAsia="Times New Roman" w:hAnsi="Calibri" w:cs="Calibri"/>
                <w:b/>
                <w:bCs/>
                <w:kern w:val="0"/>
                <w:sz w:val="22"/>
                <w:szCs w:val="22"/>
                <w:lang w:val="hu-HU" w:eastAsia="hu-HU"/>
                <w14:ligatures w14:val="none"/>
              </w:rPr>
              <w:t>Trump</w:t>
            </w:r>
            <w:proofErr w:type="spellEnd"/>
            <w:r w:rsidRPr="002C721B">
              <w:rPr>
                <w:rFonts w:ascii="Calibri" w:eastAsia="Times New Roman" w:hAnsi="Calibri" w:cs="Calibri"/>
                <w:b/>
                <w:bCs/>
                <w:kern w:val="0"/>
                <w:sz w:val="22"/>
                <w:szCs w:val="22"/>
                <w:lang w:val="hu-HU" w:eastAsia="hu-HU"/>
                <w14:ligatures w14:val="none"/>
              </w:rPr>
              <w:t>-Harris</w:t>
            </w:r>
          </w:p>
        </w:tc>
        <w:tc>
          <w:tcPr>
            <w:tcW w:w="1120" w:type="dxa"/>
            <w:tcBorders>
              <w:top w:val="nil"/>
              <w:left w:val="nil"/>
              <w:bottom w:val="nil"/>
              <w:right w:val="nil"/>
            </w:tcBorders>
            <w:noWrap/>
            <w:vAlign w:val="bottom"/>
            <w:hideMark/>
          </w:tcPr>
          <w:p w14:paraId="59249988"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9.1450</w:t>
            </w:r>
          </w:p>
        </w:tc>
        <w:tc>
          <w:tcPr>
            <w:tcW w:w="840" w:type="dxa"/>
            <w:tcBorders>
              <w:top w:val="nil"/>
              <w:left w:val="nil"/>
              <w:bottom w:val="nil"/>
              <w:right w:val="nil"/>
            </w:tcBorders>
            <w:noWrap/>
            <w:vAlign w:val="bottom"/>
            <w:hideMark/>
          </w:tcPr>
          <w:p w14:paraId="6C22D6B0"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0.0098</w:t>
            </w:r>
          </w:p>
        </w:tc>
        <w:tc>
          <w:tcPr>
            <w:tcW w:w="1040" w:type="dxa"/>
            <w:tcBorders>
              <w:top w:val="nil"/>
              <w:left w:val="nil"/>
              <w:bottom w:val="nil"/>
              <w:right w:val="nil"/>
            </w:tcBorders>
            <w:noWrap/>
            <w:vAlign w:val="bottom"/>
            <w:hideMark/>
          </w:tcPr>
          <w:p w14:paraId="0F930771"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9.3955</w:t>
            </w:r>
          </w:p>
        </w:tc>
        <w:tc>
          <w:tcPr>
            <w:tcW w:w="840" w:type="dxa"/>
            <w:tcBorders>
              <w:top w:val="nil"/>
              <w:left w:val="nil"/>
              <w:bottom w:val="nil"/>
              <w:right w:val="nil"/>
            </w:tcBorders>
            <w:noWrap/>
            <w:vAlign w:val="bottom"/>
            <w:hideMark/>
          </w:tcPr>
          <w:p w14:paraId="169123F0"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0.0043</w:t>
            </w:r>
          </w:p>
        </w:tc>
        <w:tc>
          <w:tcPr>
            <w:tcW w:w="1040" w:type="dxa"/>
            <w:tcBorders>
              <w:top w:val="nil"/>
              <w:left w:val="nil"/>
              <w:bottom w:val="nil"/>
              <w:right w:val="nil"/>
            </w:tcBorders>
            <w:noWrap/>
            <w:vAlign w:val="bottom"/>
            <w:hideMark/>
          </w:tcPr>
          <w:p w14:paraId="591C7644"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10.5425</w:t>
            </w:r>
          </w:p>
        </w:tc>
        <w:tc>
          <w:tcPr>
            <w:tcW w:w="840" w:type="dxa"/>
            <w:tcBorders>
              <w:top w:val="nil"/>
              <w:left w:val="nil"/>
              <w:bottom w:val="nil"/>
              <w:right w:val="nil"/>
            </w:tcBorders>
            <w:noWrap/>
            <w:vAlign w:val="bottom"/>
            <w:hideMark/>
          </w:tcPr>
          <w:p w14:paraId="33F204D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0.0039</w:t>
            </w:r>
          </w:p>
        </w:tc>
        <w:tc>
          <w:tcPr>
            <w:tcW w:w="1040" w:type="dxa"/>
            <w:tcBorders>
              <w:top w:val="nil"/>
              <w:left w:val="nil"/>
              <w:bottom w:val="nil"/>
              <w:right w:val="nil"/>
            </w:tcBorders>
            <w:noWrap/>
            <w:vAlign w:val="bottom"/>
            <w:hideMark/>
          </w:tcPr>
          <w:p w14:paraId="66B17D48"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18.9456</w:t>
            </w:r>
          </w:p>
        </w:tc>
        <w:tc>
          <w:tcPr>
            <w:tcW w:w="840" w:type="dxa"/>
            <w:tcBorders>
              <w:top w:val="nil"/>
              <w:left w:val="nil"/>
              <w:bottom w:val="nil"/>
              <w:right w:val="single" w:sz="4" w:space="0" w:color="auto"/>
            </w:tcBorders>
            <w:noWrap/>
            <w:vAlign w:val="bottom"/>
            <w:hideMark/>
          </w:tcPr>
          <w:p w14:paraId="42201BA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0.0000</w:t>
            </w:r>
          </w:p>
        </w:tc>
      </w:tr>
      <w:tr w:rsidR="002C721B" w:rsidRPr="002C721B" w14:paraId="197B5D49" w14:textId="77777777" w:rsidTr="002C721B">
        <w:trPr>
          <w:trHeight w:val="300"/>
        </w:trPr>
        <w:tc>
          <w:tcPr>
            <w:tcW w:w="1840" w:type="dxa"/>
            <w:tcBorders>
              <w:top w:val="nil"/>
              <w:left w:val="single" w:sz="4" w:space="0" w:color="auto"/>
              <w:bottom w:val="single" w:sz="4" w:space="0" w:color="auto"/>
              <w:right w:val="single" w:sz="4" w:space="0" w:color="auto"/>
            </w:tcBorders>
            <w:noWrap/>
            <w:hideMark/>
          </w:tcPr>
          <w:p w14:paraId="05C116AA"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proofErr w:type="spellStart"/>
            <w:r w:rsidRPr="002C721B">
              <w:rPr>
                <w:rFonts w:ascii="Calibri" w:eastAsia="Times New Roman" w:hAnsi="Calibri" w:cs="Calibri"/>
                <w:b/>
                <w:bCs/>
                <w:kern w:val="0"/>
                <w:sz w:val="22"/>
                <w:szCs w:val="22"/>
                <w:lang w:val="hu-HU" w:eastAsia="hu-HU"/>
                <w14:ligatures w14:val="none"/>
              </w:rPr>
              <w:t>Trump-Tech</w:t>
            </w:r>
            <w:proofErr w:type="spellEnd"/>
          </w:p>
        </w:tc>
        <w:tc>
          <w:tcPr>
            <w:tcW w:w="1120" w:type="dxa"/>
            <w:tcBorders>
              <w:top w:val="nil"/>
              <w:left w:val="nil"/>
              <w:bottom w:val="nil"/>
              <w:right w:val="nil"/>
            </w:tcBorders>
            <w:noWrap/>
            <w:vAlign w:val="bottom"/>
            <w:hideMark/>
          </w:tcPr>
          <w:p w14:paraId="5B8F1C5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5.1898</w:t>
            </w:r>
          </w:p>
        </w:tc>
        <w:tc>
          <w:tcPr>
            <w:tcW w:w="840" w:type="dxa"/>
            <w:tcBorders>
              <w:top w:val="nil"/>
              <w:left w:val="nil"/>
              <w:bottom w:val="nil"/>
              <w:right w:val="nil"/>
            </w:tcBorders>
            <w:noWrap/>
            <w:vAlign w:val="bottom"/>
            <w:hideMark/>
          </w:tcPr>
          <w:p w14:paraId="1C3E6835"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0.0412</w:t>
            </w:r>
          </w:p>
        </w:tc>
        <w:tc>
          <w:tcPr>
            <w:tcW w:w="1040" w:type="dxa"/>
            <w:tcBorders>
              <w:top w:val="nil"/>
              <w:left w:val="nil"/>
              <w:bottom w:val="nil"/>
              <w:right w:val="nil"/>
            </w:tcBorders>
            <w:noWrap/>
            <w:vAlign w:val="bottom"/>
            <w:hideMark/>
          </w:tcPr>
          <w:p w14:paraId="21307AB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3.3541</w:t>
            </w:r>
          </w:p>
        </w:tc>
        <w:tc>
          <w:tcPr>
            <w:tcW w:w="840" w:type="dxa"/>
            <w:tcBorders>
              <w:top w:val="nil"/>
              <w:left w:val="nil"/>
              <w:bottom w:val="nil"/>
              <w:right w:val="nil"/>
            </w:tcBorders>
            <w:noWrap/>
            <w:vAlign w:val="bottom"/>
            <w:hideMark/>
          </w:tcPr>
          <w:p w14:paraId="5BE19B6C"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0.0936</w:t>
            </w:r>
          </w:p>
        </w:tc>
        <w:tc>
          <w:tcPr>
            <w:tcW w:w="1040" w:type="dxa"/>
            <w:tcBorders>
              <w:top w:val="nil"/>
              <w:left w:val="nil"/>
              <w:bottom w:val="nil"/>
              <w:right w:val="nil"/>
            </w:tcBorders>
            <w:noWrap/>
            <w:vAlign w:val="bottom"/>
            <w:hideMark/>
          </w:tcPr>
          <w:p w14:paraId="79145440"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7.0339</w:t>
            </w:r>
          </w:p>
        </w:tc>
        <w:tc>
          <w:tcPr>
            <w:tcW w:w="840" w:type="dxa"/>
            <w:tcBorders>
              <w:top w:val="nil"/>
              <w:left w:val="nil"/>
              <w:bottom w:val="nil"/>
              <w:right w:val="nil"/>
            </w:tcBorders>
            <w:noWrap/>
            <w:vAlign w:val="bottom"/>
            <w:hideMark/>
          </w:tcPr>
          <w:p w14:paraId="1BF1092C"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0.0083</w:t>
            </w:r>
          </w:p>
        </w:tc>
        <w:tc>
          <w:tcPr>
            <w:tcW w:w="1040" w:type="dxa"/>
            <w:tcBorders>
              <w:top w:val="nil"/>
              <w:left w:val="nil"/>
              <w:bottom w:val="nil"/>
              <w:right w:val="nil"/>
            </w:tcBorders>
            <w:noWrap/>
            <w:vAlign w:val="bottom"/>
            <w:hideMark/>
          </w:tcPr>
          <w:p w14:paraId="08F9A27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9.8424</w:t>
            </w:r>
          </w:p>
        </w:tc>
        <w:tc>
          <w:tcPr>
            <w:tcW w:w="840" w:type="dxa"/>
            <w:tcBorders>
              <w:top w:val="nil"/>
              <w:left w:val="nil"/>
              <w:bottom w:val="nil"/>
              <w:right w:val="single" w:sz="4" w:space="0" w:color="auto"/>
            </w:tcBorders>
            <w:noWrap/>
            <w:vAlign w:val="bottom"/>
            <w:hideMark/>
          </w:tcPr>
          <w:p w14:paraId="6BD9B180"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0.0039</w:t>
            </w:r>
          </w:p>
        </w:tc>
      </w:tr>
      <w:tr w:rsidR="002C721B" w:rsidRPr="002C721B" w14:paraId="191647CE" w14:textId="77777777" w:rsidTr="002C721B">
        <w:trPr>
          <w:trHeight w:val="300"/>
        </w:trPr>
        <w:tc>
          <w:tcPr>
            <w:tcW w:w="1840" w:type="dxa"/>
            <w:tcBorders>
              <w:top w:val="nil"/>
              <w:left w:val="single" w:sz="4" w:space="0" w:color="auto"/>
              <w:bottom w:val="single" w:sz="4" w:space="0" w:color="auto"/>
              <w:right w:val="single" w:sz="4" w:space="0" w:color="auto"/>
            </w:tcBorders>
            <w:noWrap/>
            <w:hideMark/>
          </w:tcPr>
          <w:p w14:paraId="2CB66EA5" w14:textId="77777777" w:rsidR="002C721B" w:rsidRPr="002C721B" w:rsidRDefault="002C721B" w:rsidP="002C721B">
            <w:pPr>
              <w:spacing w:before="0" w:after="0" w:line="240" w:lineRule="auto"/>
              <w:jc w:val="center"/>
              <w:rPr>
                <w:rFonts w:ascii="Calibri" w:eastAsia="Times New Roman" w:hAnsi="Calibri" w:cs="Calibri"/>
                <w:b/>
                <w:bCs/>
                <w:kern w:val="0"/>
                <w:sz w:val="22"/>
                <w:szCs w:val="22"/>
                <w:lang w:val="hu-HU" w:eastAsia="hu-HU"/>
                <w14:ligatures w14:val="none"/>
              </w:rPr>
            </w:pPr>
            <w:r w:rsidRPr="002C721B">
              <w:rPr>
                <w:rFonts w:ascii="Calibri" w:eastAsia="Times New Roman" w:hAnsi="Calibri" w:cs="Calibri"/>
                <w:b/>
                <w:bCs/>
                <w:kern w:val="0"/>
                <w:sz w:val="22"/>
                <w:szCs w:val="22"/>
                <w:lang w:val="hu-HU" w:eastAsia="hu-HU"/>
                <w14:ligatures w14:val="none"/>
              </w:rPr>
              <w:t>Harris-</w:t>
            </w:r>
            <w:proofErr w:type="spellStart"/>
            <w:r w:rsidRPr="002C721B">
              <w:rPr>
                <w:rFonts w:ascii="Calibri" w:eastAsia="Times New Roman" w:hAnsi="Calibri" w:cs="Calibri"/>
                <w:b/>
                <w:bCs/>
                <w:kern w:val="0"/>
                <w:sz w:val="22"/>
                <w:szCs w:val="22"/>
                <w:lang w:val="hu-HU" w:eastAsia="hu-HU"/>
                <w14:ligatures w14:val="none"/>
              </w:rPr>
              <w:t>Tech</w:t>
            </w:r>
            <w:proofErr w:type="spellEnd"/>
          </w:p>
        </w:tc>
        <w:tc>
          <w:tcPr>
            <w:tcW w:w="1120" w:type="dxa"/>
            <w:tcBorders>
              <w:top w:val="nil"/>
              <w:left w:val="nil"/>
              <w:bottom w:val="single" w:sz="4" w:space="0" w:color="auto"/>
              <w:right w:val="nil"/>
            </w:tcBorders>
            <w:noWrap/>
            <w:vAlign w:val="bottom"/>
            <w:hideMark/>
          </w:tcPr>
          <w:p w14:paraId="6DBF8176"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-3.9553</w:t>
            </w:r>
          </w:p>
        </w:tc>
        <w:tc>
          <w:tcPr>
            <w:tcW w:w="840" w:type="dxa"/>
            <w:tcBorders>
              <w:top w:val="nil"/>
              <w:left w:val="nil"/>
              <w:bottom w:val="single" w:sz="4" w:space="0" w:color="auto"/>
              <w:right w:val="nil"/>
            </w:tcBorders>
            <w:noWrap/>
            <w:vAlign w:val="bottom"/>
            <w:hideMark/>
          </w:tcPr>
          <w:p w14:paraId="66D67DA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0.0582</w:t>
            </w:r>
          </w:p>
        </w:tc>
        <w:tc>
          <w:tcPr>
            <w:tcW w:w="1040" w:type="dxa"/>
            <w:tcBorders>
              <w:top w:val="nil"/>
              <w:left w:val="nil"/>
              <w:bottom w:val="single" w:sz="4" w:space="0" w:color="auto"/>
              <w:right w:val="nil"/>
            </w:tcBorders>
            <w:noWrap/>
            <w:vAlign w:val="bottom"/>
            <w:hideMark/>
          </w:tcPr>
          <w:p w14:paraId="4DA0791E"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-6.0414</w:t>
            </w:r>
          </w:p>
        </w:tc>
        <w:tc>
          <w:tcPr>
            <w:tcW w:w="840" w:type="dxa"/>
            <w:tcBorders>
              <w:top w:val="nil"/>
              <w:left w:val="nil"/>
              <w:bottom w:val="single" w:sz="4" w:space="0" w:color="auto"/>
              <w:right w:val="nil"/>
            </w:tcBorders>
            <w:noWrap/>
            <w:vAlign w:val="bottom"/>
            <w:hideMark/>
          </w:tcPr>
          <w:p w14:paraId="205345DF"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0.0024</w:t>
            </w:r>
          </w:p>
        </w:tc>
        <w:tc>
          <w:tcPr>
            <w:tcW w:w="1040" w:type="dxa"/>
            <w:tcBorders>
              <w:top w:val="nil"/>
              <w:left w:val="nil"/>
              <w:bottom w:val="single" w:sz="4" w:space="0" w:color="auto"/>
              <w:right w:val="nil"/>
            </w:tcBorders>
            <w:noWrap/>
            <w:vAlign w:val="bottom"/>
            <w:hideMark/>
          </w:tcPr>
          <w:p w14:paraId="35AC4AEA"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-3.5086</w:t>
            </w:r>
          </w:p>
        </w:tc>
        <w:tc>
          <w:tcPr>
            <w:tcW w:w="840" w:type="dxa"/>
            <w:tcBorders>
              <w:top w:val="nil"/>
              <w:left w:val="nil"/>
              <w:bottom w:val="single" w:sz="4" w:space="0" w:color="auto"/>
              <w:right w:val="nil"/>
            </w:tcBorders>
            <w:noWrap/>
            <w:vAlign w:val="bottom"/>
            <w:hideMark/>
          </w:tcPr>
          <w:p w14:paraId="2DC2B0C0"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0.0956</w:t>
            </w:r>
          </w:p>
        </w:tc>
        <w:tc>
          <w:tcPr>
            <w:tcW w:w="1040" w:type="dxa"/>
            <w:tcBorders>
              <w:top w:val="nil"/>
              <w:left w:val="nil"/>
              <w:bottom w:val="single" w:sz="4" w:space="0" w:color="auto"/>
              <w:right w:val="nil"/>
            </w:tcBorders>
            <w:noWrap/>
            <w:vAlign w:val="bottom"/>
            <w:hideMark/>
          </w:tcPr>
          <w:p w14:paraId="21038301"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-9.1032</w:t>
            </w:r>
          </w:p>
        </w:tc>
        <w:tc>
          <w:tcPr>
            <w:tcW w:w="840" w:type="dxa"/>
            <w:tcBorders>
              <w:top w:val="nil"/>
              <w:left w:val="nil"/>
              <w:bottom w:val="single" w:sz="4" w:space="0" w:color="auto"/>
              <w:right w:val="single" w:sz="4" w:space="0" w:color="auto"/>
            </w:tcBorders>
            <w:noWrap/>
            <w:vAlign w:val="bottom"/>
            <w:hideMark/>
          </w:tcPr>
          <w:p w14:paraId="1EC57B42" w14:textId="77777777" w:rsidR="002C721B" w:rsidRPr="002C721B" w:rsidRDefault="002C721B" w:rsidP="002C721B">
            <w:pPr>
              <w:spacing w:before="0" w:after="0" w:line="240" w:lineRule="auto"/>
              <w:jc w:val="right"/>
              <w:rPr>
                <w:rFonts w:ascii="Calibri" w:eastAsia="Times New Roman" w:hAnsi="Calibri" w:cs="Calibri"/>
                <w:color w:val="000000"/>
                <w:kern w:val="0"/>
                <w:sz w:val="22"/>
                <w:szCs w:val="22"/>
                <w:lang w:val="hu-HU" w:eastAsia="hu-HU"/>
                <w14:ligatures w14:val="none"/>
              </w:rPr>
            </w:pPr>
            <w:r w:rsidRPr="002C721B">
              <w:rPr>
                <w:rFonts w:ascii="Calibri" w:eastAsia="Times New Roman" w:hAnsi="Calibri" w:cs="Calibri"/>
                <w:color w:val="000000"/>
                <w:kern w:val="0"/>
                <w:sz w:val="22"/>
                <w:szCs w:val="22"/>
                <w:lang w:val="hu-HU" w:eastAsia="hu-HU"/>
                <w14:ligatures w14:val="none"/>
              </w:rPr>
              <w:t>0.0012</w:t>
            </w:r>
          </w:p>
        </w:tc>
      </w:tr>
    </w:tbl>
    <w:p w14:paraId="24D57818" w14:textId="77E4C443" w:rsidR="00E7062A" w:rsidRPr="00E7062A" w:rsidRDefault="00E7062A">
      <w:pPr>
        <w:pStyle w:val="Kpalrs"/>
        <w:rPr>
          <w:color w:val="auto"/>
        </w:rPr>
      </w:pPr>
      <w:r w:rsidRPr="00E7062A">
        <w:rPr>
          <w:color w:val="auto"/>
        </w:rPr>
        <w:fldChar w:fldCharType="begin"/>
      </w:r>
      <w:r w:rsidRPr="00E7062A">
        <w:rPr>
          <w:color w:val="auto"/>
        </w:rPr>
        <w:instrText xml:space="preserve"> SEQ táblázat \* ARABIC </w:instrText>
      </w:r>
      <w:r w:rsidRPr="00E7062A">
        <w:rPr>
          <w:color w:val="auto"/>
        </w:rPr>
        <w:fldChar w:fldCharType="separate"/>
      </w:r>
      <w:bookmarkStart w:id="23" w:name="_Toc218075170"/>
      <w:r>
        <w:rPr>
          <w:noProof/>
          <w:color w:val="auto"/>
        </w:rPr>
        <w:t>3</w:t>
      </w:r>
      <w:r w:rsidRPr="00E7062A">
        <w:rPr>
          <w:color w:val="auto"/>
        </w:rPr>
        <w:fldChar w:fldCharType="end"/>
      </w:r>
      <w:r w:rsidRPr="00E7062A">
        <w:rPr>
          <w:color w:val="auto"/>
        </w:rPr>
        <w:t xml:space="preserve">. </w:t>
      </w:r>
      <w:proofErr w:type="spellStart"/>
      <w:r w:rsidRPr="00E7062A">
        <w:rPr>
          <w:color w:val="auto"/>
        </w:rPr>
        <w:t>táblázat</w:t>
      </w:r>
      <w:proofErr w:type="spellEnd"/>
      <w:r w:rsidRPr="00E7062A">
        <w:rPr>
          <w:color w:val="auto"/>
        </w:rPr>
        <w:t xml:space="preserve">: </w:t>
      </w:r>
      <w:proofErr w:type="spellStart"/>
      <w:r w:rsidRPr="00E7062A">
        <w:rPr>
          <w:color w:val="auto"/>
        </w:rPr>
        <w:t>Részvénytípusonként</w:t>
      </w:r>
      <w:proofErr w:type="spellEnd"/>
      <w:r w:rsidRPr="00E7062A">
        <w:rPr>
          <w:color w:val="auto"/>
        </w:rPr>
        <w:t xml:space="preserve"> </w:t>
      </w:r>
      <w:proofErr w:type="spellStart"/>
      <w:r w:rsidRPr="00E7062A">
        <w:rPr>
          <w:color w:val="auto"/>
        </w:rPr>
        <w:t>számított</w:t>
      </w:r>
      <w:proofErr w:type="spellEnd"/>
      <w:r w:rsidRPr="00E7062A">
        <w:rPr>
          <w:color w:val="auto"/>
        </w:rPr>
        <w:t xml:space="preserve"> </w:t>
      </w:r>
      <w:proofErr w:type="spellStart"/>
      <w:r w:rsidRPr="00E7062A">
        <w:rPr>
          <w:color w:val="auto"/>
        </w:rPr>
        <w:t>kumulált</w:t>
      </w:r>
      <w:proofErr w:type="spellEnd"/>
      <w:r w:rsidRPr="00E7062A">
        <w:rPr>
          <w:color w:val="auto"/>
        </w:rPr>
        <w:t xml:space="preserve"> </w:t>
      </w:r>
      <w:proofErr w:type="spellStart"/>
      <w:r w:rsidRPr="00E7062A">
        <w:rPr>
          <w:color w:val="auto"/>
        </w:rPr>
        <w:t>átlagos</w:t>
      </w:r>
      <w:proofErr w:type="spellEnd"/>
      <w:r w:rsidRPr="00E7062A">
        <w:rPr>
          <w:color w:val="auto"/>
        </w:rPr>
        <w:t xml:space="preserve"> </w:t>
      </w:r>
      <w:proofErr w:type="spellStart"/>
      <w:r w:rsidRPr="00E7062A">
        <w:rPr>
          <w:color w:val="auto"/>
        </w:rPr>
        <w:t>abnormális</w:t>
      </w:r>
      <w:proofErr w:type="spellEnd"/>
      <w:r w:rsidRPr="00E7062A">
        <w:rPr>
          <w:color w:val="auto"/>
        </w:rPr>
        <w:t xml:space="preserve"> </w:t>
      </w:r>
      <w:proofErr w:type="spellStart"/>
      <w:r w:rsidRPr="00E7062A">
        <w:rPr>
          <w:color w:val="auto"/>
        </w:rPr>
        <w:t>hozamok</w:t>
      </w:r>
      <w:bookmarkEnd w:id="23"/>
      <w:proofErr w:type="spellEnd"/>
    </w:p>
    <w:p w14:paraId="6458D633" w14:textId="77777777" w:rsidR="0061303E" w:rsidRPr="00A42090" w:rsidRDefault="0061303E" w:rsidP="0061303E">
      <w:pPr>
        <w:rPr>
          <w:rFonts w:cs="Times New Roman"/>
          <w:lang w:val="hu-HU"/>
        </w:rPr>
      </w:pPr>
      <w:r w:rsidRPr="00A42090">
        <w:rPr>
          <w:rFonts w:cs="Times New Roman"/>
          <w:lang w:val="hu-HU"/>
        </w:rPr>
        <w:t>A CAAR-ok időbeli alakulása arra utal, hogy a piaci reakció nem kizárólag az esemény napján jelent meg. A [−1,1] időablakban megfigyelhető szignifikáns CAAR-ok összhangban vannak azzal a feltételezéssel, hogy az információ egy része már az eseményt megelőzően beépülhetett az árfolyamokba. Ugyanakkor a [0,1] időablakban tapasztalt gyengébb vagy nem szignifikáns eredmények arra utalnak, hogy az azonnali piaci reakció részben zajos vagy bizonytalan lehetett.</w:t>
      </w:r>
    </w:p>
    <w:p w14:paraId="3F1E4429" w14:textId="77777777" w:rsidR="0061303E" w:rsidRPr="00A42090" w:rsidRDefault="0061303E" w:rsidP="0061303E">
      <w:pPr>
        <w:rPr>
          <w:rFonts w:cs="Times New Roman"/>
          <w:lang w:val="hu-HU"/>
        </w:rPr>
      </w:pPr>
      <w:r w:rsidRPr="00A42090">
        <w:rPr>
          <w:rFonts w:cs="Times New Roman"/>
          <w:lang w:val="hu-HU"/>
        </w:rPr>
        <w:t xml:space="preserve">A hosszabb [1,3] és [1,5] eseményablakokban megfigyelhető, abszolút értékben növekvő és szignifikáns CAAR-ok mind a </w:t>
      </w:r>
      <w:proofErr w:type="spellStart"/>
      <w:r w:rsidRPr="00A42090">
        <w:rPr>
          <w:rFonts w:cs="Times New Roman"/>
          <w:lang w:val="hu-HU"/>
        </w:rPr>
        <w:t>Trump</w:t>
      </w:r>
      <w:proofErr w:type="spellEnd"/>
      <w:r w:rsidRPr="00A42090">
        <w:rPr>
          <w:rFonts w:cs="Times New Roman"/>
          <w:lang w:val="hu-HU"/>
        </w:rPr>
        <w:t xml:space="preserve">-, mind a Harris-részvények esetében egy több napig fennmaradó, fokozatos </w:t>
      </w:r>
      <w:proofErr w:type="spellStart"/>
      <w:r w:rsidRPr="00A42090">
        <w:rPr>
          <w:rFonts w:cs="Times New Roman"/>
          <w:lang w:val="hu-HU"/>
        </w:rPr>
        <w:t>újraárazási</w:t>
      </w:r>
      <w:proofErr w:type="spellEnd"/>
      <w:r w:rsidRPr="00A42090">
        <w:rPr>
          <w:rFonts w:cs="Times New Roman"/>
          <w:lang w:val="hu-HU"/>
        </w:rPr>
        <w:t xml:space="preserve"> folyamatra utalnak, amely során a befektetők fokozatosan építették be az esemény információtartalmát az árfolyamokba.</w:t>
      </w:r>
    </w:p>
    <w:p w14:paraId="7160983F" w14:textId="4F1AB041" w:rsidR="0061303E" w:rsidRPr="00A42090" w:rsidRDefault="0061303E" w:rsidP="0061303E">
      <w:pPr>
        <w:rPr>
          <w:rFonts w:cs="Times New Roman"/>
          <w:lang w:val="hu-HU"/>
        </w:rPr>
      </w:pPr>
      <w:r w:rsidRPr="00A42090">
        <w:rPr>
          <w:rFonts w:cs="Times New Roman"/>
          <w:lang w:val="hu-HU"/>
        </w:rPr>
        <w:t xml:space="preserve">Az eredmények összességében azt mutatják, hogy a vizsgált politikai esemény eltérő és aszimmetrikus piaci reakciót váltott ki a </w:t>
      </w:r>
      <w:proofErr w:type="spellStart"/>
      <w:r w:rsidRPr="00A42090">
        <w:rPr>
          <w:rFonts w:cs="Times New Roman"/>
          <w:lang w:val="hu-HU"/>
        </w:rPr>
        <w:t>Trump</w:t>
      </w:r>
      <w:proofErr w:type="spellEnd"/>
      <w:r w:rsidRPr="00A42090">
        <w:rPr>
          <w:rFonts w:cs="Times New Roman"/>
          <w:lang w:val="hu-HU"/>
        </w:rPr>
        <w:t xml:space="preserve">- és Harris-hez köthető részvények esetében, miközben a technológiai részvények árfolyamait érdemben nem befolyásolta. Ez arra utal, hogy a megfigyelt abnormális hozamok elsősorban politikai várakozásokhoz és szabályozási kilátásokhoz köthetők, nem pedig általános piaci vagy </w:t>
      </w:r>
      <w:proofErr w:type="spellStart"/>
      <w:r w:rsidRPr="00A42090">
        <w:rPr>
          <w:rFonts w:cs="Times New Roman"/>
          <w:lang w:val="hu-HU"/>
        </w:rPr>
        <w:t>szektorális</w:t>
      </w:r>
      <w:proofErr w:type="spellEnd"/>
      <w:r w:rsidRPr="00A42090">
        <w:rPr>
          <w:rFonts w:cs="Times New Roman"/>
          <w:lang w:val="hu-HU"/>
        </w:rPr>
        <w:t xml:space="preserve"> tényezőkhöz. Az eredmények összhangban állnak az előzetes várakozásainkkal a </w:t>
      </w:r>
      <w:proofErr w:type="spellStart"/>
      <w:r w:rsidRPr="00A42090">
        <w:rPr>
          <w:rFonts w:cs="Times New Roman"/>
          <w:lang w:val="hu-HU"/>
        </w:rPr>
        <w:t>Trump</w:t>
      </w:r>
      <w:proofErr w:type="spellEnd"/>
      <w:r w:rsidRPr="00A42090">
        <w:rPr>
          <w:rFonts w:cs="Times New Roman"/>
          <w:lang w:val="hu-HU"/>
        </w:rPr>
        <w:t>- és Harris-részvények esetében, míg a technológiai részvényekkel kapcsolatos előrejelzésünk, miszerint pozitív és szignifikáns CAAR-t tapasztalunk, nem igazolódott.</w:t>
      </w:r>
    </w:p>
    <w:p w14:paraId="6B484E54" w14:textId="5C4953EC" w:rsidR="00A03B2F" w:rsidRPr="00A42090" w:rsidRDefault="00A03B2F" w:rsidP="00A03B2F">
      <w:pPr>
        <w:pStyle w:val="Cmsor1"/>
        <w:spacing w:before="0"/>
        <w:rPr>
          <w:rFonts w:cs="Times New Roman"/>
          <w:lang w:val="hu-HU"/>
        </w:rPr>
      </w:pPr>
      <w:bookmarkStart w:id="24" w:name="_Toc218075160"/>
      <w:r w:rsidRPr="00A42090">
        <w:rPr>
          <w:rFonts w:cs="Times New Roman"/>
          <w:lang w:val="hu-HU"/>
        </w:rPr>
        <w:lastRenderedPageBreak/>
        <w:t>Összefoglalás</w:t>
      </w:r>
      <w:bookmarkEnd w:id="24"/>
    </w:p>
    <w:p w14:paraId="5B5344A2" w14:textId="77777777" w:rsidR="008F13DE" w:rsidRPr="008F13DE" w:rsidRDefault="008F13DE" w:rsidP="008F13DE">
      <w:pPr>
        <w:rPr>
          <w:rFonts w:cs="Times New Roman"/>
          <w:lang w:val="hu-HU"/>
        </w:rPr>
      </w:pPr>
      <w:r w:rsidRPr="008F13DE">
        <w:rPr>
          <w:rFonts w:cs="Times New Roman"/>
          <w:lang w:val="hu-HU"/>
        </w:rPr>
        <w:t xml:space="preserve">Kutatásunkban </w:t>
      </w:r>
      <w:proofErr w:type="spellStart"/>
      <w:r w:rsidRPr="008F13DE">
        <w:rPr>
          <w:rFonts w:cs="Times New Roman"/>
          <w:lang w:val="hu-HU"/>
        </w:rPr>
        <w:t>Trump</w:t>
      </w:r>
      <w:proofErr w:type="spellEnd"/>
      <w:r w:rsidRPr="008F13DE">
        <w:rPr>
          <w:rFonts w:cs="Times New Roman"/>
          <w:lang w:val="hu-HU"/>
        </w:rPr>
        <w:t xml:space="preserve"> megválasztásának hatását vizsgáltuk bizonyos részvénycsoportokra eseményvizsgálat keretében, a </w:t>
      </w:r>
      <w:proofErr w:type="spellStart"/>
      <w:r w:rsidRPr="008F13DE">
        <w:rPr>
          <w:rFonts w:cs="Times New Roman"/>
          <w:lang w:val="hu-HU"/>
        </w:rPr>
        <w:t>Fama</w:t>
      </w:r>
      <w:proofErr w:type="spellEnd"/>
      <w:r w:rsidRPr="008F13DE">
        <w:rPr>
          <w:rFonts w:cs="Times New Roman"/>
          <w:lang w:val="hu-HU"/>
        </w:rPr>
        <w:t>–</w:t>
      </w:r>
      <w:proofErr w:type="spellStart"/>
      <w:r w:rsidRPr="008F13DE">
        <w:rPr>
          <w:rFonts w:cs="Times New Roman"/>
          <w:lang w:val="hu-HU"/>
        </w:rPr>
        <w:t>French</w:t>
      </w:r>
      <w:proofErr w:type="spellEnd"/>
      <w:r w:rsidRPr="008F13DE">
        <w:rPr>
          <w:rFonts w:cs="Times New Roman"/>
          <w:lang w:val="hu-HU"/>
        </w:rPr>
        <w:t xml:space="preserve"> faktormódszertan alkalmazásával. A korábbi kutatásokhoz hasonlóan, amelyek a szektorok eltérő, szignifikáns reakcióját mutatták be (</w:t>
      </w:r>
      <w:proofErr w:type="spellStart"/>
      <w:r w:rsidRPr="008F13DE">
        <w:rPr>
          <w:rFonts w:cs="Times New Roman"/>
          <w:lang w:val="hu-HU"/>
        </w:rPr>
        <w:t>Bouoiyour</w:t>
      </w:r>
      <w:proofErr w:type="spellEnd"/>
      <w:r w:rsidRPr="008F13DE">
        <w:rPr>
          <w:rFonts w:cs="Times New Roman"/>
          <w:lang w:val="hu-HU"/>
        </w:rPr>
        <w:t xml:space="preserve"> és </w:t>
      </w:r>
      <w:proofErr w:type="spellStart"/>
      <w:r w:rsidRPr="008F13DE">
        <w:rPr>
          <w:rFonts w:cs="Times New Roman"/>
          <w:lang w:val="hu-HU"/>
        </w:rPr>
        <w:t>Selmi</w:t>
      </w:r>
      <w:proofErr w:type="spellEnd"/>
      <w:r w:rsidRPr="008F13DE">
        <w:rPr>
          <w:rFonts w:cs="Times New Roman"/>
          <w:lang w:val="hu-HU"/>
        </w:rPr>
        <w:t xml:space="preserve">, 2016), eredményeink szerint a </w:t>
      </w:r>
      <w:proofErr w:type="spellStart"/>
      <w:r w:rsidRPr="008F13DE">
        <w:rPr>
          <w:rFonts w:cs="Times New Roman"/>
          <w:lang w:val="hu-HU"/>
        </w:rPr>
        <w:t>Trumphoz</w:t>
      </w:r>
      <w:proofErr w:type="spellEnd"/>
      <w:r w:rsidRPr="008F13DE">
        <w:rPr>
          <w:rFonts w:cs="Times New Roman"/>
          <w:lang w:val="hu-HU"/>
        </w:rPr>
        <w:t xml:space="preserve"> köthető részvények, például hadiipari cégek és olyan vállalatok, amelyekhez személyes vagy politikai kapcsolat fűződik, a vizsgált időablakok többségében szignifikánsan pozitív, míg a </w:t>
      </w:r>
      <w:proofErr w:type="spellStart"/>
      <w:r w:rsidRPr="008F13DE">
        <w:rPr>
          <w:rFonts w:cs="Times New Roman"/>
          <w:lang w:val="hu-HU"/>
        </w:rPr>
        <w:t>Harrishez</w:t>
      </w:r>
      <w:proofErr w:type="spellEnd"/>
      <w:r w:rsidRPr="008F13DE">
        <w:rPr>
          <w:rFonts w:cs="Times New Roman"/>
          <w:lang w:val="hu-HU"/>
        </w:rPr>
        <w:t xml:space="preserve"> köthető részvények, elsősorban az egészségügyi és a zöld energia szektorban találhatók, szignifikánsan negatív kumulált átlagos abnormális hozamot mutattak. A technológiai részvények esetében a legtöbb időablakban nem figyelhető meg szignifikáns hatás. A </w:t>
      </w:r>
      <w:proofErr w:type="spellStart"/>
      <w:r w:rsidRPr="008F13DE">
        <w:rPr>
          <w:rFonts w:cs="Times New Roman"/>
          <w:lang w:val="hu-HU"/>
        </w:rPr>
        <w:t>Trump</w:t>
      </w:r>
      <w:proofErr w:type="spellEnd"/>
      <w:r w:rsidRPr="008F13DE">
        <w:rPr>
          <w:rFonts w:cs="Times New Roman"/>
          <w:lang w:val="hu-HU"/>
        </w:rPr>
        <w:t xml:space="preserve">- és Harris-részvényeknél előzetes adatszivárgás is tapasztalható volt, és a hosszabb időablakokban a piaci árak fokozatosan alkalmazkodtak az új információkhoz, jelezve a tartós </w:t>
      </w:r>
      <w:proofErr w:type="spellStart"/>
      <w:r w:rsidRPr="008F13DE">
        <w:rPr>
          <w:rFonts w:cs="Times New Roman"/>
          <w:lang w:val="hu-HU"/>
        </w:rPr>
        <w:t>újraárazás</w:t>
      </w:r>
      <w:proofErr w:type="spellEnd"/>
      <w:r w:rsidRPr="008F13DE">
        <w:rPr>
          <w:rFonts w:cs="Times New Roman"/>
          <w:lang w:val="hu-HU"/>
        </w:rPr>
        <w:t xml:space="preserve"> folyamatát.</w:t>
      </w:r>
    </w:p>
    <w:p w14:paraId="247CDA9D" w14:textId="77777777" w:rsidR="008F13DE" w:rsidRPr="008F13DE" w:rsidRDefault="008F13DE" w:rsidP="008F13DE">
      <w:pPr>
        <w:rPr>
          <w:rFonts w:cs="Times New Roman"/>
          <w:lang w:val="hu-HU"/>
        </w:rPr>
      </w:pPr>
      <w:r w:rsidRPr="008F13DE">
        <w:rPr>
          <w:rFonts w:cs="Times New Roman"/>
          <w:lang w:val="hu-HU"/>
        </w:rPr>
        <w:t xml:space="preserve">Összességében a teljes piacot az elnökválasztás eredménye nem mozdította el, ugyanakkor a szektorok szintjén világos </w:t>
      </w:r>
      <w:proofErr w:type="spellStart"/>
      <w:r w:rsidRPr="008F13DE">
        <w:rPr>
          <w:rFonts w:cs="Times New Roman"/>
          <w:lang w:val="hu-HU"/>
        </w:rPr>
        <w:t>átstrukturálódás</w:t>
      </w:r>
      <w:proofErr w:type="spellEnd"/>
      <w:r w:rsidRPr="008F13DE">
        <w:rPr>
          <w:rFonts w:cs="Times New Roman"/>
          <w:lang w:val="hu-HU"/>
        </w:rPr>
        <w:t xml:space="preserve"> figyelhető meg. Fontos ugyanakkor kiemelni a kutatás korlátait: elemzésünk kizárólag előre kiválasztott részvényekre terjedt ki, és csupán a 2024-es amerikai elnökválasztás eredményét vizsgáltuk, így az </w:t>
      </w:r>
      <w:proofErr w:type="spellStart"/>
      <w:r w:rsidRPr="008F13DE">
        <w:rPr>
          <w:rFonts w:cs="Times New Roman"/>
          <w:lang w:val="hu-HU"/>
        </w:rPr>
        <w:t>általánosíthatóság</w:t>
      </w:r>
      <w:proofErr w:type="spellEnd"/>
      <w:r w:rsidRPr="008F13DE">
        <w:rPr>
          <w:rFonts w:cs="Times New Roman"/>
          <w:lang w:val="hu-HU"/>
        </w:rPr>
        <w:t xml:space="preserve"> a teljes részvénypiacra és más választásokra korlátozott lehet.</w:t>
      </w:r>
    </w:p>
    <w:p w14:paraId="40B4D703" w14:textId="5366F6D7" w:rsidR="006F6C21" w:rsidRPr="008F13DE" w:rsidRDefault="006F6C21" w:rsidP="008F13DE">
      <w:pPr>
        <w:rPr>
          <w:rFonts w:cs="Times New Roman"/>
          <w:lang w:val="hu-HU"/>
        </w:rPr>
      </w:pPr>
      <w:r w:rsidRPr="00A42090">
        <w:rPr>
          <w:rFonts w:cs="Times New Roman"/>
          <w:lang w:val="hu-HU"/>
        </w:rPr>
        <w:br w:type="page"/>
      </w:r>
    </w:p>
    <w:p w14:paraId="224BB17C" w14:textId="200A2832" w:rsidR="006F6C21" w:rsidRPr="00A42090" w:rsidRDefault="006F6C21" w:rsidP="006F6C21">
      <w:pPr>
        <w:pStyle w:val="Cmsor1"/>
        <w:rPr>
          <w:rFonts w:cs="Times New Roman"/>
          <w:lang w:val="hu-HU"/>
        </w:rPr>
      </w:pPr>
      <w:bookmarkStart w:id="25" w:name="_Toc218075161"/>
      <w:r w:rsidRPr="00A42090">
        <w:rPr>
          <w:rFonts w:cs="Times New Roman"/>
          <w:lang w:val="hu-HU"/>
        </w:rPr>
        <w:lastRenderedPageBreak/>
        <w:t>Melléklet</w:t>
      </w:r>
      <w:bookmarkEnd w:id="25"/>
    </w:p>
    <w:tbl>
      <w:tblPr>
        <w:tblW w:w="9321" w:type="dxa"/>
        <w:tblLook w:val="04A0" w:firstRow="1" w:lastRow="0" w:firstColumn="1" w:lastColumn="0" w:noHBand="0" w:noVBand="1"/>
      </w:tblPr>
      <w:tblGrid>
        <w:gridCol w:w="3107"/>
        <w:gridCol w:w="3107"/>
        <w:gridCol w:w="3107"/>
      </w:tblGrid>
      <w:tr w:rsidR="006F6C21" w:rsidRPr="00A42090" w14:paraId="0C941956" w14:textId="77777777" w:rsidTr="006F6C21">
        <w:trPr>
          <w:trHeight w:val="280"/>
        </w:trPr>
        <w:tc>
          <w:tcPr>
            <w:tcW w:w="3107" w:type="dxa"/>
            <w:tcBorders>
              <w:top w:val="double" w:sz="4" w:space="0" w:color="auto"/>
              <w:left w:val="nil"/>
              <w:bottom w:val="single" w:sz="4" w:space="0" w:color="auto"/>
              <w:right w:val="nil"/>
            </w:tcBorders>
            <w:noWrap/>
            <w:vAlign w:val="center"/>
            <w:hideMark/>
          </w:tcPr>
          <w:p w14:paraId="6A240B75"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Harris</w:t>
            </w:r>
          </w:p>
        </w:tc>
        <w:tc>
          <w:tcPr>
            <w:tcW w:w="3107" w:type="dxa"/>
            <w:tcBorders>
              <w:top w:val="double" w:sz="4" w:space="0" w:color="auto"/>
              <w:left w:val="nil"/>
              <w:bottom w:val="single" w:sz="4" w:space="0" w:color="auto"/>
              <w:right w:val="nil"/>
            </w:tcBorders>
            <w:noWrap/>
            <w:vAlign w:val="center"/>
            <w:hideMark/>
          </w:tcPr>
          <w:p w14:paraId="03D86C10"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Trump</w:t>
            </w:r>
          </w:p>
        </w:tc>
        <w:tc>
          <w:tcPr>
            <w:tcW w:w="3107" w:type="dxa"/>
            <w:tcBorders>
              <w:top w:val="double" w:sz="4" w:space="0" w:color="auto"/>
              <w:left w:val="nil"/>
              <w:bottom w:val="single" w:sz="4" w:space="0" w:color="auto"/>
              <w:right w:val="nil"/>
            </w:tcBorders>
            <w:noWrap/>
            <w:vAlign w:val="center"/>
            <w:hideMark/>
          </w:tcPr>
          <w:p w14:paraId="20B64C26"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Tech</w:t>
            </w:r>
          </w:p>
        </w:tc>
      </w:tr>
      <w:tr w:rsidR="006F6C21" w:rsidRPr="00A42090" w14:paraId="4E5B5FED" w14:textId="77777777" w:rsidTr="006F6C21">
        <w:trPr>
          <w:trHeight w:val="280"/>
        </w:trPr>
        <w:tc>
          <w:tcPr>
            <w:tcW w:w="3107" w:type="dxa"/>
            <w:tcBorders>
              <w:top w:val="single" w:sz="4" w:space="0" w:color="auto"/>
              <w:left w:val="nil"/>
              <w:bottom w:val="nil"/>
              <w:right w:val="nil"/>
            </w:tcBorders>
            <w:noWrap/>
            <w:vAlign w:val="center"/>
            <w:hideMark/>
          </w:tcPr>
          <w:p w14:paraId="289CAF51"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AES</w:t>
            </w:r>
          </w:p>
        </w:tc>
        <w:tc>
          <w:tcPr>
            <w:tcW w:w="3107" w:type="dxa"/>
            <w:tcBorders>
              <w:top w:val="single" w:sz="4" w:space="0" w:color="auto"/>
              <w:left w:val="nil"/>
              <w:bottom w:val="nil"/>
              <w:right w:val="nil"/>
            </w:tcBorders>
            <w:noWrap/>
            <w:vAlign w:val="center"/>
            <w:hideMark/>
          </w:tcPr>
          <w:p w14:paraId="1DFE7D4F"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COIN</w:t>
            </w:r>
          </w:p>
        </w:tc>
        <w:tc>
          <w:tcPr>
            <w:tcW w:w="3107" w:type="dxa"/>
            <w:tcBorders>
              <w:top w:val="single" w:sz="4" w:space="0" w:color="auto"/>
              <w:left w:val="nil"/>
              <w:bottom w:val="nil"/>
              <w:right w:val="nil"/>
            </w:tcBorders>
            <w:noWrap/>
            <w:vAlign w:val="center"/>
            <w:hideMark/>
          </w:tcPr>
          <w:p w14:paraId="471A1318"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AAPL</w:t>
            </w:r>
          </w:p>
        </w:tc>
      </w:tr>
      <w:tr w:rsidR="006F6C21" w:rsidRPr="00A42090" w14:paraId="6EB877CE" w14:textId="77777777" w:rsidTr="006F6C21">
        <w:trPr>
          <w:trHeight w:val="280"/>
        </w:trPr>
        <w:tc>
          <w:tcPr>
            <w:tcW w:w="3107" w:type="dxa"/>
            <w:tcBorders>
              <w:top w:val="nil"/>
              <w:left w:val="nil"/>
              <w:bottom w:val="nil"/>
              <w:right w:val="nil"/>
            </w:tcBorders>
            <w:noWrap/>
            <w:vAlign w:val="center"/>
            <w:hideMark/>
          </w:tcPr>
          <w:p w14:paraId="227BE9A1"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AMGN</w:t>
            </w:r>
          </w:p>
        </w:tc>
        <w:tc>
          <w:tcPr>
            <w:tcW w:w="3107" w:type="dxa"/>
            <w:tcBorders>
              <w:top w:val="nil"/>
              <w:left w:val="nil"/>
              <w:bottom w:val="nil"/>
              <w:right w:val="nil"/>
            </w:tcBorders>
            <w:noWrap/>
            <w:vAlign w:val="center"/>
            <w:hideMark/>
          </w:tcPr>
          <w:p w14:paraId="06BE99DD"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COP</w:t>
            </w:r>
          </w:p>
        </w:tc>
        <w:tc>
          <w:tcPr>
            <w:tcW w:w="3107" w:type="dxa"/>
            <w:tcBorders>
              <w:top w:val="nil"/>
              <w:left w:val="nil"/>
              <w:bottom w:val="nil"/>
              <w:right w:val="nil"/>
            </w:tcBorders>
            <w:noWrap/>
            <w:vAlign w:val="center"/>
            <w:hideMark/>
          </w:tcPr>
          <w:p w14:paraId="592154A1"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GOOG</w:t>
            </w:r>
          </w:p>
        </w:tc>
      </w:tr>
      <w:tr w:rsidR="006F6C21" w:rsidRPr="00A42090" w14:paraId="41E47610" w14:textId="77777777" w:rsidTr="006F6C21">
        <w:trPr>
          <w:trHeight w:val="280"/>
        </w:trPr>
        <w:tc>
          <w:tcPr>
            <w:tcW w:w="3107" w:type="dxa"/>
            <w:tcBorders>
              <w:top w:val="nil"/>
              <w:left w:val="nil"/>
              <w:bottom w:val="nil"/>
              <w:right w:val="nil"/>
            </w:tcBorders>
            <w:noWrap/>
            <w:vAlign w:val="center"/>
            <w:hideMark/>
          </w:tcPr>
          <w:p w14:paraId="35D91971"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BEP</w:t>
            </w:r>
          </w:p>
        </w:tc>
        <w:tc>
          <w:tcPr>
            <w:tcW w:w="3107" w:type="dxa"/>
            <w:tcBorders>
              <w:top w:val="nil"/>
              <w:left w:val="nil"/>
              <w:bottom w:val="nil"/>
              <w:right w:val="nil"/>
            </w:tcBorders>
            <w:noWrap/>
            <w:vAlign w:val="center"/>
            <w:hideMark/>
          </w:tcPr>
          <w:p w14:paraId="64B1C46A"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CVX</w:t>
            </w:r>
          </w:p>
        </w:tc>
        <w:tc>
          <w:tcPr>
            <w:tcW w:w="3107" w:type="dxa"/>
            <w:tcBorders>
              <w:top w:val="nil"/>
              <w:left w:val="nil"/>
              <w:bottom w:val="nil"/>
              <w:right w:val="nil"/>
            </w:tcBorders>
            <w:noWrap/>
            <w:vAlign w:val="center"/>
            <w:hideMark/>
          </w:tcPr>
          <w:p w14:paraId="12C8F179"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NVDA</w:t>
            </w:r>
          </w:p>
        </w:tc>
      </w:tr>
      <w:tr w:rsidR="006F6C21" w:rsidRPr="00A42090" w14:paraId="05629EDF" w14:textId="77777777" w:rsidTr="006F6C21">
        <w:trPr>
          <w:trHeight w:val="280"/>
        </w:trPr>
        <w:tc>
          <w:tcPr>
            <w:tcW w:w="3107" w:type="dxa"/>
            <w:tcBorders>
              <w:top w:val="nil"/>
              <w:left w:val="nil"/>
              <w:bottom w:val="nil"/>
              <w:right w:val="nil"/>
            </w:tcBorders>
            <w:noWrap/>
            <w:vAlign w:val="center"/>
            <w:hideMark/>
          </w:tcPr>
          <w:p w14:paraId="74922C1C"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CVS</w:t>
            </w:r>
          </w:p>
        </w:tc>
        <w:tc>
          <w:tcPr>
            <w:tcW w:w="3107" w:type="dxa"/>
            <w:tcBorders>
              <w:top w:val="nil"/>
              <w:left w:val="nil"/>
              <w:bottom w:val="nil"/>
              <w:right w:val="nil"/>
            </w:tcBorders>
            <w:noWrap/>
            <w:vAlign w:val="center"/>
            <w:hideMark/>
          </w:tcPr>
          <w:p w14:paraId="26B32862"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DJT</w:t>
            </w:r>
          </w:p>
        </w:tc>
        <w:tc>
          <w:tcPr>
            <w:tcW w:w="3107" w:type="dxa"/>
            <w:tcBorders>
              <w:top w:val="nil"/>
              <w:left w:val="nil"/>
              <w:bottom w:val="nil"/>
              <w:right w:val="nil"/>
            </w:tcBorders>
            <w:noWrap/>
            <w:vAlign w:val="center"/>
            <w:hideMark/>
          </w:tcPr>
          <w:p w14:paraId="4220F4F8"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72CAC62B" w14:textId="77777777" w:rsidTr="006F6C21">
        <w:trPr>
          <w:trHeight w:val="280"/>
        </w:trPr>
        <w:tc>
          <w:tcPr>
            <w:tcW w:w="3107" w:type="dxa"/>
            <w:tcBorders>
              <w:top w:val="nil"/>
              <w:left w:val="nil"/>
              <w:bottom w:val="nil"/>
              <w:right w:val="nil"/>
            </w:tcBorders>
            <w:noWrap/>
            <w:vAlign w:val="center"/>
            <w:hideMark/>
          </w:tcPr>
          <w:p w14:paraId="33757D25"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CWEN</w:t>
            </w:r>
          </w:p>
        </w:tc>
        <w:tc>
          <w:tcPr>
            <w:tcW w:w="3107" w:type="dxa"/>
            <w:tcBorders>
              <w:top w:val="nil"/>
              <w:left w:val="nil"/>
              <w:bottom w:val="nil"/>
              <w:right w:val="nil"/>
            </w:tcBorders>
            <w:noWrap/>
            <w:vAlign w:val="center"/>
            <w:hideMark/>
          </w:tcPr>
          <w:p w14:paraId="3D4ECDC2"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GD</w:t>
            </w:r>
          </w:p>
        </w:tc>
        <w:tc>
          <w:tcPr>
            <w:tcW w:w="3107" w:type="dxa"/>
            <w:tcBorders>
              <w:top w:val="nil"/>
              <w:left w:val="nil"/>
              <w:bottom w:val="nil"/>
              <w:right w:val="nil"/>
            </w:tcBorders>
            <w:noWrap/>
            <w:vAlign w:val="center"/>
            <w:hideMark/>
          </w:tcPr>
          <w:p w14:paraId="133852BD"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4C3CD616" w14:textId="77777777" w:rsidTr="006F6C21">
        <w:trPr>
          <w:trHeight w:val="280"/>
        </w:trPr>
        <w:tc>
          <w:tcPr>
            <w:tcW w:w="3107" w:type="dxa"/>
            <w:tcBorders>
              <w:top w:val="nil"/>
              <w:left w:val="nil"/>
              <w:bottom w:val="nil"/>
              <w:right w:val="nil"/>
            </w:tcBorders>
            <w:noWrap/>
            <w:vAlign w:val="center"/>
            <w:hideMark/>
          </w:tcPr>
          <w:p w14:paraId="68215196"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D</w:t>
            </w:r>
          </w:p>
        </w:tc>
        <w:tc>
          <w:tcPr>
            <w:tcW w:w="3107" w:type="dxa"/>
            <w:tcBorders>
              <w:top w:val="nil"/>
              <w:left w:val="nil"/>
              <w:bottom w:val="nil"/>
              <w:right w:val="nil"/>
            </w:tcBorders>
            <w:noWrap/>
            <w:vAlign w:val="center"/>
            <w:hideMark/>
          </w:tcPr>
          <w:p w14:paraId="6143CBF8"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LMT</w:t>
            </w:r>
          </w:p>
        </w:tc>
        <w:tc>
          <w:tcPr>
            <w:tcW w:w="3107" w:type="dxa"/>
            <w:tcBorders>
              <w:top w:val="nil"/>
              <w:left w:val="nil"/>
              <w:bottom w:val="nil"/>
              <w:right w:val="nil"/>
            </w:tcBorders>
            <w:noWrap/>
            <w:vAlign w:val="center"/>
            <w:hideMark/>
          </w:tcPr>
          <w:p w14:paraId="00F4D931"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1346D8C1" w14:textId="77777777" w:rsidTr="006F6C21">
        <w:trPr>
          <w:trHeight w:val="280"/>
        </w:trPr>
        <w:tc>
          <w:tcPr>
            <w:tcW w:w="3107" w:type="dxa"/>
            <w:tcBorders>
              <w:top w:val="nil"/>
              <w:left w:val="nil"/>
              <w:bottom w:val="nil"/>
              <w:right w:val="nil"/>
            </w:tcBorders>
            <w:noWrap/>
            <w:vAlign w:val="center"/>
            <w:hideMark/>
          </w:tcPr>
          <w:p w14:paraId="54EDE70E"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DUK</w:t>
            </w:r>
          </w:p>
        </w:tc>
        <w:tc>
          <w:tcPr>
            <w:tcW w:w="3107" w:type="dxa"/>
            <w:tcBorders>
              <w:top w:val="nil"/>
              <w:left w:val="nil"/>
              <w:bottom w:val="nil"/>
              <w:right w:val="nil"/>
            </w:tcBorders>
            <w:noWrap/>
            <w:vAlign w:val="center"/>
            <w:hideMark/>
          </w:tcPr>
          <w:p w14:paraId="45C5D9F4"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MARA</w:t>
            </w:r>
          </w:p>
        </w:tc>
        <w:tc>
          <w:tcPr>
            <w:tcW w:w="3107" w:type="dxa"/>
            <w:tcBorders>
              <w:top w:val="nil"/>
              <w:left w:val="nil"/>
              <w:bottom w:val="nil"/>
              <w:right w:val="nil"/>
            </w:tcBorders>
            <w:noWrap/>
            <w:vAlign w:val="center"/>
            <w:hideMark/>
          </w:tcPr>
          <w:p w14:paraId="5247459F"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6D4B7C34" w14:textId="77777777" w:rsidTr="006F6C21">
        <w:trPr>
          <w:trHeight w:val="280"/>
        </w:trPr>
        <w:tc>
          <w:tcPr>
            <w:tcW w:w="3107" w:type="dxa"/>
            <w:tcBorders>
              <w:top w:val="nil"/>
              <w:left w:val="nil"/>
              <w:bottom w:val="nil"/>
              <w:right w:val="nil"/>
            </w:tcBorders>
            <w:noWrap/>
            <w:vAlign w:val="center"/>
            <w:hideMark/>
          </w:tcPr>
          <w:p w14:paraId="1FF61E7C"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FSLR</w:t>
            </w:r>
          </w:p>
        </w:tc>
        <w:tc>
          <w:tcPr>
            <w:tcW w:w="3107" w:type="dxa"/>
            <w:tcBorders>
              <w:top w:val="nil"/>
              <w:left w:val="nil"/>
              <w:bottom w:val="nil"/>
              <w:right w:val="nil"/>
            </w:tcBorders>
            <w:noWrap/>
            <w:vAlign w:val="center"/>
            <w:hideMark/>
          </w:tcPr>
          <w:p w14:paraId="3FFC41A1"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RIOT</w:t>
            </w:r>
          </w:p>
        </w:tc>
        <w:tc>
          <w:tcPr>
            <w:tcW w:w="3107" w:type="dxa"/>
            <w:tcBorders>
              <w:top w:val="nil"/>
              <w:left w:val="nil"/>
              <w:bottom w:val="nil"/>
              <w:right w:val="nil"/>
            </w:tcBorders>
            <w:noWrap/>
            <w:vAlign w:val="center"/>
            <w:hideMark/>
          </w:tcPr>
          <w:p w14:paraId="4B6E9B60"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4CD0449C" w14:textId="77777777" w:rsidTr="006F6C21">
        <w:trPr>
          <w:trHeight w:val="280"/>
        </w:trPr>
        <w:tc>
          <w:tcPr>
            <w:tcW w:w="3107" w:type="dxa"/>
            <w:tcBorders>
              <w:top w:val="nil"/>
              <w:left w:val="nil"/>
              <w:bottom w:val="nil"/>
              <w:right w:val="nil"/>
            </w:tcBorders>
            <w:noWrap/>
            <w:vAlign w:val="center"/>
            <w:hideMark/>
          </w:tcPr>
          <w:p w14:paraId="03E8B7ED"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JNJ</w:t>
            </w:r>
          </w:p>
        </w:tc>
        <w:tc>
          <w:tcPr>
            <w:tcW w:w="3107" w:type="dxa"/>
            <w:tcBorders>
              <w:top w:val="nil"/>
              <w:left w:val="nil"/>
              <w:bottom w:val="nil"/>
              <w:right w:val="nil"/>
            </w:tcBorders>
            <w:noWrap/>
            <w:vAlign w:val="center"/>
            <w:hideMark/>
          </w:tcPr>
          <w:p w14:paraId="11E4BB45"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RTX</w:t>
            </w:r>
          </w:p>
        </w:tc>
        <w:tc>
          <w:tcPr>
            <w:tcW w:w="3107" w:type="dxa"/>
            <w:tcBorders>
              <w:top w:val="nil"/>
              <w:left w:val="nil"/>
              <w:bottom w:val="nil"/>
              <w:right w:val="nil"/>
            </w:tcBorders>
            <w:noWrap/>
            <w:vAlign w:val="center"/>
            <w:hideMark/>
          </w:tcPr>
          <w:p w14:paraId="0EF0F413"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6C08DA63" w14:textId="77777777" w:rsidTr="006F6C21">
        <w:trPr>
          <w:trHeight w:val="280"/>
        </w:trPr>
        <w:tc>
          <w:tcPr>
            <w:tcW w:w="3107" w:type="dxa"/>
            <w:tcBorders>
              <w:top w:val="nil"/>
              <w:left w:val="nil"/>
              <w:bottom w:val="nil"/>
              <w:right w:val="nil"/>
            </w:tcBorders>
            <w:noWrap/>
            <w:vAlign w:val="center"/>
            <w:hideMark/>
          </w:tcPr>
          <w:p w14:paraId="6CE4E7FD"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NEE</w:t>
            </w:r>
          </w:p>
        </w:tc>
        <w:tc>
          <w:tcPr>
            <w:tcW w:w="3107" w:type="dxa"/>
            <w:tcBorders>
              <w:top w:val="nil"/>
              <w:left w:val="nil"/>
              <w:bottom w:val="nil"/>
              <w:right w:val="nil"/>
            </w:tcBorders>
            <w:noWrap/>
            <w:vAlign w:val="center"/>
            <w:hideMark/>
          </w:tcPr>
          <w:p w14:paraId="24A4D484"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TSLA</w:t>
            </w:r>
          </w:p>
        </w:tc>
        <w:tc>
          <w:tcPr>
            <w:tcW w:w="3107" w:type="dxa"/>
            <w:tcBorders>
              <w:top w:val="nil"/>
              <w:left w:val="nil"/>
              <w:bottom w:val="nil"/>
              <w:right w:val="nil"/>
            </w:tcBorders>
            <w:noWrap/>
            <w:vAlign w:val="center"/>
            <w:hideMark/>
          </w:tcPr>
          <w:p w14:paraId="62798C51"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5F2B13A3" w14:textId="77777777" w:rsidTr="006F6C21">
        <w:trPr>
          <w:trHeight w:val="280"/>
        </w:trPr>
        <w:tc>
          <w:tcPr>
            <w:tcW w:w="3107" w:type="dxa"/>
            <w:tcBorders>
              <w:top w:val="nil"/>
              <w:left w:val="nil"/>
              <w:bottom w:val="nil"/>
              <w:right w:val="nil"/>
            </w:tcBorders>
            <w:noWrap/>
            <w:vAlign w:val="center"/>
            <w:hideMark/>
          </w:tcPr>
          <w:p w14:paraId="2AAEF570"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PFE</w:t>
            </w:r>
          </w:p>
        </w:tc>
        <w:tc>
          <w:tcPr>
            <w:tcW w:w="3107" w:type="dxa"/>
            <w:tcBorders>
              <w:top w:val="nil"/>
              <w:left w:val="nil"/>
              <w:bottom w:val="nil"/>
              <w:right w:val="nil"/>
            </w:tcBorders>
            <w:noWrap/>
            <w:vAlign w:val="center"/>
            <w:hideMark/>
          </w:tcPr>
          <w:p w14:paraId="150A8BB4"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XOM</w:t>
            </w:r>
          </w:p>
        </w:tc>
        <w:tc>
          <w:tcPr>
            <w:tcW w:w="3107" w:type="dxa"/>
            <w:tcBorders>
              <w:top w:val="nil"/>
              <w:left w:val="nil"/>
              <w:bottom w:val="nil"/>
              <w:right w:val="nil"/>
            </w:tcBorders>
            <w:noWrap/>
            <w:vAlign w:val="center"/>
            <w:hideMark/>
          </w:tcPr>
          <w:p w14:paraId="509E2CD7" w14:textId="77777777" w:rsidR="006F6C21" w:rsidRPr="00A42090" w:rsidRDefault="006F6C21" w:rsidP="006F6C21">
            <w:pPr>
              <w:spacing w:before="0" w:after="0"/>
              <w:jc w:val="center"/>
              <w:rPr>
                <w:rFonts w:eastAsia="Times New Roman" w:cs="Times New Roman"/>
                <w:color w:val="000000"/>
                <w:kern w:val="0"/>
                <w14:ligatures w14:val="none"/>
              </w:rPr>
            </w:pPr>
          </w:p>
        </w:tc>
      </w:tr>
      <w:tr w:rsidR="006F6C21" w:rsidRPr="00A42090" w14:paraId="0416FF51" w14:textId="77777777" w:rsidTr="006F6C21">
        <w:trPr>
          <w:trHeight w:val="280"/>
        </w:trPr>
        <w:tc>
          <w:tcPr>
            <w:tcW w:w="3107" w:type="dxa"/>
            <w:tcBorders>
              <w:top w:val="nil"/>
              <w:left w:val="nil"/>
              <w:right w:val="nil"/>
            </w:tcBorders>
            <w:noWrap/>
            <w:vAlign w:val="center"/>
            <w:hideMark/>
          </w:tcPr>
          <w:p w14:paraId="129D44C3"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PLUG</w:t>
            </w:r>
          </w:p>
        </w:tc>
        <w:tc>
          <w:tcPr>
            <w:tcW w:w="3107" w:type="dxa"/>
            <w:tcBorders>
              <w:top w:val="nil"/>
              <w:left w:val="nil"/>
              <w:right w:val="nil"/>
            </w:tcBorders>
            <w:noWrap/>
            <w:vAlign w:val="center"/>
            <w:hideMark/>
          </w:tcPr>
          <w:p w14:paraId="36639993" w14:textId="77777777" w:rsidR="006F6C21" w:rsidRPr="00A42090" w:rsidRDefault="006F6C21" w:rsidP="006F6C21">
            <w:pPr>
              <w:spacing w:before="0" w:after="0"/>
              <w:jc w:val="center"/>
              <w:rPr>
                <w:rFonts w:eastAsia="Times New Roman" w:cs="Times New Roman"/>
                <w:color w:val="000000"/>
                <w:kern w:val="0"/>
                <w14:ligatures w14:val="none"/>
              </w:rPr>
            </w:pPr>
          </w:p>
        </w:tc>
        <w:tc>
          <w:tcPr>
            <w:tcW w:w="3107" w:type="dxa"/>
            <w:tcBorders>
              <w:top w:val="nil"/>
              <w:left w:val="nil"/>
              <w:right w:val="nil"/>
            </w:tcBorders>
            <w:noWrap/>
            <w:vAlign w:val="center"/>
            <w:hideMark/>
          </w:tcPr>
          <w:p w14:paraId="260760BD" w14:textId="77777777" w:rsidR="006F6C21" w:rsidRPr="00A42090" w:rsidRDefault="006F6C21" w:rsidP="006F6C21">
            <w:pPr>
              <w:spacing w:before="0" w:after="0"/>
              <w:jc w:val="center"/>
              <w:rPr>
                <w:rFonts w:eastAsia="Times New Roman" w:cs="Times New Roman"/>
                <w:kern w:val="0"/>
                <w14:ligatures w14:val="none"/>
              </w:rPr>
            </w:pPr>
          </w:p>
        </w:tc>
      </w:tr>
      <w:tr w:rsidR="006F6C21" w:rsidRPr="00A42090" w14:paraId="7E98FDC1" w14:textId="77777777" w:rsidTr="006F6C21">
        <w:trPr>
          <w:trHeight w:val="280"/>
        </w:trPr>
        <w:tc>
          <w:tcPr>
            <w:tcW w:w="3107" w:type="dxa"/>
            <w:tcBorders>
              <w:top w:val="nil"/>
              <w:left w:val="nil"/>
              <w:bottom w:val="double" w:sz="4" w:space="0" w:color="auto"/>
              <w:right w:val="nil"/>
            </w:tcBorders>
            <w:noWrap/>
            <w:vAlign w:val="center"/>
            <w:hideMark/>
          </w:tcPr>
          <w:p w14:paraId="014D72F0" w14:textId="77777777" w:rsidR="006F6C21" w:rsidRPr="00A42090" w:rsidRDefault="006F6C21" w:rsidP="006F6C21">
            <w:pPr>
              <w:spacing w:before="0" w:after="0"/>
              <w:jc w:val="center"/>
              <w:rPr>
                <w:rFonts w:eastAsia="Times New Roman" w:cs="Times New Roman"/>
                <w:color w:val="000000"/>
                <w:kern w:val="0"/>
                <w14:ligatures w14:val="none"/>
              </w:rPr>
            </w:pPr>
            <w:r w:rsidRPr="00A42090">
              <w:rPr>
                <w:rFonts w:eastAsia="Times New Roman" w:cs="Times New Roman"/>
                <w:color w:val="000000"/>
                <w:kern w:val="0"/>
                <w14:ligatures w14:val="none"/>
              </w:rPr>
              <w:t>UNH</w:t>
            </w:r>
          </w:p>
        </w:tc>
        <w:tc>
          <w:tcPr>
            <w:tcW w:w="3107" w:type="dxa"/>
            <w:tcBorders>
              <w:top w:val="nil"/>
              <w:left w:val="nil"/>
              <w:bottom w:val="double" w:sz="4" w:space="0" w:color="auto"/>
              <w:right w:val="nil"/>
            </w:tcBorders>
            <w:noWrap/>
            <w:vAlign w:val="center"/>
            <w:hideMark/>
          </w:tcPr>
          <w:p w14:paraId="133F109F" w14:textId="77777777" w:rsidR="006F6C21" w:rsidRPr="00A42090" w:rsidRDefault="006F6C21" w:rsidP="006F6C21">
            <w:pPr>
              <w:spacing w:before="0" w:after="0"/>
              <w:jc w:val="center"/>
              <w:rPr>
                <w:rFonts w:eastAsia="Times New Roman" w:cs="Times New Roman"/>
                <w:color w:val="000000"/>
                <w:kern w:val="0"/>
                <w14:ligatures w14:val="none"/>
              </w:rPr>
            </w:pPr>
          </w:p>
        </w:tc>
        <w:tc>
          <w:tcPr>
            <w:tcW w:w="3107" w:type="dxa"/>
            <w:tcBorders>
              <w:top w:val="nil"/>
              <w:left w:val="nil"/>
              <w:bottom w:val="double" w:sz="4" w:space="0" w:color="auto"/>
              <w:right w:val="nil"/>
            </w:tcBorders>
            <w:noWrap/>
            <w:vAlign w:val="center"/>
            <w:hideMark/>
          </w:tcPr>
          <w:p w14:paraId="756D5669" w14:textId="77777777" w:rsidR="006F6C21" w:rsidRPr="00A42090" w:rsidRDefault="006F6C21" w:rsidP="00E7062A">
            <w:pPr>
              <w:keepNext/>
              <w:spacing w:before="0" w:after="0"/>
              <w:jc w:val="center"/>
              <w:rPr>
                <w:rFonts w:eastAsia="Times New Roman" w:cs="Times New Roman"/>
                <w:kern w:val="0"/>
                <w14:ligatures w14:val="none"/>
              </w:rPr>
            </w:pPr>
          </w:p>
        </w:tc>
      </w:tr>
    </w:tbl>
    <w:p w14:paraId="486E5C97" w14:textId="03473257" w:rsidR="00E7062A" w:rsidRDefault="00E7062A">
      <w:pPr>
        <w:pStyle w:val="Kpalrs"/>
      </w:pPr>
      <w:r w:rsidRPr="00E7062A">
        <w:rPr>
          <w:color w:val="auto"/>
        </w:rPr>
        <w:fldChar w:fldCharType="begin"/>
      </w:r>
      <w:r w:rsidRPr="00E7062A">
        <w:rPr>
          <w:color w:val="auto"/>
        </w:rPr>
        <w:instrText xml:space="preserve"> SEQ táblázat \* ARABIC </w:instrText>
      </w:r>
      <w:r w:rsidRPr="00E7062A">
        <w:rPr>
          <w:color w:val="auto"/>
        </w:rPr>
        <w:fldChar w:fldCharType="separate"/>
      </w:r>
      <w:bookmarkStart w:id="26" w:name="_Toc218075171"/>
      <w:r w:rsidRPr="00E7062A">
        <w:rPr>
          <w:noProof/>
          <w:color w:val="auto"/>
        </w:rPr>
        <w:t>4</w:t>
      </w:r>
      <w:r w:rsidRPr="00E7062A">
        <w:rPr>
          <w:color w:val="auto"/>
        </w:rPr>
        <w:fldChar w:fldCharType="end"/>
      </w:r>
      <w:r w:rsidRPr="00E7062A">
        <w:rPr>
          <w:color w:val="auto"/>
        </w:rPr>
        <w:t xml:space="preserve">. </w:t>
      </w:r>
      <w:proofErr w:type="spellStart"/>
      <w:r w:rsidRPr="00E7062A">
        <w:rPr>
          <w:color w:val="auto"/>
        </w:rPr>
        <w:t>táblázat</w:t>
      </w:r>
      <w:proofErr w:type="spellEnd"/>
      <w:r w:rsidRPr="00E7062A">
        <w:rPr>
          <w:color w:val="auto"/>
        </w:rPr>
        <w:t xml:space="preserve">: Az </w:t>
      </w:r>
      <w:proofErr w:type="spellStart"/>
      <w:r w:rsidRPr="00E7062A">
        <w:rPr>
          <w:color w:val="auto"/>
        </w:rPr>
        <w:t>elemzés</w:t>
      </w:r>
      <w:proofErr w:type="spellEnd"/>
      <w:r w:rsidRPr="00E7062A">
        <w:rPr>
          <w:color w:val="auto"/>
        </w:rPr>
        <w:t xml:space="preserve"> </w:t>
      </w:r>
      <w:proofErr w:type="spellStart"/>
      <w:r w:rsidRPr="00E7062A">
        <w:rPr>
          <w:color w:val="auto"/>
        </w:rPr>
        <w:t>során</w:t>
      </w:r>
      <w:proofErr w:type="spellEnd"/>
      <w:r w:rsidRPr="00E7062A">
        <w:rPr>
          <w:color w:val="auto"/>
        </w:rPr>
        <w:t xml:space="preserve"> </w:t>
      </w:r>
      <w:proofErr w:type="spellStart"/>
      <w:r w:rsidRPr="00E7062A">
        <w:rPr>
          <w:color w:val="auto"/>
        </w:rPr>
        <w:t>használt</w:t>
      </w:r>
      <w:proofErr w:type="spellEnd"/>
      <w:r w:rsidRPr="00E7062A">
        <w:rPr>
          <w:color w:val="auto"/>
        </w:rPr>
        <w:t xml:space="preserve"> </w:t>
      </w:r>
      <w:proofErr w:type="spellStart"/>
      <w:r w:rsidRPr="00E7062A">
        <w:rPr>
          <w:color w:val="auto"/>
        </w:rPr>
        <w:t>részvények</w:t>
      </w:r>
      <w:proofErr w:type="spellEnd"/>
      <w:r w:rsidRPr="00E7062A">
        <w:rPr>
          <w:color w:val="auto"/>
        </w:rPr>
        <w:t xml:space="preserve"> </w:t>
      </w:r>
      <w:proofErr w:type="spellStart"/>
      <w:r w:rsidRPr="00E7062A">
        <w:rPr>
          <w:color w:val="auto"/>
        </w:rPr>
        <w:t>csoportosítása</w:t>
      </w:r>
      <w:proofErr w:type="spellEnd"/>
      <w:r w:rsidRPr="00E7062A">
        <w:rPr>
          <w:color w:val="auto"/>
        </w:rPr>
        <w:t>.</w:t>
      </w:r>
      <w:bookmarkEnd w:id="26"/>
    </w:p>
    <w:p w14:paraId="64AA11EA" w14:textId="77777777" w:rsidR="006F6C21" w:rsidRPr="00A42090" w:rsidRDefault="006F6C21">
      <w:pPr>
        <w:spacing w:before="0" w:after="160" w:line="278" w:lineRule="auto"/>
        <w:jc w:val="left"/>
        <w:rPr>
          <w:rFonts w:eastAsiaTheme="majorEastAsia" w:cs="Times New Roman"/>
          <w:b/>
          <w:sz w:val="32"/>
          <w:szCs w:val="40"/>
          <w:lang w:val="hu-HU"/>
        </w:rPr>
      </w:pPr>
      <w:r w:rsidRPr="00A42090">
        <w:rPr>
          <w:rFonts w:cs="Times New Roman"/>
          <w:lang w:val="hu-HU"/>
        </w:rPr>
        <w:br w:type="page"/>
      </w:r>
    </w:p>
    <w:p w14:paraId="32C27C9D" w14:textId="2ADC68B8" w:rsidR="00CA37F9" w:rsidRPr="00A42090" w:rsidRDefault="00CA37F9" w:rsidP="00BD071C">
      <w:pPr>
        <w:pStyle w:val="Cmsor1"/>
        <w:spacing w:before="0"/>
        <w:rPr>
          <w:rFonts w:cs="Times New Roman"/>
          <w:lang w:val="hu-HU"/>
        </w:rPr>
      </w:pPr>
      <w:bookmarkStart w:id="27" w:name="_Toc218075162"/>
      <w:r w:rsidRPr="00A42090">
        <w:rPr>
          <w:rFonts w:cs="Times New Roman"/>
          <w:lang w:val="hu-HU"/>
        </w:rPr>
        <w:lastRenderedPageBreak/>
        <w:t>Irodalomjegyzék</w:t>
      </w:r>
      <w:bookmarkEnd w:id="27"/>
    </w:p>
    <w:p w14:paraId="5D31BA8B"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 xml:space="preserve">Ahmed, F., </w:t>
      </w:r>
      <w:proofErr w:type="spellStart"/>
      <w:r w:rsidRPr="00A42090">
        <w:rPr>
          <w:rFonts w:cs="Times New Roman"/>
        </w:rPr>
        <w:t>Bahoo</w:t>
      </w:r>
      <w:proofErr w:type="spellEnd"/>
      <w:r w:rsidRPr="00A42090">
        <w:rPr>
          <w:rFonts w:cs="Times New Roman"/>
        </w:rPr>
        <w:t xml:space="preserve">, S., Aslam, S., &amp; Qureshi, M. A. (2020). Meta-analysis on American presidential election-2016 and </w:t>
      </w:r>
      <w:proofErr w:type="spellStart"/>
      <w:r w:rsidRPr="00A42090">
        <w:rPr>
          <w:rFonts w:cs="Times New Roman"/>
        </w:rPr>
        <w:t>american</w:t>
      </w:r>
      <w:proofErr w:type="spellEnd"/>
      <w:r w:rsidRPr="00A42090">
        <w:rPr>
          <w:rFonts w:cs="Times New Roman"/>
        </w:rPr>
        <w:t xml:space="preserve"> stock market. </w:t>
      </w:r>
      <w:r w:rsidRPr="00A42090">
        <w:rPr>
          <w:rFonts w:cs="Times New Roman"/>
          <w:i/>
          <w:iCs/>
        </w:rPr>
        <w:t>Studies of Applied Economics</w:t>
      </w:r>
      <w:r w:rsidRPr="00A42090">
        <w:rPr>
          <w:rFonts w:cs="Times New Roman"/>
        </w:rPr>
        <w:t>, </w:t>
      </w:r>
      <w:r w:rsidRPr="00A42090">
        <w:rPr>
          <w:rFonts w:cs="Times New Roman"/>
          <w:i/>
          <w:iCs/>
        </w:rPr>
        <w:t>38</w:t>
      </w:r>
      <w:r w:rsidRPr="00A42090">
        <w:rPr>
          <w:rFonts w:cs="Times New Roman"/>
        </w:rPr>
        <w:t>(1).</w:t>
      </w:r>
    </w:p>
    <w:p w14:paraId="57CE42F5"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Amburgey, A. J. (2025). How Election Shocks Impact Markets: Evidence from Sectoral Stock Prices. </w:t>
      </w:r>
      <w:proofErr w:type="spellStart"/>
      <w:r w:rsidRPr="00A42090">
        <w:rPr>
          <w:rFonts w:cs="Times New Roman"/>
          <w:i/>
          <w:iCs/>
        </w:rPr>
        <w:t>arXiv</w:t>
      </w:r>
      <w:proofErr w:type="spellEnd"/>
      <w:r w:rsidRPr="00A42090">
        <w:rPr>
          <w:rFonts w:cs="Times New Roman"/>
          <w:i/>
          <w:iCs/>
        </w:rPr>
        <w:t xml:space="preserve"> preprint arXiv:2504.02731</w:t>
      </w:r>
      <w:r w:rsidRPr="00A42090">
        <w:rPr>
          <w:rFonts w:cs="Times New Roman"/>
        </w:rPr>
        <w:t>.</w:t>
      </w:r>
    </w:p>
    <w:p w14:paraId="1EEB9064"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Baker, S. R., Bloom, N., &amp; Davis, S. J. (2016). Measuring economic policy uncertainty. </w:t>
      </w:r>
      <w:r w:rsidRPr="00A42090">
        <w:rPr>
          <w:rFonts w:cs="Times New Roman"/>
          <w:i/>
          <w:iCs/>
        </w:rPr>
        <w:t>The quarterly journal of economics</w:t>
      </w:r>
      <w:r w:rsidRPr="00A42090">
        <w:rPr>
          <w:rFonts w:cs="Times New Roman"/>
        </w:rPr>
        <w:t>, </w:t>
      </w:r>
      <w:r w:rsidRPr="00A42090">
        <w:rPr>
          <w:rFonts w:cs="Times New Roman"/>
          <w:i/>
          <w:iCs/>
        </w:rPr>
        <w:t>131</w:t>
      </w:r>
      <w:r w:rsidRPr="00A42090">
        <w:rPr>
          <w:rFonts w:cs="Times New Roman"/>
        </w:rPr>
        <w:t>(4), 1593-1636.</w:t>
      </w:r>
    </w:p>
    <w:p w14:paraId="4E0F0892"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 xml:space="preserve">Beaulieu, M. C., Cosset, J. C., &amp; </w:t>
      </w:r>
      <w:proofErr w:type="spellStart"/>
      <w:r w:rsidRPr="00A42090">
        <w:rPr>
          <w:rFonts w:cs="Times New Roman"/>
        </w:rPr>
        <w:t>Essaddam</w:t>
      </w:r>
      <w:proofErr w:type="spellEnd"/>
      <w:r w:rsidRPr="00A42090">
        <w:rPr>
          <w:rFonts w:cs="Times New Roman"/>
        </w:rPr>
        <w:t>, N. (2006). Political uncertainty and stock market returns: evidence from the 1995 Quebec referendum. </w:t>
      </w:r>
      <w:r w:rsidRPr="00A42090">
        <w:rPr>
          <w:rFonts w:cs="Times New Roman"/>
          <w:i/>
          <w:iCs/>
        </w:rPr>
        <w:t xml:space="preserve">Canadian Journal of Economics/Revue canadienne </w:t>
      </w:r>
      <w:proofErr w:type="spellStart"/>
      <w:r w:rsidRPr="00A42090">
        <w:rPr>
          <w:rFonts w:cs="Times New Roman"/>
          <w:i/>
          <w:iCs/>
        </w:rPr>
        <w:t>d'économique</w:t>
      </w:r>
      <w:proofErr w:type="spellEnd"/>
      <w:r w:rsidRPr="00A42090">
        <w:rPr>
          <w:rFonts w:cs="Times New Roman"/>
        </w:rPr>
        <w:t>, </w:t>
      </w:r>
      <w:r w:rsidRPr="00A42090">
        <w:rPr>
          <w:rFonts w:cs="Times New Roman"/>
          <w:i/>
          <w:iCs/>
        </w:rPr>
        <w:t>39</w:t>
      </w:r>
      <w:r w:rsidRPr="00A42090">
        <w:rPr>
          <w:rFonts w:cs="Times New Roman"/>
        </w:rPr>
        <w:t>(2), 621-642.</w:t>
      </w:r>
    </w:p>
    <w:p w14:paraId="31C8A461"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Białkowski, J., Gottschalk, K., &amp; Wisniewski, T. P. (2008). Stock market volatility around national elections. </w:t>
      </w:r>
      <w:r w:rsidRPr="00A42090">
        <w:rPr>
          <w:rFonts w:cs="Times New Roman"/>
          <w:i/>
          <w:iCs/>
        </w:rPr>
        <w:t>Journal of banking &amp; finance</w:t>
      </w:r>
      <w:r w:rsidRPr="00A42090">
        <w:rPr>
          <w:rFonts w:cs="Times New Roman"/>
        </w:rPr>
        <w:t>, </w:t>
      </w:r>
      <w:r w:rsidRPr="00A42090">
        <w:rPr>
          <w:rFonts w:cs="Times New Roman"/>
          <w:i/>
          <w:iCs/>
        </w:rPr>
        <w:t>32</w:t>
      </w:r>
      <w:r w:rsidRPr="00A42090">
        <w:rPr>
          <w:rFonts w:cs="Times New Roman"/>
        </w:rPr>
        <w:t>(9), 1941-1953.</w:t>
      </w:r>
    </w:p>
    <w:p w14:paraId="7956E0D2"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Blanchard, O., Collins, C. G., Jahan-Parvar, M. R., Pellet, T., &amp; Wilson, B. A. (2018). A year of rising dangerously? The US stock market performance in the aftermath of the presidential election. </w:t>
      </w:r>
      <w:r w:rsidRPr="00A42090">
        <w:rPr>
          <w:rFonts w:cs="Times New Roman"/>
          <w:i/>
          <w:iCs/>
        </w:rPr>
        <w:t>Journal of Policy Modeling</w:t>
      </w:r>
      <w:r w:rsidRPr="00A42090">
        <w:rPr>
          <w:rFonts w:cs="Times New Roman"/>
        </w:rPr>
        <w:t>, </w:t>
      </w:r>
      <w:r w:rsidRPr="00A42090">
        <w:rPr>
          <w:rFonts w:cs="Times New Roman"/>
          <w:i/>
          <w:iCs/>
        </w:rPr>
        <w:t>40</w:t>
      </w:r>
      <w:r w:rsidRPr="00A42090">
        <w:rPr>
          <w:rFonts w:cs="Times New Roman"/>
        </w:rPr>
        <w:t>(3), 489-502.</w:t>
      </w:r>
    </w:p>
    <w:p w14:paraId="14FBD25A" w14:textId="77777777" w:rsidR="00DD3B2D" w:rsidRPr="00A42090" w:rsidRDefault="00DD3B2D" w:rsidP="00DD3B2D">
      <w:pPr>
        <w:pStyle w:val="Listaszerbekezds"/>
        <w:numPr>
          <w:ilvl w:val="0"/>
          <w:numId w:val="4"/>
        </w:numPr>
        <w:spacing w:before="0" w:after="0"/>
        <w:rPr>
          <w:rFonts w:cs="Times New Roman"/>
        </w:rPr>
      </w:pPr>
      <w:proofErr w:type="spellStart"/>
      <w:r w:rsidRPr="00A42090">
        <w:rPr>
          <w:rFonts w:cs="Times New Roman"/>
        </w:rPr>
        <w:t>Bouoiyour</w:t>
      </w:r>
      <w:proofErr w:type="spellEnd"/>
      <w:r w:rsidRPr="00A42090">
        <w:rPr>
          <w:rFonts w:cs="Times New Roman"/>
        </w:rPr>
        <w:t>, J., &amp; Selmi, R. (2016). The price of political uncertainty: Evidence from the 2016 US presidential election and the US stock markets. </w:t>
      </w:r>
      <w:proofErr w:type="spellStart"/>
      <w:r w:rsidRPr="00A42090">
        <w:rPr>
          <w:rFonts w:cs="Times New Roman"/>
          <w:i/>
          <w:iCs/>
        </w:rPr>
        <w:t>arXiv</w:t>
      </w:r>
      <w:proofErr w:type="spellEnd"/>
      <w:r w:rsidRPr="00A42090">
        <w:rPr>
          <w:rFonts w:cs="Times New Roman"/>
          <w:i/>
          <w:iCs/>
        </w:rPr>
        <w:t xml:space="preserve"> preprint arXiv:1612.06200</w:t>
      </w:r>
      <w:r w:rsidRPr="00A42090">
        <w:rPr>
          <w:rFonts w:cs="Times New Roman"/>
        </w:rPr>
        <w:t>.</w:t>
      </w:r>
    </w:p>
    <w:p w14:paraId="1BC17621"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Brown, S. J., &amp; Warner, J. B. (1985). Using daily stock returns: The case of event studies. </w:t>
      </w:r>
      <w:r w:rsidRPr="00A42090">
        <w:rPr>
          <w:rFonts w:cs="Times New Roman"/>
          <w:i/>
          <w:iCs/>
        </w:rPr>
        <w:t xml:space="preserve">Journal of </w:t>
      </w:r>
      <w:proofErr w:type="gramStart"/>
      <w:r w:rsidRPr="00A42090">
        <w:rPr>
          <w:rFonts w:cs="Times New Roman"/>
          <w:i/>
          <w:iCs/>
        </w:rPr>
        <w:t>financial economics</w:t>
      </w:r>
      <w:proofErr w:type="gramEnd"/>
      <w:r w:rsidRPr="00A42090">
        <w:rPr>
          <w:rFonts w:cs="Times New Roman"/>
        </w:rPr>
        <w:t>, </w:t>
      </w:r>
      <w:r w:rsidRPr="00A42090">
        <w:rPr>
          <w:rFonts w:cs="Times New Roman"/>
          <w:i/>
          <w:iCs/>
        </w:rPr>
        <w:t>14</w:t>
      </w:r>
      <w:r w:rsidRPr="00A42090">
        <w:rPr>
          <w:rFonts w:cs="Times New Roman"/>
        </w:rPr>
        <w:t>(1), 3-31.</w:t>
      </w:r>
    </w:p>
    <w:p w14:paraId="67DD82A3"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Chau, F., Deesomsak, R., &amp; Wang, J. (2014). Political uncertainty and stock market volatility in the Middle East and North African (MENA) countries. </w:t>
      </w:r>
      <w:r w:rsidRPr="00A42090">
        <w:rPr>
          <w:rFonts w:cs="Times New Roman"/>
          <w:i/>
          <w:iCs/>
        </w:rPr>
        <w:t>Journal of International Financial Markets, Institutions and Money</w:t>
      </w:r>
      <w:r w:rsidRPr="00A42090">
        <w:rPr>
          <w:rFonts w:cs="Times New Roman"/>
        </w:rPr>
        <w:t>, </w:t>
      </w:r>
      <w:r w:rsidRPr="00A42090">
        <w:rPr>
          <w:rFonts w:cs="Times New Roman"/>
          <w:i/>
          <w:iCs/>
        </w:rPr>
        <w:t>28</w:t>
      </w:r>
      <w:r w:rsidRPr="00A42090">
        <w:rPr>
          <w:rFonts w:cs="Times New Roman"/>
        </w:rPr>
        <w:t>, 1-19.</w:t>
      </w:r>
    </w:p>
    <w:p w14:paraId="37E99F53"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lastRenderedPageBreak/>
        <w:t>Chavali, K., Mohammad, A. L. A. M., &amp; Rosario, S. (2020). Stock market response to elections: An event study method. </w:t>
      </w:r>
      <w:r w:rsidRPr="00A42090">
        <w:rPr>
          <w:rFonts w:cs="Times New Roman"/>
          <w:i/>
          <w:iCs/>
        </w:rPr>
        <w:t xml:space="preserve">the Journal of </w:t>
      </w:r>
      <w:proofErr w:type="spellStart"/>
      <w:r w:rsidRPr="00A42090">
        <w:rPr>
          <w:rFonts w:cs="Times New Roman"/>
          <w:i/>
          <w:iCs/>
        </w:rPr>
        <w:t>asian</w:t>
      </w:r>
      <w:proofErr w:type="spellEnd"/>
      <w:r w:rsidRPr="00A42090">
        <w:rPr>
          <w:rFonts w:cs="Times New Roman"/>
          <w:i/>
          <w:iCs/>
        </w:rPr>
        <w:t xml:space="preserve"> finance, economics and business</w:t>
      </w:r>
      <w:r w:rsidRPr="00A42090">
        <w:rPr>
          <w:rFonts w:cs="Times New Roman"/>
        </w:rPr>
        <w:t>, </w:t>
      </w:r>
      <w:r w:rsidRPr="00A42090">
        <w:rPr>
          <w:rFonts w:cs="Times New Roman"/>
          <w:i/>
          <w:iCs/>
        </w:rPr>
        <w:t>7</w:t>
      </w:r>
      <w:r w:rsidRPr="00A42090">
        <w:rPr>
          <w:rFonts w:cs="Times New Roman"/>
        </w:rPr>
        <w:t>(5), 9-18.</w:t>
      </w:r>
    </w:p>
    <w:p w14:paraId="18921383"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Chien, W. W., Mayer, R., &amp; Wang, Z. (2016). Stock market, economic performance, and presidential elections. </w:t>
      </w:r>
      <w:r w:rsidRPr="00A42090">
        <w:rPr>
          <w:rFonts w:cs="Times New Roman"/>
          <w:i/>
          <w:iCs/>
        </w:rPr>
        <w:t>Journal of Business &amp; Economics Research</w:t>
      </w:r>
      <w:r w:rsidRPr="00A42090">
        <w:rPr>
          <w:rFonts w:cs="Times New Roman"/>
        </w:rPr>
        <w:t>.</w:t>
      </w:r>
    </w:p>
    <w:p w14:paraId="370352B2" w14:textId="77777777" w:rsidR="00DD3B2D" w:rsidRPr="00A42090" w:rsidRDefault="00DD3B2D" w:rsidP="00DD3B2D">
      <w:pPr>
        <w:pStyle w:val="Listaszerbekezds"/>
        <w:numPr>
          <w:ilvl w:val="0"/>
          <w:numId w:val="4"/>
        </w:numPr>
        <w:spacing w:before="0" w:after="0"/>
        <w:rPr>
          <w:rFonts w:cs="Times New Roman"/>
        </w:rPr>
      </w:pPr>
      <w:proofErr w:type="spellStart"/>
      <w:r w:rsidRPr="00A42090">
        <w:rPr>
          <w:rFonts w:cs="Times New Roman"/>
        </w:rPr>
        <w:t>Diaconaşu</w:t>
      </w:r>
      <w:proofErr w:type="spellEnd"/>
      <w:r w:rsidRPr="00A42090">
        <w:rPr>
          <w:rFonts w:cs="Times New Roman"/>
        </w:rPr>
        <w:t xml:space="preserve">, D., </w:t>
      </w:r>
      <w:proofErr w:type="spellStart"/>
      <w:r w:rsidRPr="00A42090">
        <w:rPr>
          <w:rFonts w:cs="Times New Roman"/>
        </w:rPr>
        <w:t>Mehdian</w:t>
      </w:r>
      <w:proofErr w:type="spellEnd"/>
      <w:r w:rsidRPr="00A42090">
        <w:rPr>
          <w:rFonts w:cs="Times New Roman"/>
        </w:rPr>
        <w:t>, S., &amp; Stoica, O. (2023). The global stock market reactions to the 2016 US presidential election. </w:t>
      </w:r>
      <w:r w:rsidRPr="00A42090">
        <w:rPr>
          <w:rFonts w:cs="Times New Roman"/>
          <w:i/>
          <w:iCs/>
        </w:rPr>
        <w:t>Sage Open</w:t>
      </w:r>
      <w:r w:rsidRPr="00A42090">
        <w:rPr>
          <w:rFonts w:cs="Times New Roman"/>
        </w:rPr>
        <w:t>, </w:t>
      </w:r>
      <w:r w:rsidRPr="00A42090">
        <w:rPr>
          <w:rFonts w:cs="Times New Roman"/>
          <w:i/>
          <w:iCs/>
        </w:rPr>
        <w:t>13</w:t>
      </w:r>
      <w:r w:rsidRPr="00A42090">
        <w:rPr>
          <w:rFonts w:cs="Times New Roman"/>
        </w:rPr>
        <w:t>(2), 21582440231181352.</w:t>
      </w:r>
    </w:p>
    <w:p w14:paraId="6562E140" w14:textId="77777777" w:rsidR="00D404DF" w:rsidRPr="00A42090" w:rsidRDefault="00D404DF" w:rsidP="00D404DF">
      <w:pPr>
        <w:pStyle w:val="Listaszerbekezds"/>
        <w:numPr>
          <w:ilvl w:val="0"/>
          <w:numId w:val="4"/>
        </w:numPr>
        <w:spacing w:after="80"/>
        <w:rPr>
          <w:rFonts w:cs="Times New Roman"/>
          <w:lang w:val="hu-HU"/>
        </w:rPr>
      </w:pPr>
      <w:r w:rsidRPr="00A42090">
        <w:rPr>
          <w:rFonts w:cs="Times New Roman"/>
        </w:rPr>
        <w:t xml:space="preserve">Fama, E. F., &amp; French, K. R. (1993). Common risk factors in the returns on stocks and bonds. </w:t>
      </w:r>
      <w:r w:rsidRPr="00A42090">
        <w:rPr>
          <w:rFonts w:cs="Times New Roman"/>
          <w:i/>
          <w:iCs/>
        </w:rPr>
        <w:t xml:space="preserve">Journal of </w:t>
      </w:r>
      <w:proofErr w:type="gramStart"/>
      <w:r w:rsidRPr="00A42090">
        <w:rPr>
          <w:rFonts w:cs="Times New Roman"/>
          <w:i/>
          <w:iCs/>
        </w:rPr>
        <w:t>financial economics</w:t>
      </w:r>
      <w:proofErr w:type="gramEnd"/>
      <w:r w:rsidRPr="00A42090">
        <w:rPr>
          <w:rFonts w:cs="Times New Roman"/>
        </w:rPr>
        <w:t xml:space="preserve">, </w:t>
      </w:r>
      <w:r w:rsidRPr="00A42090">
        <w:rPr>
          <w:rFonts w:cs="Times New Roman"/>
          <w:i/>
          <w:iCs/>
        </w:rPr>
        <w:t>33</w:t>
      </w:r>
      <w:r w:rsidRPr="00A42090">
        <w:rPr>
          <w:rFonts w:cs="Times New Roman"/>
        </w:rPr>
        <w:t>(1), 3-56.</w:t>
      </w:r>
    </w:p>
    <w:p w14:paraId="1D684C70" w14:textId="77777777" w:rsidR="00D404DF" w:rsidRPr="00A42090" w:rsidRDefault="00D404DF" w:rsidP="00D404DF">
      <w:pPr>
        <w:pStyle w:val="Listaszerbekezds"/>
        <w:numPr>
          <w:ilvl w:val="0"/>
          <w:numId w:val="4"/>
        </w:numPr>
        <w:spacing w:after="80"/>
        <w:rPr>
          <w:rFonts w:cs="Times New Roman"/>
          <w:lang w:val="hu-HU"/>
        </w:rPr>
      </w:pPr>
      <w:r w:rsidRPr="00A42090">
        <w:rPr>
          <w:rFonts w:cs="Times New Roman"/>
        </w:rPr>
        <w:t xml:space="preserve">Fama, E. F., &amp; French, K. R. (2012). Size, value, and momentum in international stock returns. </w:t>
      </w:r>
      <w:r w:rsidRPr="00A42090">
        <w:rPr>
          <w:rFonts w:cs="Times New Roman"/>
          <w:i/>
          <w:iCs/>
        </w:rPr>
        <w:t>Journal of financial economics</w:t>
      </w:r>
      <w:r w:rsidRPr="00A42090">
        <w:rPr>
          <w:rFonts w:cs="Times New Roman"/>
        </w:rPr>
        <w:t xml:space="preserve">, </w:t>
      </w:r>
      <w:r w:rsidRPr="00A42090">
        <w:rPr>
          <w:rFonts w:cs="Times New Roman"/>
          <w:i/>
          <w:iCs/>
        </w:rPr>
        <w:t>105</w:t>
      </w:r>
      <w:r w:rsidRPr="00A42090">
        <w:rPr>
          <w:rFonts w:cs="Times New Roman"/>
        </w:rPr>
        <w:t>(3), 457-472.</w:t>
      </w:r>
    </w:p>
    <w:p w14:paraId="11397C51" w14:textId="224D6B57" w:rsidR="00D404DF" w:rsidRPr="00A42090" w:rsidRDefault="00D404DF" w:rsidP="00D404DF">
      <w:pPr>
        <w:pStyle w:val="Listaszerbekezds"/>
        <w:numPr>
          <w:ilvl w:val="0"/>
          <w:numId w:val="4"/>
        </w:numPr>
        <w:spacing w:after="80"/>
        <w:rPr>
          <w:rFonts w:cs="Times New Roman"/>
          <w:lang w:val="hu-HU"/>
        </w:rPr>
      </w:pPr>
      <w:r w:rsidRPr="00A42090">
        <w:rPr>
          <w:rFonts w:cs="Times New Roman"/>
        </w:rPr>
        <w:t xml:space="preserve">Fama, E. F., &amp; French, K. R. (2015). A five-factor asset pricing model. </w:t>
      </w:r>
      <w:r w:rsidRPr="00A42090">
        <w:rPr>
          <w:rFonts w:cs="Times New Roman"/>
          <w:i/>
          <w:iCs/>
        </w:rPr>
        <w:t xml:space="preserve">Journal of </w:t>
      </w:r>
      <w:proofErr w:type="gramStart"/>
      <w:r w:rsidRPr="00A42090">
        <w:rPr>
          <w:rFonts w:cs="Times New Roman"/>
          <w:i/>
          <w:iCs/>
        </w:rPr>
        <w:t>financial economics</w:t>
      </w:r>
      <w:proofErr w:type="gramEnd"/>
      <w:r w:rsidRPr="00A42090">
        <w:rPr>
          <w:rFonts w:cs="Times New Roman"/>
        </w:rPr>
        <w:t xml:space="preserve">, </w:t>
      </w:r>
      <w:r w:rsidRPr="00A42090">
        <w:rPr>
          <w:rFonts w:cs="Times New Roman"/>
          <w:i/>
          <w:iCs/>
        </w:rPr>
        <w:t>116</w:t>
      </w:r>
      <w:r w:rsidRPr="00A42090">
        <w:rPr>
          <w:rFonts w:cs="Times New Roman"/>
        </w:rPr>
        <w:t>(1), 1-22.</w:t>
      </w:r>
    </w:p>
    <w:p w14:paraId="158842CB" w14:textId="7869E314"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Fan, R., Talavera, O., &amp; Tran, V. (2020). Social media, political uncertainty, and stock markets. </w:t>
      </w:r>
      <w:r w:rsidRPr="00A42090">
        <w:rPr>
          <w:rFonts w:cs="Times New Roman"/>
          <w:i/>
          <w:iCs/>
        </w:rPr>
        <w:t>Review of Quantitative Finance and Accounting</w:t>
      </w:r>
      <w:r w:rsidRPr="00A42090">
        <w:rPr>
          <w:rFonts w:cs="Times New Roman"/>
        </w:rPr>
        <w:t>, </w:t>
      </w:r>
      <w:r w:rsidRPr="00A42090">
        <w:rPr>
          <w:rFonts w:cs="Times New Roman"/>
          <w:i/>
          <w:iCs/>
        </w:rPr>
        <w:t>55</w:t>
      </w:r>
      <w:r w:rsidRPr="00A42090">
        <w:rPr>
          <w:rFonts w:cs="Times New Roman"/>
        </w:rPr>
        <w:t>(3), 1137-1153.</w:t>
      </w:r>
    </w:p>
    <w:p w14:paraId="74E95836" w14:textId="077E217E" w:rsidR="00D404DF" w:rsidRPr="00A42090" w:rsidRDefault="00D404DF" w:rsidP="00D404DF">
      <w:pPr>
        <w:pStyle w:val="Listaszerbekezds"/>
        <w:numPr>
          <w:ilvl w:val="0"/>
          <w:numId w:val="4"/>
        </w:numPr>
        <w:spacing w:after="80"/>
        <w:jc w:val="left"/>
        <w:rPr>
          <w:rFonts w:cs="Times New Roman"/>
          <w:lang w:val="hu-HU"/>
        </w:rPr>
      </w:pPr>
      <w:r w:rsidRPr="00A42090">
        <w:rPr>
          <w:rFonts w:cs="Times New Roman"/>
        </w:rPr>
        <w:t xml:space="preserve">French, K. R. (2025). Kenneth French data library. </w:t>
      </w:r>
      <w:hyperlink r:id="rId18" w:history="1">
        <w:r w:rsidRPr="00A42090">
          <w:rPr>
            <w:rStyle w:val="Hiperhivatkozs"/>
            <w:rFonts w:cs="Times New Roman"/>
          </w:rPr>
          <w:t>https://mba.tuck.dartmouth.edu/pages/faculty/ken.french/data_library.html</w:t>
        </w:r>
      </w:hyperlink>
    </w:p>
    <w:p w14:paraId="27772E34"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 xml:space="preserve">Hashim, N., &amp; </w:t>
      </w:r>
      <w:proofErr w:type="spellStart"/>
      <w:r w:rsidRPr="00A42090">
        <w:rPr>
          <w:rFonts w:cs="Times New Roman"/>
        </w:rPr>
        <w:t>Mosallamy</w:t>
      </w:r>
      <w:proofErr w:type="spellEnd"/>
      <w:r w:rsidRPr="00A42090">
        <w:rPr>
          <w:rFonts w:cs="Times New Roman"/>
        </w:rPr>
        <w:t>, D. E. (2020). Presidential elections and stock market: a comparative study. </w:t>
      </w:r>
      <w:r w:rsidRPr="00A42090">
        <w:rPr>
          <w:rFonts w:cs="Times New Roman"/>
          <w:i/>
          <w:iCs/>
        </w:rPr>
        <w:t>Journal of Finance and Economics</w:t>
      </w:r>
      <w:r w:rsidRPr="00A42090">
        <w:rPr>
          <w:rFonts w:cs="Times New Roman"/>
        </w:rPr>
        <w:t>, </w:t>
      </w:r>
      <w:r w:rsidRPr="00A42090">
        <w:rPr>
          <w:rFonts w:cs="Times New Roman"/>
          <w:i/>
          <w:iCs/>
        </w:rPr>
        <w:t>8</w:t>
      </w:r>
      <w:r w:rsidRPr="00A42090">
        <w:rPr>
          <w:rFonts w:cs="Times New Roman"/>
        </w:rPr>
        <w:t>(3), 116-126.</w:t>
      </w:r>
    </w:p>
    <w:p w14:paraId="22344D2B"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 xml:space="preserve">Hillier, D., &amp; </w:t>
      </w:r>
      <w:proofErr w:type="spellStart"/>
      <w:r w:rsidRPr="00A42090">
        <w:rPr>
          <w:rFonts w:cs="Times New Roman"/>
        </w:rPr>
        <w:t>Loncan</w:t>
      </w:r>
      <w:proofErr w:type="spellEnd"/>
      <w:r w:rsidRPr="00A42090">
        <w:rPr>
          <w:rFonts w:cs="Times New Roman"/>
        </w:rPr>
        <w:t>, T. (2019). Political uncertainty and stock returns: Evidence from the Brazilian political crisis. </w:t>
      </w:r>
      <w:r w:rsidRPr="00A42090">
        <w:rPr>
          <w:rFonts w:cs="Times New Roman"/>
          <w:i/>
          <w:iCs/>
        </w:rPr>
        <w:t>Pacific-Basin Finance Journal</w:t>
      </w:r>
      <w:r w:rsidRPr="00A42090">
        <w:rPr>
          <w:rFonts w:cs="Times New Roman"/>
        </w:rPr>
        <w:t>, </w:t>
      </w:r>
      <w:r w:rsidRPr="00A42090">
        <w:rPr>
          <w:rFonts w:cs="Times New Roman"/>
          <w:i/>
          <w:iCs/>
        </w:rPr>
        <w:t>54</w:t>
      </w:r>
      <w:r w:rsidRPr="00A42090">
        <w:rPr>
          <w:rFonts w:cs="Times New Roman"/>
        </w:rPr>
        <w:t>, 1-12.</w:t>
      </w:r>
    </w:p>
    <w:p w14:paraId="4B814103"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Jones, S. T., &amp; Banning, K. (2009). US elections and monthly stock market returns. </w:t>
      </w:r>
      <w:r w:rsidRPr="00A42090">
        <w:rPr>
          <w:rFonts w:cs="Times New Roman"/>
          <w:i/>
          <w:iCs/>
        </w:rPr>
        <w:t>Journal of Economics and Finance</w:t>
      </w:r>
      <w:r w:rsidRPr="00A42090">
        <w:rPr>
          <w:rFonts w:cs="Times New Roman"/>
        </w:rPr>
        <w:t>, </w:t>
      </w:r>
      <w:r w:rsidRPr="00A42090">
        <w:rPr>
          <w:rFonts w:cs="Times New Roman"/>
          <w:i/>
          <w:iCs/>
        </w:rPr>
        <w:t>33</w:t>
      </w:r>
      <w:r w:rsidRPr="00A42090">
        <w:rPr>
          <w:rFonts w:cs="Times New Roman"/>
        </w:rPr>
        <w:t>(3), 273-287.</w:t>
      </w:r>
    </w:p>
    <w:p w14:paraId="38A7FA7D"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lastRenderedPageBreak/>
        <w:t>Kumar Jaiswal, S., Singh, S., Arya, S., Das, M., &amp; Singh, S. (2025). Global Stock Market Reactions to 2024 US Presidential Election Probabilities. </w:t>
      </w:r>
      <w:r w:rsidRPr="00A42090">
        <w:rPr>
          <w:rFonts w:cs="Times New Roman"/>
          <w:i/>
          <w:iCs/>
        </w:rPr>
        <w:t>Available at SSRN 5239087</w:t>
      </w:r>
      <w:r w:rsidRPr="00A42090">
        <w:rPr>
          <w:rFonts w:cs="Times New Roman"/>
        </w:rPr>
        <w:t>.</w:t>
      </w:r>
    </w:p>
    <w:p w14:paraId="1F41648E" w14:textId="77777777" w:rsidR="00DD3B2D" w:rsidRPr="00A42090" w:rsidRDefault="00DD3B2D" w:rsidP="00DD3B2D">
      <w:pPr>
        <w:pStyle w:val="Listaszerbekezds"/>
        <w:numPr>
          <w:ilvl w:val="0"/>
          <w:numId w:val="4"/>
        </w:numPr>
        <w:spacing w:before="0" w:after="0"/>
        <w:jc w:val="left"/>
        <w:rPr>
          <w:rFonts w:cs="Times New Roman"/>
        </w:rPr>
      </w:pPr>
      <w:proofErr w:type="spellStart"/>
      <w:r w:rsidRPr="00A42090">
        <w:rPr>
          <w:rFonts w:cs="Times New Roman"/>
        </w:rPr>
        <w:t>Kwabi</w:t>
      </w:r>
      <w:proofErr w:type="spellEnd"/>
      <w:r w:rsidRPr="00A42090">
        <w:rPr>
          <w:rFonts w:cs="Times New Roman"/>
        </w:rPr>
        <w:t xml:space="preserve">, F. O., Adegbite, E., Ezeani, E., </w:t>
      </w:r>
      <w:proofErr w:type="spellStart"/>
      <w:r w:rsidRPr="00A42090">
        <w:rPr>
          <w:rFonts w:cs="Times New Roman"/>
        </w:rPr>
        <w:t>Wonu</w:t>
      </w:r>
      <w:proofErr w:type="spellEnd"/>
      <w:r w:rsidRPr="00A42090">
        <w:rPr>
          <w:rFonts w:cs="Times New Roman"/>
        </w:rPr>
        <w:t>, C., &amp; Mumbi, H. (2024). Political uncertainty and stock market liquidity, size, and transaction cost: The role of institutional quality. </w:t>
      </w:r>
      <w:r w:rsidRPr="00A42090">
        <w:rPr>
          <w:rFonts w:cs="Times New Roman"/>
          <w:i/>
          <w:iCs/>
        </w:rPr>
        <w:t>International Journal of Finance &amp; Economics</w:t>
      </w:r>
      <w:r w:rsidRPr="00A42090">
        <w:rPr>
          <w:rFonts w:cs="Times New Roman"/>
        </w:rPr>
        <w:t>, </w:t>
      </w:r>
      <w:r w:rsidRPr="00A42090">
        <w:rPr>
          <w:rFonts w:cs="Times New Roman"/>
          <w:i/>
          <w:iCs/>
        </w:rPr>
        <w:t>29</w:t>
      </w:r>
      <w:r w:rsidRPr="00A42090">
        <w:rPr>
          <w:rFonts w:cs="Times New Roman"/>
        </w:rPr>
        <w:t>(2), 2030-2048.</w:t>
      </w:r>
    </w:p>
    <w:p w14:paraId="2ABB5894"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Li, J., &amp; Born, J. A. (2006). Presidential election uncertainty and common stock returns in the United States. </w:t>
      </w:r>
      <w:r w:rsidRPr="00A42090">
        <w:rPr>
          <w:rFonts w:cs="Times New Roman"/>
          <w:i/>
          <w:iCs/>
        </w:rPr>
        <w:t>Journal of Financial Research</w:t>
      </w:r>
      <w:r w:rsidRPr="00A42090">
        <w:rPr>
          <w:rFonts w:cs="Times New Roman"/>
        </w:rPr>
        <w:t>, </w:t>
      </w:r>
      <w:r w:rsidRPr="00A42090">
        <w:rPr>
          <w:rFonts w:cs="Times New Roman"/>
          <w:i/>
          <w:iCs/>
        </w:rPr>
        <w:t>29</w:t>
      </w:r>
      <w:r w:rsidRPr="00A42090">
        <w:rPr>
          <w:rFonts w:cs="Times New Roman"/>
        </w:rPr>
        <w:t>(4), 609-622.</w:t>
      </w:r>
    </w:p>
    <w:p w14:paraId="7041FA0F" w14:textId="77777777" w:rsidR="00DD3B2D" w:rsidRPr="00A42090" w:rsidRDefault="00DD3B2D" w:rsidP="00DD3B2D">
      <w:pPr>
        <w:pStyle w:val="Listaszerbekezds"/>
        <w:numPr>
          <w:ilvl w:val="0"/>
          <w:numId w:val="4"/>
        </w:numPr>
        <w:spacing w:before="0" w:after="0"/>
        <w:rPr>
          <w:rFonts w:cs="Times New Roman"/>
        </w:rPr>
      </w:pPr>
      <w:proofErr w:type="spellStart"/>
      <w:r w:rsidRPr="00A42090">
        <w:rPr>
          <w:rFonts w:cs="Times New Roman"/>
        </w:rPr>
        <w:t>MacKinlay</w:t>
      </w:r>
      <w:proofErr w:type="spellEnd"/>
      <w:r w:rsidRPr="00A42090">
        <w:rPr>
          <w:rFonts w:cs="Times New Roman"/>
        </w:rPr>
        <w:t>, A. C. (1997). Event studies in economics and finance. </w:t>
      </w:r>
      <w:r w:rsidRPr="00A42090">
        <w:rPr>
          <w:rFonts w:cs="Times New Roman"/>
          <w:i/>
          <w:iCs/>
        </w:rPr>
        <w:t>Journal of economic literature</w:t>
      </w:r>
      <w:r w:rsidRPr="00A42090">
        <w:rPr>
          <w:rFonts w:cs="Times New Roman"/>
        </w:rPr>
        <w:t>, </w:t>
      </w:r>
      <w:r w:rsidRPr="00A42090">
        <w:rPr>
          <w:rFonts w:cs="Times New Roman"/>
          <w:i/>
          <w:iCs/>
        </w:rPr>
        <w:t>35</w:t>
      </w:r>
      <w:r w:rsidRPr="00A42090">
        <w:rPr>
          <w:rFonts w:cs="Times New Roman"/>
        </w:rPr>
        <w:t>(1), 13-39.</w:t>
      </w:r>
    </w:p>
    <w:p w14:paraId="2E22F88D" w14:textId="77777777" w:rsidR="00DD3B2D" w:rsidRPr="00A42090" w:rsidRDefault="00DD3B2D" w:rsidP="00DD3B2D">
      <w:pPr>
        <w:pStyle w:val="Listaszerbekezds"/>
        <w:numPr>
          <w:ilvl w:val="0"/>
          <w:numId w:val="4"/>
        </w:numPr>
        <w:spacing w:before="0" w:after="0"/>
        <w:jc w:val="left"/>
        <w:rPr>
          <w:rFonts w:cs="Times New Roman"/>
        </w:rPr>
      </w:pPr>
      <w:proofErr w:type="spellStart"/>
      <w:r w:rsidRPr="00A42090">
        <w:rPr>
          <w:rFonts w:cs="Times New Roman"/>
        </w:rPr>
        <w:t>Nippani</w:t>
      </w:r>
      <w:proofErr w:type="spellEnd"/>
      <w:r w:rsidRPr="00A42090">
        <w:rPr>
          <w:rFonts w:cs="Times New Roman"/>
        </w:rPr>
        <w:t xml:space="preserve">, S., &amp; </w:t>
      </w:r>
      <w:proofErr w:type="spellStart"/>
      <w:r w:rsidRPr="00A42090">
        <w:rPr>
          <w:rFonts w:cs="Times New Roman"/>
        </w:rPr>
        <w:t>Arize</w:t>
      </w:r>
      <w:proofErr w:type="spellEnd"/>
      <w:r w:rsidRPr="00A42090">
        <w:rPr>
          <w:rFonts w:cs="Times New Roman"/>
        </w:rPr>
        <w:t>, A. C. (2005). US presidential election impact on Canadian and Mexican stock markets. </w:t>
      </w:r>
      <w:r w:rsidRPr="00A42090">
        <w:rPr>
          <w:rFonts w:cs="Times New Roman"/>
          <w:i/>
          <w:iCs/>
        </w:rPr>
        <w:t>Journal of Economics and Finance</w:t>
      </w:r>
      <w:r w:rsidRPr="00A42090">
        <w:rPr>
          <w:rFonts w:cs="Times New Roman"/>
        </w:rPr>
        <w:t>, </w:t>
      </w:r>
      <w:r w:rsidRPr="00A42090">
        <w:rPr>
          <w:rFonts w:cs="Times New Roman"/>
          <w:i/>
          <w:iCs/>
        </w:rPr>
        <w:t>29</w:t>
      </w:r>
      <w:r w:rsidRPr="00A42090">
        <w:rPr>
          <w:rFonts w:cs="Times New Roman"/>
        </w:rPr>
        <w:t>(2), 271-279.</w:t>
      </w:r>
    </w:p>
    <w:p w14:paraId="0EA610AB" w14:textId="77777777" w:rsidR="00DD3B2D" w:rsidRPr="00A42090" w:rsidRDefault="00DD3B2D" w:rsidP="00DD3B2D">
      <w:pPr>
        <w:pStyle w:val="Listaszerbekezds"/>
        <w:numPr>
          <w:ilvl w:val="0"/>
          <w:numId w:val="4"/>
        </w:numPr>
        <w:spacing w:before="0" w:after="0"/>
        <w:jc w:val="left"/>
        <w:rPr>
          <w:rFonts w:cs="Times New Roman"/>
        </w:rPr>
      </w:pPr>
      <w:r w:rsidRPr="00A42090">
        <w:rPr>
          <w:rFonts w:cs="Times New Roman"/>
        </w:rPr>
        <w:t>Oehler, A., Walker, T. J., &amp; Wendt, S. (2013). Effects of election results on stock price performance: evidence from 1980 to 2008. </w:t>
      </w:r>
      <w:r w:rsidRPr="00A42090">
        <w:rPr>
          <w:rFonts w:cs="Times New Roman"/>
          <w:i/>
          <w:iCs/>
        </w:rPr>
        <w:t>Managerial Finance</w:t>
      </w:r>
      <w:r w:rsidRPr="00A42090">
        <w:rPr>
          <w:rFonts w:cs="Times New Roman"/>
        </w:rPr>
        <w:t>, </w:t>
      </w:r>
      <w:r w:rsidRPr="00A42090">
        <w:rPr>
          <w:rFonts w:cs="Times New Roman"/>
          <w:i/>
          <w:iCs/>
        </w:rPr>
        <w:t>39</w:t>
      </w:r>
      <w:r w:rsidRPr="00A42090">
        <w:rPr>
          <w:rFonts w:cs="Times New Roman"/>
        </w:rPr>
        <w:t>(8), 714-736.</w:t>
      </w:r>
    </w:p>
    <w:p w14:paraId="13DA22A0" w14:textId="77777777" w:rsidR="00DD3B2D" w:rsidRPr="00A42090" w:rsidRDefault="00DD3B2D" w:rsidP="00DD3B2D">
      <w:pPr>
        <w:pStyle w:val="Listaszerbekezds"/>
        <w:numPr>
          <w:ilvl w:val="0"/>
          <w:numId w:val="4"/>
        </w:numPr>
        <w:spacing w:before="0" w:after="0"/>
        <w:rPr>
          <w:rFonts w:cs="Times New Roman"/>
        </w:rPr>
      </w:pPr>
      <w:proofErr w:type="spellStart"/>
      <w:r w:rsidRPr="00A42090">
        <w:rPr>
          <w:rFonts w:cs="Times New Roman"/>
        </w:rPr>
        <w:t>Pástor</w:t>
      </w:r>
      <w:proofErr w:type="spellEnd"/>
      <w:r w:rsidRPr="00A42090">
        <w:rPr>
          <w:rFonts w:cs="Times New Roman"/>
        </w:rPr>
        <w:t xml:space="preserve">, Ľ., &amp; Veronesi, P. (2013). Political uncertainty and risk </w:t>
      </w:r>
      <w:proofErr w:type="gramStart"/>
      <w:r w:rsidRPr="00A42090">
        <w:rPr>
          <w:rFonts w:cs="Times New Roman"/>
        </w:rPr>
        <w:t>premia</w:t>
      </w:r>
      <w:proofErr w:type="gramEnd"/>
      <w:r w:rsidRPr="00A42090">
        <w:rPr>
          <w:rFonts w:cs="Times New Roman"/>
        </w:rPr>
        <w:t>. </w:t>
      </w:r>
      <w:r w:rsidRPr="00A42090">
        <w:rPr>
          <w:rFonts w:cs="Times New Roman"/>
          <w:i/>
          <w:iCs/>
        </w:rPr>
        <w:t xml:space="preserve">Journal of </w:t>
      </w:r>
      <w:proofErr w:type="gramStart"/>
      <w:r w:rsidRPr="00A42090">
        <w:rPr>
          <w:rFonts w:cs="Times New Roman"/>
          <w:i/>
          <w:iCs/>
        </w:rPr>
        <w:t>financial</w:t>
      </w:r>
      <w:proofErr w:type="gramEnd"/>
      <w:r w:rsidRPr="00A42090">
        <w:rPr>
          <w:rFonts w:cs="Times New Roman"/>
          <w:i/>
          <w:iCs/>
        </w:rPr>
        <w:t xml:space="preserve"> Economics</w:t>
      </w:r>
      <w:r w:rsidRPr="00A42090">
        <w:rPr>
          <w:rFonts w:cs="Times New Roman"/>
        </w:rPr>
        <w:t>, </w:t>
      </w:r>
      <w:r w:rsidRPr="00A42090">
        <w:rPr>
          <w:rFonts w:cs="Times New Roman"/>
          <w:i/>
          <w:iCs/>
        </w:rPr>
        <w:t>110</w:t>
      </w:r>
      <w:r w:rsidRPr="00A42090">
        <w:rPr>
          <w:rFonts w:cs="Times New Roman"/>
        </w:rPr>
        <w:t>(3), 520-545.</w:t>
      </w:r>
    </w:p>
    <w:p w14:paraId="05E14114" w14:textId="77777777" w:rsidR="00B30D46" w:rsidRPr="00A42090" w:rsidRDefault="00B30D46" w:rsidP="00B30D46">
      <w:pPr>
        <w:pStyle w:val="Listaszerbekezds"/>
        <w:numPr>
          <w:ilvl w:val="0"/>
          <w:numId w:val="4"/>
        </w:numPr>
        <w:spacing w:after="80"/>
        <w:jc w:val="left"/>
        <w:rPr>
          <w:rFonts w:cs="Times New Roman"/>
          <w:lang w:val="hu-HU"/>
        </w:rPr>
      </w:pPr>
      <w:proofErr w:type="spellStart"/>
      <w:r w:rsidRPr="00A42090">
        <w:rPr>
          <w:rFonts w:cs="Times New Roman"/>
          <w:lang w:val="hu-HU"/>
        </w:rPr>
        <w:t>RealClearPolling</w:t>
      </w:r>
      <w:proofErr w:type="spellEnd"/>
      <w:r w:rsidRPr="00A42090">
        <w:rPr>
          <w:rFonts w:cs="Times New Roman"/>
          <w:lang w:val="hu-HU"/>
        </w:rPr>
        <w:t xml:space="preserve"> (2025a). 2024 General </w:t>
      </w:r>
      <w:proofErr w:type="spellStart"/>
      <w:r w:rsidRPr="00A42090">
        <w:rPr>
          <w:rFonts w:cs="Times New Roman"/>
          <w:lang w:val="hu-HU"/>
        </w:rPr>
        <w:t>Election</w:t>
      </w:r>
      <w:proofErr w:type="spellEnd"/>
      <w:r w:rsidRPr="00A42090">
        <w:rPr>
          <w:rFonts w:cs="Times New Roman"/>
          <w:lang w:val="hu-HU"/>
        </w:rPr>
        <w:t xml:space="preserve">: </w:t>
      </w:r>
      <w:proofErr w:type="spellStart"/>
      <w:r w:rsidRPr="00A42090">
        <w:rPr>
          <w:rFonts w:cs="Times New Roman"/>
          <w:lang w:val="hu-HU"/>
        </w:rPr>
        <w:t>Trump</w:t>
      </w:r>
      <w:proofErr w:type="spellEnd"/>
      <w:r w:rsidRPr="00A42090">
        <w:rPr>
          <w:rFonts w:cs="Times New Roman"/>
          <w:lang w:val="hu-HU"/>
        </w:rPr>
        <w:t xml:space="preserve"> </w:t>
      </w:r>
      <w:proofErr w:type="spellStart"/>
      <w:r w:rsidRPr="00A42090">
        <w:rPr>
          <w:rFonts w:cs="Times New Roman"/>
          <w:lang w:val="hu-HU"/>
        </w:rPr>
        <w:t>vs</w:t>
      </w:r>
      <w:proofErr w:type="spellEnd"/>
      <w:r w:rsidRPr="00A42090">
        <w:rPr>
          <w:rFonts w:cs="Times New Roman"/>
          <w:lang w:val="hu-HU"/>
        </w:rPr>
        <w:t xml:space="preserve">. </w:t>
      </w:r>
      <w:proofErr w:type="spellStart"/>
      <w:r w:rsidRPr="00A42090">
        <w:rPr>
          <w:rFonts w:cs="Times New Roman"/>
          <w:lang w:val="hu-HU"/>
        </w:rPr>
        <w:t>Biden</w:t>
      </w:r>
      <w:proofErr w:type="spellEnd"/>
      <w:r w:rsidRPr="00A42090">
        <w:rPr>
          <w:rFonts w:cs="Times New Roman"/>
          <w:lang w:val="hu-HU"/>
        </w:rPr>
        <w:br/>
      </w:r>
      <w:hyperlink r:id="rId19" w:history="1">
        <w:r w:rsidRPr="00A42090">
          <w:rPr>
            <w:rStyle w:val="Hiperhivatkozs"/>
            <w:rFonts w:cs="Times New Roman"/>
            <w:lang w:val="hu-HU"/>
          </w:rPr>
          <w:t>https://www.realclearpolling.com/polls/president/general/2024/trump-vs-biden</w:t>
        </w:r>
      </w:hyperlink>
    </w:p>
    <w:p w14:paraId="48692C9C" w14:textId="1521564C" w:rsidR="00B30D46" w:rsidRPr="00A42090" w:rsidRDefault="00B30D46" w:rsidP="00B30D46">
      <w:pPr>
        <w:pStyle w:val="Listaszerbekezds"/>
        <w:numPr>
          <w:ilvl w:val="0"/>
          <w:numId w:val="4"/>
        </w:numPr>
        <w:spacing w:after="80"/>
        <w:jc w:val="left"/>
        <w:rPr>
          <w:rFonts w:cs="Times New Roman"/>
          <w:lang w:val="hu-HU"/>
        </w:rPr>
      </w:pPr>
      <w:proofErr w:type="spellStart"/>
      <w:r w:rsidRPr="00A42090">
        <w:rPr>
          <w:rFonts w:cs="Times New Roman"/>
          <w:lang w:val="hu-HU"/>
        </w:rPr>
        <w:t>RealClearPolling</w:t>
      </w:r>
      <w:proofErr w:type="spellEnd"/>
      <w:r w:rsidRPr="00A42090">
        <w:rPr>
          <w:rFonts w:cs="Times New Roman"/>
          <w:lang w:val="hu-HU"/>
        </w:rPr>
        <w:t xml:space="preserve"> (2025b). 2024 General </w:t>
      </w:r>
      <w:proofErr w:type="spellStart"/>
      <w:r w:rsidRPr="00A42090">
        <w:rPr>
          <w:rFonts w:cs="Times New Roman"/>
          <w:lang w:val="hu-HU"/>
        </w:rPr>
        <w:t>Election</w:t>
      </w:r>
      <w:proofErr w:type="spellEnd"/>
      <w:r w:rsidRPr="00A42090">
        <w:rPr>
          <w:rFonts w:cs="Times New Roman"/>
          <w:lang w:val="hu-HU"/>
        </w:rPr>
        <w:t xml:space="preserve">: </w:t>
      </w:r>
      <w:proofErr w:type="spellStart"/>
      <w:r w:rsidRPr="00A42090">
        <w:rPr>
          <w:rFonts w:cs="Times New Roman"/>
          <w:lang w:val="hu-HU"/>
        </w:rPr>
        <w:t>Trump</w:t>
      </w:r>
      <w:proofErr w:type="spellEnd"/>
      <w:r w:rsidRPr="00A42090">
        <w:rPr>
          <w:rFonts w:cs="Times New Roman"/>
          <w:lang w:val="hu-HU"/>
        </w:rPr>
        <w:t xml:space="preserve"> </w:t>
      </w:r>
      <w:proofErr w:type="spellStart"/>
      <w:r w:rsidRPr="00A42090">
        <w:rPr>
          <w:rFonts w:cs="Times New Roman"/>
          <w:lang w:val="hu-HU"/>
        </w:rPr>
        <w:t>vs</w:t>
      </w:r>
      <w:proofErr w:type="spellEnd"/>
      <w:r w:rsidRPr="00A42090">
        <w:rPr>
          <w:rFonts w:cs="Times New Roman"/>
          <w:lang w:val="hu-HU"/>
        </w:rPr>
        <w:t>. Harris</w:t>
      </w:r>
      <w:r w:rsidRPr="00A42090">
        <w:rPr>
          <w:rFonts w:cs="Times New Roman"/>
          <w:lang w:val="hu-HU"/>
        </w:rPr>
        <w:br/>
      </w:r>
      <w:hyperlink r:id="rId20" w:history="1">
        <w:r w:rsidRPr="00A42090">
          <w:rPr>
            <w:rStyle w:val="Hiperhivatkozs"/>
            <w:rFonts w:cs="Times New Roman"/>
            <w:lang w:val="hu-HU"/>
          </w:rPr>
          <w:t>https://www.realclearpolling.com/polls/president/general/2024/trump-vs-harris</w:t>
        </w:r>
      </w:hyperlink>
    </w:p>
    <w:p w14:paraId="326F17F0" w14:textId="77777777" w:rsidR="00DD3B2D" w:rsidRPr="00A42090" w:rsidRDefault="00DD3B2D" w:rsidP="00DD3B2D">
      <w:pPr>
        <w:pStyle w:val="Listaszerbekezds"/>
        <w:numPr>
          <w:ilvl w:val="0"/>
          <w:numId w:val="4"/>
        </w:numPr>
        <w:spacing w:before="0" w:after="0"/>
        <w:rPr>
          <w:rFonts w:cs="Times New Roman"/>
        </w:rPr>
      </w:pPr>
      <w:r w:rsidRPr="00A42090">
        <w:rPr>
          <w:rFonts w:cs="Times New Roman"/>
        </w:rPr>
        <w:t>Wong, W. K., &amp; McAleer, M. (2009). Mapping the Presidential Election Cycle in US stock markets. </w:t>
      </w:r>
      <w:r w:rsidRPr="00A42090">
        <w:rPr>
          <w:rFonts w:cs="Times New Roman"/>
          <w:i/>
          <w:iCs/>
        </w:rPr>
        <w:t>Mathematics and Computers in Simulation</w:t>
      </w:r>
      <w:r w:rsidRPr="00A42090">
        <w:rPr>
          <w:rFonts w:cs="Times New Roman"/>
        </w:rPr>
        <w:t>, </w:t>
      </w:r>
      <w:r w:rsidRPr="00A42090">
        <w:rPr>
          <w:rFonts w:cs="Times New Roman"/>
          <w:i/>
          <w:iCs/>
        </w:rPr>
        <w:t>79</w:t>
      </w:r>
      <w:r w:rsidRPr="00A42090">
        <w:rPr>
          <w:rFonts w:cs="Times New Roman"/>
        </w:rPr>
        <w:t>(11), 3267-3277.</w:t>
      </w:r>
    </w:p>
    <w:p w14:paraId="062899B3" w14:textId="07421078" w:rsidR="00DD3B2D" w:rsidRPr="00A42090" w:rsidRDefault="00DD3B2D" w:rsidP="00DD3B2D">
      <w:pPr>
        <w:pStyle w:val="Listaszerbekezds"/>
        <w:numPr>
          <w:ilvl w:val="0"/>
          <w:numId w:val="4"/>
        </w:numPr>
        <w:spacing w:before="0" w:after="0"/>
        <w:rPr>
          <w:rFonts w:cs="Times New Roman"/>
        </w:rPr>
      </w:pPr>
      <w:r w:rsidRPr="00A42090">
        <w:rPr>
          <w:rFonts w:cs="Times New Roman"/>
        </w:rPr>
        <w:lastRenderedPageBreak/>
        <w:t xml:space="preserve">Yiadom, E. B., Tay, V., Sefe, C. E., </w:t>
      </w:r>
      <w:proofErr w:type="spellStart"/>
      <w:r w:rsidRPr="00A42090">
        <w:rPr>
          <w:rFonts w:cs="Times New Roman"/>
        </w:rPr>
        <w:t>Gbade</w:t>
      </w:r>
      <w:proofErr w:type="spellEnd"/>
      <w:r w:rsidRPr="00A42090">
        <w:rPr>
          <w:rFonts w:cs="Times New Roman"/>
        </w:rPr>
        <w:t>, V. A., &amp; Osei-Manu, O. (2024). Political change, elections, and stock market indicators: a generalized method of moment analysis. </w:t>
      </w:r>
      <w:r w:rsidRPr="00A42090">
        <w:rPr>
          <w:rFonts w:cs="Times New Roman"/>
          <w:i/>
          <w:iCs/>
        </w:rPr>
        <w:t>Journal of Humanities and Applied Social Sciences</w:t>
      </w:r>
      <w:r w:rsidRPr="00A42090">
        <w:rPr>
          <w:rFonts w:cs="Times New Roman"/>
        </w:rPr>
        <w:t>, </w:t>
      </w:r>
      <w:r w:rsidRPr="00A42090">
        <w:rPr>
          <w:rFonts w:cs="Times New Roman"/>
          <w:i/>
          <w:iCs/>
        </w:rPr>
        <w:t>6</w:t>
      </w:r>
      <w:r w:rsidRPr="00A42090">
        <w:rPr>
          <w:rFonts w:cs="Times New Roman"/>
        </w:rPr>
        <w:t>(1), 20-37.</w:t>
      </w:r>
    </w:p>
    <w:sectPr w:rsidR="00DD3B2D" w:rsidRPr="00A42090" w:rsidSect="00B43DDB">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4ED4" w14:textId="77777777" w:rsidR="00BF5794" w:rsidRDefault="00BF5794" w:rsidP="006F6C21">
      <w:pPr>
        <w:spacing w:before="0" w:after="0" w:line="240" w:lineRule="auto"/>
      </w:pPr>
      <w:r>
        <w:separator/>
      </w:r>
    </w:p>
  </w:endnote>
  <w:endnote w:type="continuationSeparator" w:id="0">
    <w:p w14:paraId="3CADEB1C" w14:textId="77777777" w:rsidR="00BF5794" w:rsidRDefault="00BF5794" w:rsidP="006F6C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102633"/>
      <w:docPartObj>
        <w:docPartGallery w:val="Page Numbers (Bottom of Page)"/>
        <w:docPartUnique/>
      </w:docPartObj>
    </w:sdtPr>
    <w:sdtEndPr/>
    <w:sdtContent>
      <w:p w14:paraId="0D335390" w14:textId="236A4CA6" w:rsidR="006F6C21" w:rsidRDefault="006F6C21">
        <w:pPr>
          <w:pStyle w:val="llb"/>
          <w:jc w:val="center"/>
        </w:pPr>
        <w:r>
          <w:fldChar w:fldCharType="begin"/>
        </w:r>
        <w:r>
          <w:instrText>PAGE   \* MERGEFORMAT</w:instrText>
        </w:r>
        <w:r>
          <w:fldChar w:fldCharType="separate"/>
        </w:r>
        <w:r>
          <w:rPr>
            <w:lang w:val="en-GB"/>
          </w:rPr>
          <w:t>2</w:t>
        </w:r>
        <w:r>
          <w:fldChar w:fldCharType="end"/>
        </w:r>
      </w:p>
    </w:sdtContent>
  </w:sdt>
  <w:p w14:paraId="316B7CF3" w14:textId="77777777" w:rsidR="006F6C21" w:rsidRDefault="006F6C21">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6AA1" w14:textId="77777777" w:rsidR="00BF5794" w:rsidRDefault="00BF5794" w:rsidP="006F6C21">
      <w:pPr>
        <w:spacing w:before="0" w:after="0" w:line="240" w:lineRule="auto"/>
      </w:pPr>
      <w:r>
        <w:separator/>
      </w:r>
    </w:p>
  </w:footnote>
  <w:footnote w:type="continuationSeparator" w:id="0">
    <w:p w14:paraId="593283A6" w14:textId="77777777" w:rsidR="00BF5794" w:rsidRDefault="00BF5794" w:rsidP="006F6C21">
      <w:pPr>
        <w:spacing w:before="0" w:after="0" w:line="240" w:lineRule="auto"/>
      </w:pPr>
      <w:r>
        <w:continuationSeparator/>
      </w:r>
    </w:p>
  </w:footnote>
  <w:footnote w:id="1">
    <w:p w14:paraId="4BD0C987" w14:textId="77777777" w:rsidR="00DD329B" w:rsidRPr="00DD329B" w:rsidRDefault="00DD329B" w:rsidP="00DD329B">
      <w:pPr>
        <w:pStyle w:val="Lbjegyzetszveg"/>
        <w:jc w:val="both"/>
        <w:rPr>
          <w:rFonts w:ascii="Times New Roman" w:hAnsi="Times New Roman" w:cs="Times New Roman"/>
        </w:rPr>
      </w:pPr>
      <w:r w:rsidRPr="00DD329B">
        <w:rPr>
          <w:rStyle w:val="Lbjegyzet-hivatkozs"/>
          <w:rFonts w:ascii="Times New Roman" w:hAnsi="Times New Roman" w:cs="Times New Roman"/>
        </w:rPr>
        <w:footnoteRef/>
      </w:r>
      <w:r w:rsidRPr="00DD329B">
        <w:rPr>
          <w:rFonts w:ascii="Times New Roman" w:hAnsi="Times New Roman" w:cs="Times New Roman"/>
        </w:rPr>
        <w:t xml:space="preserve"> Egy idősorelemzési eszköz, amely a pénzügyi hozamok volatilitását modellezi úgy, hogy az aktuális szórás a múltbeli hibák négyzetétől és a múltbeli szórástól függ. Segít a kockázat előrejelzésében és a volatilitás klasztereződésének kezelésében.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3F8"/>
    <w:multiLevelType w:val="hybridMultilevel"/>
    <w:tmpl w:val="F624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34B0C"/>
    <w:multiLevelType w:val="hybridMultilevel"/>
    <w:tmpl w:val="64882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D80ABF"/>
    <w:multiLevelType w:val="hybridMultilevel"/>
    <w:tmpl w:val="27CE698C"/>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6E4D5CF2"/>
    <w:multiLevelType w:val="hybridMultilevel"/>
    <w:tmpl w:val="DA3CF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675D13"/>
    <w:multiLevelType w:val="hybridMultilevel"/>
    <w:tmpl w:val="069866C8"/>
    <w:lvl w:ilvl="0" w:tplc="040E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0217235">
    <w:abstractNumId w:val="1"/>
  </w:num>
  <w:num w:numId="2" w16cid:durableId="1898973193">
    <w:abstractNumId w:val="3"/>
  </w:num>
  <w:num w:numId="3" w16cid:durableId="127551759">
    <w:abstractNumId w:val="0"/>
  </w:num>
  <w:num w:numId="4" w16cid:durableId="1509295447">
    <w:abstractNumId w:val="4"/>
  </w:num>
  <w:num w:numId="5" w16cid:durableId="164054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DD"/>
    <w:rsid w:val="000025E6"/>
    <w:rsid w:val="00047C80"/>
    <w:rsid w:val="000949BF"/>
    <w:rsid w:val="000C7E93"/>
    <w:rsid w:val="000E376A"/>
    <w:rsid w:val="0011605A"/>
    <w:rsid w:val="00125F83"/>
    <w:rsid w:val="001273A5"/>
    <w:rsid w:val="001443DB"/>
    <w:rsid w:val="00180DD8"/>
    <w:rsid w:val="001B1ED1"/>
    <w:rsid w:val="001E6C5F"/>
    <w:rsid w:val="00214446"/>
    <w:rsid w:val="00246E25"/>
    <w:rsid w:val="00260B33"/>
    <w:rsid w:val="0029089D"/>
    <w:rsid w:val="002B6D4A"/>
    <w:rsid w:val="002C721B"/>
    <w:rsid w:val="002D6E93"/>
    <w:rsid w:val="002D7302"/>
    <w:rsid w:val="002F2551"/>
    <w:rsid w:val="00315913"/>
    <w:rsid w:val="003707C3"/>
    <w:rsid w:val="00390762"/>
    <w:rsid w:val="003C5F31"/>
    <w:rsid w:val="003D08AB"/>
    <w:rsid w:val="0043244B"/>
    <w:rsid w:val="00432735"/>
    <w:rsid w:val="00436E51"/>
    <w:rsid w:val="00440881"/>
    <w:rsid w:val="004547F7"/>
    <w:rsid w:val="004A3707"/>
    <w:rsid w:val="004D2D51"/>
    <w:rsid w:val="004E22E5"/>
    <w:rsid w:val="004E5737"/>
    <w:rsid w:val="005220F2"/>
    <w:rsid w:val="005244C0"/>
    <w:rsid w:val="0053674A"/>
    <w:rsid w:val="00584260"/>
    <w:rsid w:val="0058642D"/>
    <w:rsid w:val="00594AF9"/>
    <w:rsid w:val="005F7235"/>
    <w:rsid w:val="0061303E"/>
    <w:rsid w:val="0067337C"/>
    <w:rsid w:val="006B1304"/>
    <w:rsid w:val="006F6C21"/>
    <w:rsid w:val="00702029"/>
    <w:rsid w:val="00772683"/>
    <w:rsid w:val="007A5EFC"/>
    <w:rsid w:val="007C1461"/>
    <w:rsid w:val="008136C9"/>
    <w:rsid w:val="00860F80"/>
    <w:rsid w:val="008747A4"/>
    <w:rsid w:val="008A599F"/>
    <w:rsid w:val="008C6658"/>
    <w:rsid w:val="008D5195"/>
    <w:rsid w:val="008F13DE"/>
    <w:rsid w:val="00987062"/>
    <w:rsid w:val="009B4B7B"/>
    <w:rsid w:val="009D7013"/>
    <w:rsid w:val="00A03B2F"/>
    <w:rsid w:val="00A13E0B"/>
    <w:rsid w:val="00A42090"/>
    <w:rsid w:val="00A83872"/>
    <w:rsid w:val="00AC06DE"/>
    <w:rsid w:val="00AE2CFE"/>
    <w:rsid w:val="00AF5B69"/>
    <w:rsid w:val="00B113E7"/>
    <w:rsid w:val="00B30D1C"/>
    <w:rsid w:val="00B30D46"/>
    <w:rsid w:val="00B33FFB"/>
    <w:rsid w:val="00B34D45"/>
    <w:rsid w:val="00B362F2"/>
    <w:rsid w:val="00B43DDB"/>
    <w:rsid w:val="00B46AB7"/>
    <w:rsid w:val="00B62CFC"/>
    <w:rsid w:val="00B63510"/>
    <w:rsid w:val="00B6563E"/>
    <w:rsid w:val="00B701C9"/>
    <w:rsid w:val="00B86B2F"/>
    <w:rsid w:val="00BD071C"/>
    <w:rsid w:val="00BF5794"/>
    <w:rsid w:val="00BF7EF9"/>
    <w:rsid w:val="00C64F7A"/>
    <w:rsid w:val="00C736F6"/>
    <w:rsid w:val="00C963D0"/>
    <w:rsid w:val="00CA0A66"/>
    <w:rsid w:val="00CA37F9"/>
    <w:rsid w:val="00CD4947"/>
    <w:rsid w:val="00CF4584"/>
    <w:rsid w:val="00D15F43"/>
    <w:rsid w:val="00D3018D"/>
    <w:rsid w:val="00D404DF"/>
    <w:rsid w:val="00D65999"/>
    <w:rsid w:val="00DA2CCA"/>
    <w:rsid w:val="00DA672C"/>
    <w:rsid w:val="00DC3E09"/>
    <w:rsid w:val="00DD329B"/>
    <w:rsid w:val="00DD3B2D"/>
    <w:rsid w:val="00DF0EA0"/>
    <w:rsid w:val="00E056EF"/>
    <w:rsid w:val="00E21C8E"/>
    <w:rsid w:val="00E26FDD"/>
    <w:rsid w:val="00E43824"/>
    <w:rsid w:val="00E46B96"/>
    <w:rsid w:val="00E52773"/>
    <w:rsid w:val="00E63A89"/>
    <w:rsid w:val="00E7062A"/>
    <w:rsid w:val="00E9016A"/>
    <w:rsid w:val="00EA17D7"/>
    <w:rsid w:val="00EB089C"/>
    <w:rsid w:val="00EB227C"/>
    <w:rsid w:val="00EC0BB1"/>
    <w:rsid w:val="00ED2FE8"/>
    <w:rsid w:val="00F023DD"/>
    <w:rsid w:val="00F10B29"/>
    <w:rsid w:val="00F35A16"/>
    <w:rsid w:val="00F63899"/>
    <w:rsid w:val="00F702E6"/>
    <w:rsid w:val="00F75176"/>
    <w:rsid w:val="00FC4079"/>
    <w:rsid w:val="00FD5FAF"/>
    <w:rsid w:val="00FD7A3B"/>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8A2C"/>
  <w15:chartTrackingRefBased/>
  <w15:docId w15:val="{2C104814-B2D3-49CF-B0DB-6ADDFA0C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A13E0B"/>
    <w:pPr>
      <w:spacing w:before="120" w:after="120" w:line="480" w:lineRule="auto"/>
      <w:jc w:val="both"/>
    </w:pPr>
    <w:rPr>
      <w:rFonts w:ascii="Times New Roman" w:hAnsi="Times New Roman"/>
    </w:rPr>
  </w:style>
  <w:style w:type="paragraph" w:styleId="Cmsor1">
    <w:name w:val="heading 1"/>
    <w:basedOn w:val="Norml"/>
    <w:next w:val="Norml"/>
    <w:link w:val="Cmsor1Char"/>
    <w:uiPriority w:val="9"/>
    <w:qFormat/>
    <w:rsid w:val="00A13E0B"/>
    <w:pPr>
      <w:keepNext/>
      <w:keepLines/>
      <w:spacing w:before="720"/>
      <w:outlineLvl w:val="0"/>
    </w:pPr>
    <w:rPr>
      <w:rFonts w:eastAsiaTheme="majorEastAsia" w:cstheme="majorBidi"/>
      <w:b/>
      <w:sz w:val="32"/>
      <w:szCs w:val="40"/>
    </w:rPr>
  </w:style>
  <w:style w:type="paragraph" w:styleId="Cmsor2">
    <w:name w:val="heading 2"/>
    <w:basedOn w:val="Norml"/>
    <w:next w:val="Norml"/>
    <w:link w:val="Cmsor2Char"/>
    <w:uiPriority w:val="9"/>
    <w:unhideWhenUsed/>
    <w:qFormat/>
    <w:rsid w:val="00A13E0B"/>
    <w:pPr>
      <w:keepNext/>
      <w:keepLines/>
      <w:spacing w:before="240"/>
      <w:outlineLvl w:val="1"/>
    </w:pPr>
    <w:rPr>
      <w:rFonts w:eastAsiaTheme="majorEastAsia" w:cstheme="majorBidi"/>
      <w:b/>
      <w:i/>
      <w:sz w:val="28"/>
      <w:szCs w:val="32"/>
    </w:rPr>
  </w:style>
  <w:style w:type="paragraph" w:styleId="Cmsor3">
    <w:name w:val="heading 3"/>
    <w:basedOn w:val="Norml"/>
    <w:next w:val="Norml"/>
    <w:link w:val="Cmsor3Char"/>
    <w:uiPriority w:val="9"/>
    <w:semiHidden/>
    <w:unhideWhenUsed/>
    <w:qFormat/>
    <w:rsid w:val="00F023D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023D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023D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023D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023D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023D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023D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13E0B"/>
    <w:rPr>
      <w:rFonts w:ascii="Times New Roman" w:eastAsiaTheme="majorEastAsia" w:hAnsi="Times New Roman" w:cstheme="majorBidi"/>
      <w:b/>
      <w:sz w:val="32"/>
      <w:szCs w:val="40"/>
    </w:rPr>
  </w:style>
  <w:style w:type="character" w:customStyle="1" w:styleId="Cmsor2Char">
    <w:name w:val="Címsor 2 Char"/>
    <w:basedOn w:val="Bekezdsalapbettpusa"/>
    <w:link w:val="Cmsor2"/>
    <w:uiPriority w:val="9"/>
    <w:rsid w:val="00A13E0B"/>
    <w:rPr>
      <w:rFonts w:ascii="Times New Roman" w:eastAsiaTheme="majorEastAsia" w:hAnsi="Times New Roman" w:cstheme="majorBidi"/>
      <w:b/>
      <w:i/>
      <w:sz w:val="28"/>
      <w:szCs w:val="32"/>
    </w:rPr>
  </w:style>
  <w:style w:type="character" w:customStyle="1" w:styleId="Cmsor3Char">
    <w:name w:val="Címsor 3 Char"/>
    <w:basedOn w:val="Bekezdsalapbettpusa"/>
    <w:link w:val="Cmsor3"/>
    <w:uiPriority w:val="9"/>
    <w:semiHidden/>
    <w:rsid w:val="00F023D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023D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023D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023D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023D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023D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023DD"/>
    <w:rPr>
      <w:rFonts w:eastAsiaTheme="majorEastAsia" w:cstheme="majorBidi"/>
      <w:color w:val="272727" w:themeColor="text1" w:themeTint="D8"/>
    </w:rPr>
  </w:style>
  <w:style w:type="paragraph" w:styleId="Cm">
    <w:name w:val="Title"/>
    <w:basedOn w:val="Norml"/>
    <w:next w:val="Norml"/>
    <w:link w:val="CmChar"/>
    <w:uiPriority w:val="10"/>
    <w:qFormat/>
    <w:rsid w:val="00F02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023D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023D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023D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023DD"/>
    <w:pPr>
      <w:spacing w:before="160"/>
      <w:jc w:val="center"/>
    </w:pPr>
    <w:rPr>
      <w:i/>
      <w:iCs/>
      <w:color w:val="404040" w:themeColor="text1" w:themeTint="BF"/>
    </w:rPr>
  </w:style>
  <w:style w:type="character" w:customStyle="1" w:styleId="IdzetChar">
    <w:name w:val="Idézet Char"/>
    <w:basedOn w:val="Bekezdsalapbettpusa"/>
    <w:link w:val="Idzet"/>
    <w:uiPriority w:val="29"/>
    <w:rsid w:val="00F023DD"/>
    <w:rPr>
      <w:i/>
      <w:iCs/>
      <w:color w:val="404040" w:themeColor="text1" w:themeTint="BF"/>
    </w:rPr>
  </w:style>
  <w:style w:type="paragraph" w:styleId="Listaszerbekezds">
    <w:name w:val="List Paragraph"/>
    <w:basedOn w:val="Norml"/>
    <w:uiPriority w:val="34"/>
    <w:qFormat/>
    <w:rsid w:val="00F023DD"/>
    <w:pPr>
      <w:ind w:left="720"/>
      <w:contextualSpacing/>
    </w:pPr>
  </w:style>
  <w:style w:type="character" w:styleId="Erskiemels">
    <w:name w:val="Intense Emphasis"/>
    <w:basedOn w:val="Bekezdsalapbettpusa"/>
    <w:uiPriority w:val="21"/>
    <w:qFormat/>
    <w:rsid w:val="00F023DD"/>
    <w:rPr>
      <w:i/>
      <w:iCs/>
      <w:color w:val="0F4761" w:themeColor="accent1" w:themeShade="BF"/>
    </w:rPr>
  </w:style>
  <w:style w:type="paragraph" w:styleId="Kiemeltidzet">
    <w:name w:val="Intense Quote"/>
    <w:basedOn w:val="Norml"/>
    <w:next w:val="Norml"/>
    <w:link w:val="KiemeltidzetChar"/>
    <w:uiPriority w:val="30"/>
    <w:qFormat/>
    <w:rsid w:val="00F02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023DD"/>
    <w:rPr>
      <w:i/>
      <w:iCs/>
      <w:color w:val="0F4761" w:themeColor="accent1" w:themeShade="BF"/>
    </w:rPr>
  </w:style>
  <w:style w:type="character" w:styleId="Ershivatkozs">
    <w:name w:val="Intense Reference"/>
    <w:basedOn w:val="Bekezdsalapbettpusa"/>
    <w:uiPriority w:val="32"/>
    <w:qFormat/>
    <w:rsid w:val="00F023DD"/>
    <w:rPr>
      <w:b/>
      <w:bCs/>
      <w:smallCaps/>
      <w:color w:val="0F4761" w:themeColor="accent1" w:themeShade="BF"/>
      <w:spacing w:val="5"/>
    </w:rPr>
  </w:style>
  <w:style w:type="paragraph" w:styleId="lfej">
    <w:name w:val="header"/>
    <w:basedOn w:val="Norml"/>
    <w:link w:val="lfejChar"/>
    <w:uiPriority w:val="99"/>
    <w:unhideWhenUsed/>
    <w:rsid w:val="006F6C21"/>
    <w:pPr>
      <w:tabs>
        <w:tab w:val="center" w:pos="4680"/>
        <w:tab w:val="right" w:pos="9360"/>
      </w:tabs>
      <w:spacing w:before="0" w:after="0" w:line="240" w:lineRule="auto"/>
    </w:pPr>
  </w:style>
  <w:style w:type="character" w:customStyle="1" w:styleId="lfejChar">
    <w:name w:val="Élőfej Char"/>
    <w:basedOn w:val="Bekezdsalapbettpusa"/>
    <w:link w:val="lfej"/>
    <w:uiPriority w:val="99"/>
    <w:rsid w:val="006F6C21"/>
    <w:rPr>
      <w:rFonts w:ascii="Times New Roman" w:hAnsi="Times New Roman"/>
    </w:rPr>
  </w:style>
  <w:style w:type="paragraph" w:styleId="llb">
    <w:name w:val="footer"/>
    <w:basedOn w:val="Norml"/>
    <w:link w:val="llbChar"/>
    <w:uiPriority w:val="99"/>
    <w:unhideWhenUsed/>
    <w:rsid w:val="006F6C21"/>
    <w:pPr>
      <w:tabs>
        <w:tab w:val="center" w:pos="4680"/>
        <w:tab w:val="right" w:pos="9360"/>
      </w:tabs>
      <w:spacing w:before="0" w:after="0" w:line="240" w:lineRule="auto"/>
    </w:pPr>
  </w:style>
  <w:style w:type="character" w:customStyle="1" w:styleId="llbChar">
    <w:name w:val="Élőláb Char"/>
    <w:basedOn w:val="Bekezdsalapbettpusa"/>
    <w:link w:val="llb"/>
    <w:uiPriority w:val="99"/>
    <w:rsid w:val="006F6C21"/>
    <w:rPr>
      <w:rFonts w:ascii="Times New Roman" w:hAnsi="Times New Roman"/>
    </w:rPr>
  </w:style>
  <w:style w:type="character" w:styleId="Hiperhivatkozs">
    <w:name w:val="Hyperlink"/>
    <w:basedOn w:val="Bekezdsalapbettpusa"/>
    <w:uiPriority w:val="99"/>
    <w:unhideWhenUsed/>
    <w:rsid w:val="006F6C21"/>
    <w:rPr>
      <w:color w:val="467886" w:themeColor="hyperlink"/>
      <w:u w:val="single"/>
    </w:rPr>
  </w:style>
  <w:style w:type="character" w:styleId="Feloldatlanmegemlts">
    <w:name w:val="Unresolved Mention"/>
    <w:basedOn w:val="Bekezdsalapbettpusa"/>
    <w:uiPriority w:val="99"/>
    <w:semiHidden/>
    <w:unhideWhenUsed/>
    <w:rsid w:val="006F6C21"/>
    <w:rPr>
      <w:color w:val="605E5C"/>
      <w:shd w:val="clear" w:color="auto" w:fill="E1DFDD"/>
    </w:rPr>
  </w:style>
  <w:style w:type="character" w:styleId="Helyrzszveg">
    <w:name w:val="Placeholder Text"/>
    <w:basedOn w:val="Bekezdsalapbettpusa"/>
    <w:uiPriority w:val="99"/>
    <w:semiHidden/>
    <w:rsid w:val="00B113E7"/>
    <w:rPr>
      <w:color w:val="666666"/>
    </w:rPr>
  </w:style>
  <w:style w:type="paragraph" w:styleId="Lbjegyzetszveg">
    <w:name w:val="footnote text"/>
    <w:basedOn w:val="Norml"/>
    <w:link w:val="LbjegyzetszvegChar"/>
    <w:uiPriority w:val="99"/>
    <w:semiHidden/>
    <w:unhideWhenUsed/>
    <w:rsid w:val="00DD329B"/>
    <w:pPr>
      <w:spacing w:before="0" w:after="0" w:line="240" w:lineRule="auto"/>
      <w:jc w:val="left"/>
    </w:pPr>
    <w:rPr>
      <w:rFonts w:ascii="Calibri" w:hAnsi="Calibri"/>
      <w:sz w:val="20"/>
      <w:szCs w:val="20"/>
      <w:lang w:val="hu-HU"/>
    </w:rPr>
  </w:style>
  <w:style w:type="character" w:customStyle="1" w:styleId="LbjegyzetszvegChar">
    <w:name w:val="Lábjegyzetszöveg Char"/>
    <w:basedOn w:val="Bekezdsalapbettpusa"/>
    <w:link w:val="Lbjegyzetszveg"/>
    <w:uiPriority w:val="99"/>
    <w:semiHidden/>
    <w:rsid w:val="00DD329B"/>
    <w:rPr>
      <w:rFonts w:ascii="Calibri" w:hAnsi="Calibri"/>
      <w:sz w:val="20"/>
      <w:szCs w:val="20"/>
      <w:lang w:val="hu-HU"/>
    </w:rPr>
  </w:style>
  <w:style w:type="character" w:styleId="Lbjegyzet-hivatkozs">
    <w:name w:val="footnote reference"/>
    <w:basedOn w:val="Bekezdsalapbettpusa"/>
    <w:uiPriority w:val="99"/>
    <w:semiHidden/>
    <w:unhideWhenUsed/>
    <w:rsid w:val="00DD329B"/>
    <w:rPr>
      <w:vertAlign w:val="superscript"/>
    </w:rPr>
  </w:style>
  <w:style w:type="paragraph" w:styleId="Tartalomjegyzkcmsora">
    <w:name w:val="TOC Heading"/>
    <w:basedOn w:val="Cmsor1"/>
    <w:next w:val="Norml"/>
    <w:uiPriority w:val="39"/>
    <w:unhideWhenUsed/>
    <w:qFormat/>
    <w:rsid w:val="00A42090"/>
    <w:pPr>
      <w:spacing w:before="240" w:after="0" w:line="259" w:lineRule="auto"/>
      <w:jc w:val="left"/>
      <w:outlineLvl w:val="9"/>
    </w:pPr>
    <w:rPr>
      <w:rFonts w:asciiTheme="majorHAnsi" w:hAnsiTheme="majorHAnsi"/>
      <w:b w:val="0"/>
      <w:color w:val="0F4761" w:themeColor="accent1" w:themeShade="BF"/>
      <w:kern w:val="0"/>
      <w:szCs w:val="32"/>
      <w:lang w:val="hu-HU" w:eastAsia="hu-HU"/>
      <w14:ligatures w14:val="none"/>
    </w:rPr>
  </w:style>
  <w:style w:type="paragraph" w:styleId="TJ1">
    <w:name w:val="toc 1"/>
    <w:basedOn w:val="Norml"/>
    <w:next w:val="Norml"/>
    <w:autoRedefine/>
    <w:uiPriority w:val="39"/>
    <w:unhideWhenUsed/>
    <w:rsid w:val="00A42090"/>
    <w:pPr>
      <w:spacing w:after="100"/>
    </w:pPr>
  </w:style>
  <w:style w:type="paragraph" w:styleId="TJ2">
    <w:name w:val="toc 2"/>
    <w:basedOn w:val="Norml"/>
    <w:next w:val="Norml"/>
    <w:autoRedefine/>
    <w:uiPriority w:val="39"/>
    <w:unhideWhenUsed/>
    <w:rsid w:val="00A42090"/>
    <w:pPr>
      <w:spacing w:after="100"/>
      <w:ind w:left="240"/>
    </w:pPr>
  </w:style>
  <w:style w:type="paragraph" w:styleId="Kpalrs">
    <w:name w:val="caption"/>
    <w:basedOn w:val="Norml"/>
    <w:next w:val="Norml"/>
    <w:uiPriority w:val="35"/>
    <w:unhideWhenUsed/>
    <w:qFormat/>
    <w:rsid w:val="0067337C"/>
    <w:pPr>
      <w:spacing w:before="0" w:after="200" w:line="240" w:lineRule="auto"/>
    </w:pPr>
    <w:rPr>
      <w:i/>
      <w:iCs/>
      <w:color w:val="0E2841" w:themeColor="text2"/>
      <w:sz w:val="18"/>
      <w:szCs w:val="18"/>
    </w:rPr>
  </w:style>
  <w:style w:type="paragraph" w:styleId="brajegyzk">
    <w:name w:val="table of figures"/>
    <w:basedOn w:val="Norml"/>
    <w:next w:val="Norml"/>
    <w:uiPriority w:val="99"/>
    <w:unhideWhenUsed/>
    <w:rsid w:val="00D15F43"/>
    <w:pPr>
      <w:spacing w:after="0"/>
    </w:pPr>
  </w:style>
  <w:style w:type="paragraph" w:styleId="NormlWeb">
    <w:name w:val="Normal (Web)"/>
    <w:basedOn w:val="Norml"/>
    <w:uiPriority w:val="99"/>
    <w:semiHidden/>
    <w:unhideWhenUsed/>
    <w:rsid w:val="008F13DE"/>
    <w:pPr>
      <w:spacing w:before="100" w:beforeAutospacing="1" w:after="100" w:afterAutospacing="1" w:line="240" w:lineRule="auto"/>
      <w:jc w:val="left"/>
    </w:pPr>
    <w:rPr>
      <w:rFonts w:eastAsia="Times New Roman" w:cs="Times New Roman"/>
      <w:kern w:val="0"/>
      <w:lang w:val="hu-HU"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yperlink" Target="https://mba.tuck.dartmouth.edu/pages/faculty/ken.french/data_library.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alclearpolling.com/polls/president/general/2024/trump-vs-harr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realclearpolling.com/polls/president/general/2024/trump-vs-bide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673C7-18B3-4C90-AE6E-C9E0F238C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33</Pages>
  <Words>5972</Words>
  <Characters>41211</Characters>
  <Application>Microsoft Office Word</Application>
  <DocSecurity>0</DocSecurity>
  <Lines>343</Lines>
  <Paragraphs>94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Őrsi Marcell</dc:creator>
  <cp:keywords/>
  <dc:description/>
  <cp:lastModifiedBy>Mátyás Klimkó</cp:lastModifiedBy>
  <cp:revision>35</cp:revision>
  <dcterms:created xsi:type="dcterms:W3CDTF">2025-12-31T10:18:00Z</dcterms:created>
  <dcterms:modified xsi:type="dcterms:W3CDTF">2025-12-31T11:06:00Z</dcterms:modified>
</cp:coreProperties>
</file>