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95B6" w14:textId="77777777" w:rsidR="00E87DDA" w:rsidRDefault="00E87DDA" w:rsidP="00E87DDA">
      <w:pPr>
        <w:rPr>
          <w:rFonts w:cs="Calibri"/>
          <w:b/>
          <w:bCs/>
          <w:szCs w:val="24"/>
        </w:rPr>
      </w:pPr>
      <w:r w:rsidRPr="00AA232B">
        <w:rPr>
          <w:rFonts w:cs="Calibri"/>
          <w:b/>
          <w:bCs/>
          <w:szCs w:val="24"/>
        </w:rPr>
        <w:t>Eredmények</w:t>
      </w:r>
    </w:p>
    <w:p w14:paraId="7C77C235" w14:textId="129D52F8" w:rsidR="00AE675F" w:rsidRDefault="00AE675F" w:rsidP="00B544F3">
      <w:pPr>
        <w:jc w:val="both"/>
        <w:rPr>
          <w:rFonts w:cs="Calibri"/>
          <w:b/>
          <w:bCs/>
          <w:szCs w:val="24"/>
        </w:rPr>
      </w:pPr>
      <w:r w:rsidRPr="00AE675F">
        <w:rPr>
          <w:rFonts w:cs="Calibri"/>
          <w:b/>
          <w:bCs/>
          <w:szCs w:val="24"/>
        </w:rPr>
        <w:t xml:space="preserve">A teljes mintára vonatkozó kumulált átlagos abnormális hozam </w:t>
      </w:r>
      <w:r w:rsidR="00A97C42">
        <w:rPr>
          <w:rFonts w:cs="Calibri"/>
          <w:b/>
          <w:bCs/>
          <w:szCs w:val="24"/>
        </w:rPr>
        <w:t>(CAAR)</w:t>
      </w:r>
    </w:p>
    <w:p w14:paraId="3959A766" w14:textId="5A57FC52" w:rsidR="00E87DDA" w:rsidRPr="0080220A" w:rsidRDefault="00B544F3" w:rsidP="00B544F3">
      <w:pPr>
        <w:jc w:val="both"/>
        <w:rPr>
          <w:rFonts w:cs="Calibri"/>
          <w:szCs w:val="24"/>
        </w:rPr>
      </w:pPr>
      <w:r w:rsidRPr="00B544F3">
        <w:rPr>
          <w:rFonts w:cs="Calibri"/>
          <w:szCs w:val="24"/>
        </w:rPr>
        <w:t xml:space="preserve">Az egyéni részvényadatokon végzett vizsgálat alapján </w:t>
      </w:r>
      <w:r>
        <w:rPr>
          <w:rFonts w:cs="Calibri"/>
          <w:szCs w:val="24"/>
        </w:rPr>
        <w:t xml:space="preserve">a CAAR </w:t>
      </w:r>
      <w:r w:rsidRPr="00CF6997">
        <w:rPr>
          <w:rFonts w:cs="Calibri"/>
          <w:szCs w:val="24"/>
        </w:rPr>
        <w:t>[</w:t>
      </w:r>
      <w:r>
        <w:rPr>
          <w:rFonts w:cs="Calibri"/>
          <w:szCs w:val="24"/>
        </w:rPr>
        <w:t>-1</w:t>
      </w:r>
      <w:r w:rsidRPr="00CF6997">
        <w:rPr>
          <w:rFonts w:cs="Calibri"/>
          <w:szCs w:val="24"/>
        </w:rPr>
        <w:t>,1]</w:t>
      </w:r>
      <w:r>
        <w:rPr>
          <w:rFonts w:cs="Calibri"/>
          <w:szCs w:val="24"/>
        </w:rPr>
        <w:t xml:space="preserve">, CAAR </w:t>
      </w:r>
      <w:r w:rsidRPr="00CF6997">
        <w:rPr>
          <w:rFonts w:cs="Calibri"/>
          <w:szCs w:val="24"/>
        </w:rPr>
        <w:t>[0,1]</w:t>
      </w:r>
      <w:r>
        <w:rPr>
          <w:rFonts w:cs="Calibri"/>
          <w:szCs w:val="24"/>
        </w:rPr>
        <w:t>, CAAR</w:t>
      </w:r>
      <w:r w:rsidRPr="00CF6997">
        <w:rPr>
          <w:rFonts w:cs="Calibri"/>
          <w:szCs w:val="24"/>
        </w:rPr>
        <w:t xml:space="preserve"> [</w:t>
      </w:r>
      <w:r>
        <w:rPr>
          <w:rFonts w:cs="Calibri"/>
          <w:szCs w:val="24"/>
        </w:rPr>
        <w:t>1,3</w:t>
      </w:r>
      <w:r w:rsidRPr="00CF6997">
        <w:rPr>
          <w:rFonts w:cs="Calibri"/>
          <w:szCs w:val="24"/>
        </w:rPr>
        <w:t>]</w:t>
      </w:r>
      <w:r>
        <w:rPr>
          <w:rFonts w:cs="Calibri"/>
          <w:szCs w:val="24"/>
        </w:rPr>
        <w:t>, CAAR</w:t>
      </w:r>
      <w:r w:rsidRPr="00CF6997">
        <w:rPr>
          <w:rFonts w:cs="Calibri"/>
          <w:szCs w:val="24"/>
        </w:rPr>
        <w:t xml:space="preserve"> [1</w:t>
      </w:r>
      <w:r>
        <w:rPr>
          <w:rFonts w:cs="Calibri"/>
          <w:szCs w:val="24"/>
        </w:rPr>
        <w:t>,5</w:t>
      </w:r>
      <w:r w:rsidRPr="00CF6997">
        <w:rPr>
          <w:rFonts w:cs="Calibri"/>
          <w:szCs w:val="24"/>
        </w:rPr>
        <w:t>]</w:t>
      </w:r>
      <w:r>
        <w:rPr>
          <w:rFonts w:cs="Calibri"/>
          <w:szCs w:val="24"/>
        </w:rPr>
        <w:t xml:space="preserve"> i</w:t>
      </w:r>
      <w:r w:rsidRPr="00B544F3">
        <w:rPr>
          <w:rFonts w:cs="Calibri"/>
          <w:szCs w:val="24"/>
        </w:rPr>
        <w:t>ntervallumokban egyaránt negatív előjelű kumulált átlagos abnormális hozamok</w:t>
      </w:r>
      <w:r w:rsidR="00354E29">
        <w:rPr>
          <w:rFonts w:cs="Calibri"/>
          <w:szCs w:val="24"/>
        </w:rPr>
        <w:t>at becsültünk</w:t>
      </w:r>
      <w:r w:rsidRPr="00B544F3">
        <w:rPr>
          <w:rFonts w:cs="Calibri"/>
          <w:szCs w:val="24"/>
        </w:rPr>
        <w:t xml:space="preserve">, azonban </w:t>
      </w:r>
      <w:r w:rsidR="00354E29">
        <w:rPr>
          <w:rFonts w:cs="Calibri"/>
          <w:szCs w:val="24"/>
        </w:rPr>
        <w:t>a p-érték minden esetben meghaladta</w:t>
      </w:r>
      <w:r w:rsidRPr="00B544F3">
        <w:rPr>
          <w:rFonts w:cs="Calibri"/>
          <w:szCs w:val="24"/>
        </w:rPr>
        <w:t xml:space="preserve"> 5%-os szignifikanciaszint</w:t>
      </w:r>
      <w:r w:rsidR="00354E29">
        <w:rPr>
          <w:rFonts w:cs="Calibri"/>
          <w:szCs w:val="24"/>
        </w:rPr>
        <w:t>et</w:t>
      </w:r>
      <w:r w:rsidRPr="00B544F3">
        <w:rPr>
          <w:rFonts w:cs="Calibri"/>
          <w:szCs w:val="24"/>
        </w:rPr>
        <w:t>. Ez arra utal, hogy az eseményhez köthetően nem figyelhető meg egységes árfolyamreakció a vizsgált részvények körében.</w:t>
      </w:r>
    </w:p>
    <w:tbl>
      <w:tblPr>
        <w:tblW w:w="95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1"/>
        <w:gridCol w:w="1505"/>
        <w:gridCol w:w="1505"/>
        <w:gridCol w:w="1505"/>
        <w:gridCol w:w="1505"/>
        <w:gridCol w:w="1429"/>
        <w:gridCol w:w="872"/>
      </w:tblGrid>
      <w:tr w:rsidR="0066011E" w:rsidRPr="0066011E" w14:paraId="446A7256" w14:textId="77777777" w:rsidTr="0066011E">
        <w:trPr>
          <w:trHeight w:val="315"/>
          <w:jc w:val="center"/>
        </w:trPr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FFB4E5B" w14:textId="77777777" w:rsidR="0066011E" w:rsidRPr="0066011E" w:rsidRDefault="0066011E" w:rsidP="0066011E">
            <w:pPr>
              <w:spacing w:line="240" w:lineRule="auto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A81E" w14:textId="77777777" w:rsidR="0066011E" w:rsidRPr="0066011E" w:rsidRDefault="0066011E" w:rsidP="0066011E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Valós</w:t>
            </w: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34893" w14:textId="77777777" w:rsidR="0066011E" w:rsidRPr="0066011E" w:rsidRDefault="0066011E" w:rsidP="0066011E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Átlag</w:t>
            </w: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3FE14" w14:textId="77777777" w:rsidR="0066011E" w:rsidRPr="0066011E" w:rsidRDefault="0066011E" w:rsidP="0066011E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Medián</w:t>
            </w: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71476" w14:textId="77777777" w:rsidR="0066011E" w:rsidRPr="0066011E" w:rsidRDefault="0066011E" w:rsidP="0066011E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2,5%</w:t>
            </w:r>
          </w:p>
        </w:tc>
        <w:tc>
          <w:tcPr>
            <w:tcW w:w="1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8F2D9" w14:textId="77777777" w:rsidR="0066011E" w:rsidRPr="0066011E" w:rsidRDefault="0066011E" w:rsidP="0066011E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97,5%</w:t>
            </w: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92B9A" w14:textId="77777777" w:rsidR="0066011E" w:rsidRPr="0066011E" w:rsidRDefault="0066011E" w:rsidP="0066011E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p-érték</w:t>
            </w:r>
          </w:p>
        </w:tc>
      </w:tr>
      <w:tr w:rsidR="0066011E" w:rsidRPr="0066011E" w14:paraId="0C9F0834" w14:textId="77777777" w:rsidTr="0066011E">
        <w:trPr>
          <w:trHeight w:val="315"/>
          <w:jc w:val="center"/>
        </w:trPr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11A58" w14:textId="77777777" w:rsidR="0066011E" w:rsidRPr="0066011E" w:rsidRDefault="0066011E" w:rsidP="0066011E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CAAR[-1,1]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C784A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-0.115787712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F6BF3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-0.003653583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D248B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-0.001966252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FA51D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-1.918316326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E215B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1.921926267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024F09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0.9064</w:t>
            </w:r>
          </w:p>
        </w:tc>
      </w:tr>
      <w:tr w:rsidR="0066011E" w:rsidRPr="0066011E" w14:paraId="371EA3A2" w14:textId="77777777" w:rsidTr="0066011E">
        <w:trPr>
          <w:trHeight w:val="315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A7726" w14:textId="77777777" w:rsidR="0066011E" w:rsidRPr="0066011E" w:rsidRDefault="0066011E" w:rsidP="0066011E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CAAR[0,1]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9D8DA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-1.182483644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0FA2F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-0.007229109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AD8DC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-0.021578471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E2617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-1.544448165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84D12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1.58282417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018A2C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0.1449</w:t>
            </w:r>
          </w:p>
        </w:tc>
      </w:tr>
      <w:tr w:rsidR="0066011E" w:rsidRPr="0066011E" w14:paraId="718D02D5" w14:textId="77777777" w:rsidTr="0066011E">
        <w:trPr>
          <w:trHeight w:val="315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85C0A" w14:textId="77777777" w:rsidR="0066011E" w:rsidRPr="0066011E" w:rsidRDefault="0066011E" w:rsidP="0066011E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CAAR[1,3]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FAB78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-0.736993553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21181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-0.003815804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665E5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-0.003312216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FC87A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-2.252272351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AB255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2.183904256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C841B1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0.5158</w:t>
            </w:r>
          </w:p>
        </w:tc>
      </w:tr>
      <w:tr w:rsidR="0066011E" w:rsidRPr="0066011E" w14:paraId="09457756" w14:textId="77777777" w:rsidTr="0066011E">
        <w:trPr>
          <w:trHeight w:val="315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295EC" w14:textId="77777777" w:rsidR="0066011E" w:rsidRPr="0066011E" w:rsidRDefault="0066011E" w:rsidP="0066011E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CAAR[1,5]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2E51FA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-0.44746481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0BDC75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0.008171336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1538E9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0.021146726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353CA1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-2.738021529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63D252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2.74669743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8417E" w14:textId="77777777" w:rsidR="0066011E" w:rsidRPr="0066011E" w:rsidRDefault="0066011E" w:rsidP="0066011E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66011E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0.7479</w:t>
            </w:r>
          </w:p>
        </w:tc>
      </w:tr>
    </w:tbl>
    <w:p w14:paraId="3F77D157" w14:textId="5E4A58FE" w:rsidR="00E87DDA" w:rsidRPr="00653F29" w:rsidRDefault="008C6E57" w:rsidP="000F4D36">
      <w:pPr>
        <w:jc w:val="both"/>
        <w:rPr>
          <w:rFonts w:cs="Calibri"/>
          <w:i/>
          <w:iCs/>
          <w:szCs w:val="24"/>
        </w:rPr>
      </w:pPr>
      <w:r w:rsidRPr="000F4D36">
        <w:rPr>
          <w:rFonts w:cs="Calibri"/>
          <w:i/>
          <w:iCs/>
          <w:szCs w:val="24"/>
          <w:highlight w:val="yellow"/>
        </w:rPr>
        <w:t>x. táblázat</w:t>
      </w:r>
      <w:r w:rsidR="00653F29" w:rsidRPr="000F4D36">
        <w:rPr>
          <w:rFonts w:cs="Calibri"/>
          <w:i/>
          <w:iCs/>
          <w:szCs w:val="24"/>
          <w:highlight w:val="yellow"/>
        </w:rPr>
        <w:t>: kummulált abnormális hozamok teljes mintán</w:t>
      </w:r>
    </w:p>
    <w:p w14:paraId="7E8310B3" w14:textId="73F418D0" w:rsidR="00651C5A" w:rsidRDefault="00651C5A" w:rsidP="00651C5A">
      <w:pPr>
        <w:jc w:val="both"/>
        <w:rPr>
          <w:rFonts w:cs="Calibri"/>
          <w:szCs w:val="24"/>
        </w:rPr>
      </w:pPr>
      <w:r w:rsidRPr="00651C5A">
        <w:rPr>
          <w:rFonts w:cs="Calibri"/>
          <w:szCs w:val="24"/>
        </w:rPr>
        <w:t>Az eredmény részben magyarázható a részvények heterogenitásával: az egyes papírok pozitív és negatív abnormális kumulált hozamai aggregálva részben kioltották egymást. Ez az aggregációs hatás megjelenik a CAAR-ok nullához közeli értékeiben</w:t>
      </w:r>
      <w:r w:rsidR="00AA290F">
        <w:rPr>
          <w:rFonts w:cs="Calibri"/>
          <w:szCs w:val="24"/>
        </w:rPr>
        <w:t>.</w:t>
      </w:r>
    </w:p>
    <w:p w14:paraId="08268033" w14:textId="4B572006" w:rsidR="00D3037D" w:rsidRPr="00651C5A" w:rsidRDefault="00D3037D" w:rsidP="00D3037D">
      <w:pPr>
        <w:jc w:val="both"/>
        <w:rPr>
          <w:rFonts w:cs="Calibri"/>
          <w:szCs w:val="24"/>
        </w:rPr>
      </w:pPr>
      <w:r w:rsidRPr="00D3037D">
        <w:rPr>
          <w:rFonts w:cs="Calibri"/>
          <w:szCs w:val="24"/>
        </w:rPr>
        <w:t>Abszolút értékben a legnagyobb elmozdulás a CAAR [0,1] intervallumban volt megfigyelhető, azonban ezen idő</w:t>
      </w:r>
      <w:r w:rsidR="002A5AF0">
        <w:rPr>
          <w:rFonts w:cs="Calibri"/>
          <w:szCs w:val="24"/>
        </w:rPr>
        <w:t>ablakban is</w:t>
      </w:r>
      <w:r w:rsidRPr="00D3037D">
        <w:rPr>
          <w:rFonts w:cs="Calibri"/>
          <w:szCs w:val="24"/>
        </w:rPr>
        <w:t xml:space="preserve"> </w:t>
      </w:r>
      <w:r w:rsidR="002A5AF0">
        <w:rPr>
          <w:rFonts w:cs="Calibri"/>
          <w:szCs w:val="24"/>
        </w:rPr>
        <w:t>a p-érték meghaladta az 5%-ot</w:t>
      </w:r>
      <w:r w:rsidRPr="00D3037D">
        <w:rPr>
          <w:rFonts w:cs="Calibri"/>
          <w:szCs w:val="24"/>
        </w:rPr>
        <w:t>, így az eredmény nem tekinthető szignifikánsnak. Ebben az intervallumban az átlag kisebb volt, mint a medián, ami arra utal, hogy néhány kiugró érték lefelé torzította az átlagos abnormális hozamot. Ezzel szemben a másik három idő</w:t>
      </w:r>
      <w:r w:rsidR="00656248">
        <w:rPr>
          <w:rFonts w:cs="Calibri"/>
          <w:szCs w:val="24"/>
        </w:rPr>
        <w:t>ablakban</w:t>
      </w:r>
      <w:r w:rsidRPr="00D3037D">
        <w:rPr>
          <w:rFonts w:cs="Calibri"/>
          <w:szCs w:val="24"/>
        </w:rPr>
        <w:t xml:space="preserve"> az átlag abszolút értékben meghaladta a mediánt, ami néhány nagyobb negatív abnormális hozam jelenlétére utal.</w:t>
      </w:r>
      <w:r w:rsidR="000B4221">
        <w:rPr>
          <w:rFonts w:cs="Calibri"/>
          <w:szCs w:val="24"/>
        </w:rPr>
        <w:t xml:space="preserve"> </w:t>
      </w:r>
      <w:r w:rsidRPr="00D3037D">
        <w:rPr>
          <w:rFonts w:cs="Calibri"/>
          <w:szCs w:val="24"/>
        </w:rPr>
        <w:t>Végül megfigyelhető, hogy a CAAR abszolút értéke az idő előrehaladtával csökken, ami nem támasztja alá egy tartós eseményhatás fennállását.</w:t>
      </w:r>
    </w:p>
    <w:p w14:paraId="1808CDE3" w14:textId="200C1FB5" w:rsidR="000F4D36" w:rsidRDefault="00E87DDA" w:rsidP="00E87DDA">
      <w:r>
        <w:rPr>
          <w:rFonts w:cs="Calibri"/>
          <w:b/>
          <w:bCs/>
          <w:noProof/>
          <w:szCs w:val="24"/>
        </w:rPr>
        <w:lastRenderedPageBreak/>
        <w:drawing>
          <wp:inline distT="0" distB="0" distL="0" distR="0" wp14:anchorId="4AD00AFE" wp14:editId="2A4285E5">
            <wp:extent cx="5760720" cy="4320540"/>
            <wp:effectExtent l="0" t="0" r="0" b="3810"/>
            <wp:docPr id="641826388" name="Áb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26388" name="Ábra 641826388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6451" w14:textId="7B6506A9" w:rsidR="000F4D36" w:rsidRPr="004B42E5" w:rsidRDefault="004B42E5" w:rsidP="004B42E5">
      <w:pPr>
        <w:jc w:val="both"/>
        <w:rPr>
          <w:rFonts w:cs="Calibri"/>
          <w:i/>
          <w:iCs/>
          <w:szCs w:val="24"/>
        </w:rPr>
      </w:pPr>
      <w:r w:rsidRPr="000F4D36">
        <w:rPr>
          <w:rFonts w:cs="Calibri"/>
          <w:i/>
          <w:iCs/>
          <w:szCs w:val="24"/>
          <w:highlight w:val="yellow"/>
        </w:rPr>
        <w:t xml:space="preserve">x. </w:t>
      </w:r>
      <w:r>
        <w:rPr>
          <w:rFonts w:cs="Calibri"/>
          <w:i/>
          <w:iCs/>
          <w:szCs w:val="24"/>
          <w:highlight w:val="yellow"/>
        </w:rPr>
        <w:t>ábra</w:t>
      </w:r>
      <w:r w:rsidRPr="000F4D36">
        <w:rPr>
          <w:rFonts w:cs="Calibri"/>
          <w:i/>
          <w:iCs/>
          <w:szCs w:val="24"/>
          <w:highlight w:val="yellow"/>
        </w:rPr>
        <w:t xml:space="preserve">: </w:t>
      </w:r>
      <w:r w:rsidRPr="004B42E5">
        <w:rPr>
          <w:rFonts w:cs="Calibri"/>
          <w:i/>
          <w:iCs/>
          <w:szCs w:val="24"/>
          <w:highlight w:val="yellow"/>
        </w:rPr>
        <w:t>A kummulált abnormális hozam eloszlás</w:t>
      </w:r>
    </w:p>
    <w:p w14:paraId="7B4BED21" w14:textId="34A39F64" w:rsidR="00A97C42" w:rsidRDefault="00A97C42" w:rsidP="002F2454">
      <w:pPr>
        <w:jc w:val="both"/>
        <w:rPr>
          <w:b/>
          <w:bCs/>
        </w:rPr>
      </w:pPr>
      <w:r w:rsidRPr="00A97C42">
        <w:rPr>
          <w:b/>
          <w:bCs/>
        </w:rPr>
        <w:t>Szektoronként számított átlagos abnormális hozamok</w:t>
      </w:r>
      <w:r>
        <w:rPr>
          <w:b/>
          <w:bCs/>
        </w:rPr>
        <w:t xml:space="preserve"> (AAR)</w:t>
      </w:r>
    </w:p>
    <w:p w14:paraId="4AB5F29D" w14:textId="30A94372" w:rsidR="00B476F4" w:rsidRDefault="00B6316D" w:rsidP="005A6EF0">
      <w:pPr>
        <w:jc w:val="both"/>
      </w:pPr>
      <w:r w:rsidRPr="00B6316D">
        <w:t>Részvénytípusonként bontva eltérő reakciók figyelhetők meg az átlagos abnormális hozamok alakulásában. A várakozásokkal összhangban a Trump-hoz köthető részvények esetében az eseményt követően több napon keresztül pozitív és statisztikailag szignifikáns abnormális hozam volt megfigyelhető, amelyet ezt követően korrekció követett. A konfidenciaintervallum kizárólag az esemény napján tartalmazta a nullát, míg a többi napon az abnormális hozamok 5%-os szignifikanciaszint mellett szignifikánsnak bizonyultak.</w:t>
      </w:r>
    </w:p>
    <w:p w14:paraId="334D1EF4" w14:textId="4D7E1DE9" w:rsidR="005A6EF0" w:rsidRDefault="00B476F4" w:rsidP="00B476F4">
      <w:pPr>
        <w:spacing w:after="160" w:line="278" w:lineRule="auto"/>
      </w:pPr>
      <w:r>
        <w:br w:type="page"/>
      </w:r>
    </w:p>
    <w:tbl>
      <w:tblPr>
        <w:tblW w:w="88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13"/>
        <w:gridCol w:w="1006"/>
        <w:gridCol w:w="1006"/>
        <w:gridCol w:w="1006"/>
        <w:gridCol w:w="1006"/>
        <w:gridCol w:w="1006"/>
        <w:gridCol w:w="1006"/>
        <w:gridCol w:w="1006"/>
      </w:tblGrid>
      <w:tr w:rsidR="005A6EF0" w:rsidRPr="005A6EF0" w14:paraId="5BE5921A" w14:textId="77777777" w:rsidTr="003811E4">
        <w:trPr>
          <w:trHeight w:val="58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129610E" w14:textId="77777777" w:rsidR="005A6EF0" w:rsidRPr="005A6EF0" w:rsidRDefault="005A6EF0" w:rsidP="005A6EF0">
            <w:pPr>
              <w:spacing w:line="240" w:lineRule="auto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lastRenderedPageBreak/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D1EC4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-1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22663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0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76E11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1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674AA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2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8C93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3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BD60B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4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F3A8B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5</w:t>
            </w:r>
          </w:p>
        </w:tc>
      </w:tr>
      <w:tr w:rsidR="005A6EF0" w:rsidRPr="005A6EF0" w14:paraId="27D4C3A0" w14:textId="77777777" w:rsidTr="003811E4">
        <w:trPr>
          <w:trHeight w:val="58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E4B6" w14:textId="0515F2F2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Trump</w:t>
            </w:r>
            <w:r w:rsidR="003811E4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 xml:space="preserve"> </w:t>
            </w: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részvények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CD7DD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1.385257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1E02C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0.167936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1DC3D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3.499659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B025A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-1.65226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609A5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2.828326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CB558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5.332748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559F81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-0.93347</w:t>
            </w:r>
          </w:p>
        </w:tc>
      </w:tr>
      <w:tr w:rsidR="005A6EF0" w:rsidRPr="005A6EF0" w14:paraId="294F0131" w14:textId="77777777" w:rsidTr="003811E4">
        <w:trPr>
          <w:trHeight w:val="58"/>
        </w:trPr>
        <w:tc>
          <w:tcPr>
            <w:tcW w:w="1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1879A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2,5%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BD472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0.689051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1E76A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-0.76375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7AAB8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0.74307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D2D30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-2.62739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B43D5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1.729814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62177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4.161669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4E98F6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-1.52683</w:t>
            </w:r>
          </w:p>
        </w:tc>
      </w:tr>
      <w:tr w:rsidR="005A6EF0" w:rsidRPr="005A6EF0" w14:paraId="392E2BAC" w14:textId="77777777" w:rsidTr="003811E4">
        <w:trPr>
          <w:trHeight w:val="58"/>
        </w:trPr>
        <w:tc>
          <w:tcPr>
            <w:tcW w:w="1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D76F6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97,5%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9A41D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2.182164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9EA30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0.856919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A24CE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5.583677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2C5EF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-0.55029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02628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3.65878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4BF8B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6.154835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0530CE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-0.24962</w:t>
            </w:r>
          </w:p>
        </w:tc>
      </w:tr>
      <w:tr w:rsidR="005A6EF0" w:rsidRPr="005A6EF0" w14:paraId="6255DC2A" w14:textId="77777777" w:rsidTr="003811E4">
        <w:trPr>
          <w:trHeight w:val="58"/>
        </w:trPr>
        <w:tc>
          <w:tcPr>
            <w:tcW w:w="1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E4159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Harris részvények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DC155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1.635704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EB717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0.471802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2C5B3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-6.19969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71D6D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-0.21249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09751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0.545392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9EB86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-1.61083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0D3924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-2.39302</w:t>
            </w:r>
          </w:p>
        </w:tc>
      </w:tr>
      <w:tr w:rsidR="005A6EF0" w:rsidRPr="005A6EF0" w14:paraId="1216C3B8" w14:textId="77777777" w:rsidTr="003811E4">
        <w:trPr>
          <w:trHeight w:val="58"/>
        </w:trPr>
        <w:tc>
          <w:tcPr>
            <w:tcW w:w="1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C190B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2,5%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9700D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1.102762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C46E9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0.065343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94E95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-7.72528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88038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-0.9491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BD93C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0.090271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99410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-2.24236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91E54E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-2.82351</w:t>
            </w:r>
          </w:p>
        </w:tc>
      </w:tr>
      <w:tr w:rsidR="005A6EF0" w:rsidRPr="005A6EF0" w14:paraId="7CB705A8" w14:textId="77777777" w:rsidTr="003811E4">
        <w:trPr>
          <w:trHeight w:val="58"/>
        </w:trPr>
        <w:tc>
          <w:tcPr>
            <w:tcW w:w="1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3048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97,5%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BE3BD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2.177564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CC298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0.904306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221A7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-4.61183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1D4BE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0.492364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B4508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1.036119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40CBD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-0.94562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89776A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-1.94559</w:t>
            </w:r>
          </w:p>
        </w:tc>
      </w:tr>
      <w:tr w:rsidR="005A6EF0" w:rsidRPr="005A6EF0" w14:paraId="253898C1" w14:textId="77777777" w:rsidTr="003811E4">
        <w:trPr>
          <w:trHeight w:val="58"/>
        </w:trPr>
        <w:tc>
          <w:tcPr>
            <w:tcW w:w="1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0EA4E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Tech részvények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977F1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-0.45037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B4EF0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-0.90177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026BA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1.215235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A89BB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-1.48555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2B4CF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-2.0879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F3600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0.703125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277ECF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0.88765</w:t>
            </w:r>
          </w:p>
        </w:tc>
      </w:tr>
      <w:tr w:rsidR="005A6EF0" w:rsidRPr="005A6EF0" w14:paraId="1CE3DCAB" w14:textId="77777777" w:rsidTr="003811E4">
        <w:trPr>
          <w:trHeight w:val="58"/>
        </w:trPr>
        <w:tc>
          <w:tcPr>
            <w:tcW w:w="1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8D785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2,5%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0ADA9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-0.9267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2E38B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-1.28866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01959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0.009756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93A9B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-2.12284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A2CE4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-2.53322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905D6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0.238028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E1C8DF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0.541552</w:t>
            </w:r>
          </w:p>
        </w:tc>
      </w:tr>
      <w:tr w:rsidR="005A6EF0" w:rsidRPr="005A6EF0" w14:paraId="3288A497" w14:textId="77777777" w:rsidTr="003811E4">
        <w:trPr>
          <w:trHeight w:val="58"/>
        </w:trPr>
        <w:tc>
          <w:tcPr>
            <w:tcW w:w="1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554CD" w14:textId="77777777" w:rsidR="005A6EF0" w:rsidRPr="005A6EF0" w:rsidRDefault="005A6EF0" w:rsidP="005A6EF0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97,5%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E31DA8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0.004545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F58023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-0.53152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418AD7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2.280908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7848ED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-0.80028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927861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-1.64549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20D145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1.092539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90819" w14:textId="77777777" w:rsidR="005A6EF0" w:rsidRPr="005A6EF0" w:rsidRDefault="005A6EF0" w:rsidP="005A6EF0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5A6EF0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1.255867</w:t>
            </w:r>
          </w:p>
        </w:tc>
      </w:tr>
    </w:tbl>
    <w:p w14:paraId="182B9E5E" w14:textId="71C89DC3" w:rsidR="00A03330" w:rsidRPr="00B476F4" w:rsidRDefault="00B477E9" w:rsidP="00B476F4">
      <w:pPr>
        <w:jc w:val="both"/>
        <w:rPr>
          <w:rFonts w:cs="Calibri"/>
          <w:i/>
          <w:iCs/>
          <w:szCs w:val="24"/>
        </w:rPr>
      </w:pPr>
      <w:r w:rsidRPr="000F4D36">
        <w:rPr>
          <w:rFonts w:cs="Calibri"/>
          <w:i/>
          <w:iCs/>
          <w:szCs w:val="24"/>
          <w:highlight w:val="yellow"/>
        </w:rPr>
        <w:t xml:space="preserve">x. táblázat: </w:t>
      </w:r>
      <w:r w:rsidRPr="00B477E9">
        <w:rPr>
          <w:rFonts w:cs="Calibri"/>
          <w:i/>
          <w:iCs/>
          <w:szCs w:val="24"/>
          <w:highlight w:val="yellow"/>
        </w:rPr>
        <w:t>Szektoronként számított átlagos abnormális hozamok</w:t>
      </w:r>
    </w:p>
    <w:p w14:paraId="640A1F1B" w14:textId="48B8F865" w:rsidR="00430732" w:rsidRDefault="00430732" w:rsidP="002F2454">
      <w:pPr>
        <w:jc w:val="both"/>
      </w:pPr>
      <w:r w:rsidRPr="00430732">
        <w:t>Ezeknél a részvényeknél már az eseményt megelőző napon (T–1) is pozitív abnormális hozam volt kimutatható. Ez összevethető azon vállalatok részvényeivel, amelyek esetében Harris győzelme jelentett volna kedvező kimenetelt, mivel ezek a papírok szintén szignifikánsan pozitívan reagáltak a beérkező információkra. A pozitív abnormális hozamok abszolút értékben jellemzően meghaladták a negatív elmozdulásokat.</w:t>
      </w:r>
    </w:p>
    <w:p w14:paraId="1C852D25" w14:textId="55821E25" w:rsidR="00430732" w:rsidRDefault="00430732" w:rsidP="002F2454">
      <w:pPr>
        <w:jc w:val="both"/>
      </w:pPr>
      <w:r w:rsidRPr="00430732">
        <w:t>A Harris számára kedvező kimenetelt feltételező vállalatok esetében több időpontban is statisztikailag szignifikáns eredmények adódtak. A választás napján, illetve azt megelőzően az abnormális hozamok jellemzően pozitívak és szignifikánsak voltak, míg a választást követően – a várakozásoknak megfelelően – negatív és szignifikáns elmozdulás következett be. Abszolút értékben a legerőteljesebb korrekció a választást követő első napon jelentkezett, amelyet a második és harmadik napon további kiigazodás követett; ezek közül azonban csak a harmadik napi eredmény bizonyult szignifikánsnak.</w:t>
      </w:r>
    </w:p>
    <w:p w14:paraId="672BE233" w14:textId="7E8B2F93" w:rsidR="00430732" w:rsidRDefault="003419AC" w:rsidP="002F2454">
      <w:pPr>
        <w:jc w:val="both"/>
      </w:pPr>
      <w:r w:rsidRPr="003419AC">
        <w:t>A technológiai szektor esetében a választás napján szignifikánsan negatív abnormális hozam volt megfigyelhető, amelyet egy ellentétes irányú, szintén szignifikáns korrekció követett. A választást követő második és harmadik napon ismét szignifikáns árfolyamcsökkenés volt tapasztalható, amelyet ezt követően további korrekció követett. A gyakori előjelváltások magyarázhatók az eseményhez kapcsolódó megnövekedett volatilitással, valamint a befektetők heterogenitásával, akik eltérően értelmezhették a kialakult helyzetet.</w:t>
      </w:r>
    </w:p>
    <w:p w14:paraId="639FB255" w14:textId="26BDE47A" w:rsidR="003419AC" w:rsidRDefault="003419AC" w:rsidP="002F2454">
      <w:pPr>
        <w:jc w:val="both"/>
      </w:pPr>
      <w:r w:rsidRPr="003419AC">
        <w:lastRenderedPageBreak/>
        <w:t>Az eseményt megelőző napon a technológiai szektor abnormális hozama negatív volt, azonban mivel a konfidenciaintervallum tartalmazta a nullát, az eredmény nem tekinthető statisztikailag szignifikánsnak.</w:t>
      </w:r>
    </w:p>
    <w:p w14:paraId="45A32351" w14:textId="63924747" w:rsidR="00A6035D" w:rsidRDefault="00A6035D" w:rsidP="00E87DDA">
      <w:r>
        <w:rPr>
          <w:noProof/>
        </w:rPr>
        <w:drawing>
          <wp:inline distT="0" distB="0" distL="0" distR="0" wp14:anchorId="7DC56507" wp14:editId="4349D37C">
            <wp:extent cx="5760720" cy="5760720"/>
            <wp:effectExtent l="0" t="0" r="0" b="0"/>
            <wp:docPr id="491737550" name="Áb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37550" name="Ábra 49173755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5E37" w14:textId="1CC05C4A" w:rsidR="004B42E5" w:rsidRPr="004B42E5" w:rsidRDefault="004B42E5" w:rsidP="004B42E5">
      <w:pPr>
        <w:jc w:val="both"/>
        <w:rPr>
          <w:rFonts w:cs="Calibri"/>
          <w:i/>
          <w:iCs/>
          <w:szCs w:val="24"/>
        </w:rPr>
      </w:pPr>
      <w:r w:rsidRPr="000F4D36">
        <w:rPr>
          <w:rFonts w:cs="Calibri"/>
          <w:i/>
          <w:iCs/>
          <w:szCs w:val="24"/>
          <w:highlight w:val="yellow"/>
        </w:rPr>
        <w:t xml:space="preserve">x. </w:t>
      </w:r>
      <w:r>
        <w:rPr>
          <w:rFonts w:cs="Calibri"/>
          <w:i/>
          <w:iCs/>
          <w:szCs w:val="24"/>
          <w:highlight w:val="yellow"/>
        </w:rPr>
        <w:t>ábra</w:t>
      </w:r>
      <w:r w:rsidRPr="004B42E5">
        <w:rPr>
          <w:rFonts w:cs="Calibri"/>
          <w:i/>
          <w:iCs/>
          <w:szCs w:val="24"/>
          <w:highlight w:val="yellow"/>
        </w:rPr>
        <w:t xml:space="preserve">: </w:t>
      </w:r>
      <w:r w:rsidRPr="004B42E5">
        <w:rPr>
          <w:rFonts w:cs="Calibri"/>
          <w:i/>
          <w:iCs/>
          <w:szCs w:val="24"/>
          <w:highlight w:val="yellow"/>
        </w:rPr>
        <w:t>Az abnormális hozam alakulása</w:t>
      </w:r>
    </w:p>
    <w:p w14:paraId="28D96878" w14:textId="334BBA22" w:rsidR="000722CF" w:rsidRDefault="000722CF" w:rsidP="004E73B9">
      <w:pPr>
        <w:jc w:val="both"/>
        <w:rPr>
          <w:rFonts w:cs="Calibri"/>
          <w:b/>
          <w:bCs/>
          <w:szCs w:val="24"/>
        </w:rPr>
      </w:pPr>
      <w:r w:rsidRPr="000722CF">
        <w:rPr>
          <w:rFonts w:cs="Calibri"/>
          <w:b/>
          <w:bCs/>
          <w:szCs w:val="24"/>
        </w:rPr>
        <w:t>Részvénytípusonként számított kumulált átlagos abnormális hozamok</w:t>
      </w:r>
      <w:r>
        <w:rPr>
          <w:rFonts w:cs="Calibri"/>
          <w:b/>
          <w:bCs/>
          <w:szCs w:val="24"/>
        </w:rPr>
        <w:t xml:space="preserve"> (CAAR)</w:t>
      </w:r>
    </w:p>
    <w:p w14:paraId="115703F7" w14:textId="6AAA90FF" w:rsidR="00C84917" w:rsidRDefault="004E73B9" w:rsidP="004E73B9">
      <w:pPr>
        <w:jc w:val="both"/>
      </w:pPr>
      <w:r w:rsidRPr="004E73B9">
        <w:t>A Trump-hoz köthető részvények esetében a vizsgált eseményablakok mindegyikében pozitív előjelű kumulált átlagos abnormális hozam figyelhető meg. Az eredmények 5%-os szignifikanciaszint mellett</w:t>
      </w:r>
      <w:r w:rsidR="00046D1B">
        <w:t>,</w:t>
      </w:r>
      <w:r w:rsidRPr="004E73B9">
        <w:t xml:space="preserve"> a [0,1] időablak kivételével</w:t>
      </w:r>
      <w:r w:rsidR="00046D1B">
        <w:t>,</w:t>
      </w:r>
      <w:r w:rsidRPr="004E73B9">
        <w:t xml:space="preserve"> statisztikailag szignifikánsak, ami </w:t>
      </w:r>
      <w:r w:rsidRPr="004E73B9">
        <w:lastRenderedPageBreak/>
        <w:t>összhangban áll azzal az előzetes várakozással, hogy egy Trump-győzelemhez kapcsolódó esemény kedvező piaci várakozásokat váltott ki, amelyeket a befektetők az árakba beépítettek.</w:t>
      </w:r>
    </w:p>
    <w:p w14:paraId="36CCFFB0" w14:textId="77777777" w:rsidR="00B476F4" w:rsidRDefault="00C84917" w:rsidP="004E73B9">
      <w:pPr>
        <w:jc w:val="both"/>
      </w:pPr>
      <w:r>
        <w:rPr>
          <w:noProof/>
        </w:rPr>
        <w:drawing>
          <wp:inline distT="0" distB="0" distL="0" distR="0" wp14:anchorId="78577093" wp14:editId="13337FAA">
            <wp:extent cx="5760720" cy="4320540"/>
            <wp:effectExtent l="0" t="0" r="0" b="3810"/>
            <wp:docPr id="1299838492" name="Áb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8492" name="Ábra 129983849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B4DC" w14:textId="6B93422F" w:rsidR="00B476F4" w:rsidRPr="004B42E5" w:rsidRDefault="00B476F4" w:rsidP="00B476F4">
      <w:pPr>
        <w:jc w:val="both"/>
        <w:rPr>
          <w:rFonts w:cs="Calibri"/>
          <w:i/>
          <w:iCs/>
          <w:szCs w:val="24"/>
        </w:rPr>
      </w:pPr>
      <w:r w:rsidRPr="000F4D36">
        <w:rPr>
          <w:rFonts w:cs="Calibri"/>
          <w:i/>
          <w:iCs/>
          <w:szCs w:val="24"/>
          <w:highlight w:val="yellow"/>
        </w:rPr>
        <w:t xml:space="preserve">x. </w:t>
      </w:r>
      <w:r>
        <w:rPr>
          <w:rFonts w:cs="Calibri"/>
          <w:i/>
          <w:iCs/>
          <w:szCs w:val="24"/>
          <w:highlight w:val="yellow"/>
        </w:rPr>
        <w:t>ábra</w:t>
      </w:r>
      <w:r w:rsidRPr="000F4D36">
        <w:rPr>
          <w:rFonts w:cs="Calibri"/>
          <w:i/>
          <w:iCs/>
          <w:szCs w:val="24"/>
          <w:highlight w:val="yellow"/>
        </w:rPr>
        <w:t xml:space="preserve">: </w:t>
      </w:r>
      <w:r w:rsidRPr="004B42E5">
        <w:rPr>
          <w:rFonts w:cs="Calibri"/>
          <w:i/>
          <w:iCs/>
          <w:szCs w:val="24"/>
          <w:highlight w:val="yellow"/>
        </w:rPr>
        <w:t xml:space="preserve">A kummulált abnormális hozam </w:t>
      </w:r>
      <w:r w:rsidRPr="00B476F4">
        <w:rPr>
          <w:rFonts w:cs="Calibri"/>
          <w:i/>
          <w:iCs/>
          <w:szCs w:val="24"/>
          <w:highlight w:val="yellow"/>
        </w:rPr>
        <w:t>eloszlás</w:t>
      </w:r>
      <w:r w:rsidRPr="00B476F4">
        <w:rPr>
          <w:rFonts w:cs="Calibri"/>
          <w:i/>
          <w:iCs/>
          <w:szCs w:val="24"/>
          <w:highlight w:val="yellow"/>
        </w:rPr>
        <w:t xml:space="preserve"> Trump</w:t>
      </w:r>
    </w:p>
    <w:p w14:paraId="615A0E5F" w14:textId="19C507E8" w:rsidR="004E73B9" w:rsidRDefault="004E73B9" w:rsidP="004E73B9">
      <w:pPr>
        <w:jc w:val="both"/>
      </w:pPr>
      <w:r w:rsidRPr="004E73B9">
        <w:t>A Harris-hez köthető részvények esetében ezzel szemben valamennyi vizsgált eseményablakban negatív és statisztikailag szignifikáns kumulált átlagos abnormális hozam figyelhető meg. Ez az eredmény megfelel annak a várakozásnak, miszerint a Harrishez köthető vállalatok szektorai a Trump-féle gazdaságpolitikai és szabályozási prioritások alapján kedvezőtlenebb piaci megítélés alá esnek.</w:t>
      </w:r>
    </w:p>
    <w:p w14:paraId="31D045BF" w14:textId="1000EC1D" w:rsidR="00C84917" w:rsidRDefault="00C84917" w:rsidP="004E73B9">
      <w:pPr>
        <w:jc w:val="both"/>
      </w:pPr>
      <w:r>
        <w:rPr>
          <w:noProof/>
        </w:rPr>
        <w:lastRenderedPageBreak/>
        <w:drawing>
          <wp:inline distT="0" distB="0" distL="0" distR="0" wp14:anchorId="0E6EC192" wp14:editId="7DFB6B56">
            <wp:extent cx="5760720" cy="4320540"/>
            <wp:effectExtent l="0" t="0" r="0" b="3810"/>
            <wp:docPr id="2134489468" name="Áb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89468" name="Ábra 213448946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3F57" w14:textId="5B83BC2E" w:rsidR="00B476F4" w:rsidRPr="004E73B9" w:rsidRDefault="00B476F4" w:rsidP="004E73B9">
      <w:pPr>
        <w:jc w:val="both"/>
        <w:rPr>
          <w:rFonts w:cs="Calibri"/>
          <w:i/>
          <w:iCs/>
          <w:szCs w:val="24"/>
        </w:rPr>
      </w:pPr>
      <w:r w:rsidRPr="000F4D36">
        <w:rPr>
          <w:rFonts w:cs="Calibri"/>
          <w:i/>
          <w:iCs/>
          <w:szCs w:val="24"/>
          <w:highlight w:val="yellow"/>
        </w:rPr>
        <w:t xml:space="preserve">x. </w:t>
      </w:r>
      <w:r>
        <w:rPr>
          <w:rFonts w:cs="Calibri"/>
          <w:i/>
          <w:iCs/>
          <w:szCs w:val="24"/>
          <w:highlight w:val="yellow"/>
        </w:rPr>
        <w:t>ábra</w:t>
      </w:r>
      <w:r w:rsidRPr="000F4D36">
        <w:rPr>
          <w:rFonts w:cs="Calibri"/>
          <w:i/>
          <w:iCs/>
          <w:szCs w:val="24"/>
          <w:highlight w:val="yellow"/>
        </w:rPr>
        <w:t xml:space="preserve">: </w:t>
      </w:r>
      <w:r w:rsidRPr="004B42E5">
        <w:rPr>
          <w:rFonts w:cs="Calibri"/>
          <w:i/>
          <w:iCs/>
          <w:szCs w:val="24"/>
          <w:highlight w:val="yellow"/>
        </w:rPr>
        <w:t xml:space="preserve">A kummulált abnormális hozam </w:t>
      </w:r>
      <w:r w:rsidRPr="00B476F4">
        <w:rPr>
          <w:rFonts w:cs="Calibri"/>
          <w:i/>
          <w:iCs/>
          <w:szCs w:val="24"/>
          <w:highlight w:val="yellow"/>
        </w:rPr>
        <w:t xml:space="preserve">eloszlás </w:t>
      </w:r>
      <w:r w:rsidRPr="00B476F4">
        <w:rPr>
          <w:rFonts w:cs="Calibri"/>
          <w:i/>
          <w:iCs/>
          <w:szCs w:val="24"/>
          <w:highlight w:val="yellow"/>
        </w:rPr>
        <w:t>Harris</w:t>
      </w:r>
    </w:p>
    <w:p w14:paraId="3E51E1F9" w14:textId="7DE6129F" w:rsidR="00B42140" w:rsidRDefault="004E73B9" w:rsidP="00976C70">
      <w:pPr>
        <w:jc w:val="both"/>
      </w:pPr>
      <w:r w:rsidRPr="004E73B9">
        <w:t>A technológiai részvények esetében egyik vizsgált eseményablakban sem mutatható ki statisztikailag szignifikáns CAAR. Bár egyes időablakokban pozitív, másokban negatív előjelű becslések figyelhetők meg, ezek nagyságrendje elhanyagolható. Ez arra utal, hogy a technológiai részvények árfolyamait az esemény érdemben nem befolyásolta, így megfelelő kontrollcsoportként szolgálnak az elemzésben.</w:t>
      </w:r>
      <w:r w:rsidR="003D7139">
        <w:t xml:space="preserve"> </w:t>
      </w:r>
      <w:r w:rsidR="004470BB" w:rsidRPr="004470BB">
        <w:t>Ez az eredmény az előzetes várakozásainkkal ellentétes, mivel a finomabb szabályozás hatására pozitív CAAR-t vártunk.</w:t>
      </w:r>
    </w:p>
    <w:p w14:paraId="28C87F4C" w14:textId="41D6CCD2" w:rsidR="00C84917" w:rsidRDefault="00C84917" w:rsidP="00976C70">
      <w:pPr>
        <w:jc w:val="both"/>
      </w:pPr>
      <w:r>
        <w:rPr>
          <w:noProof/>
        </w:rPr>
        <w:lastRenderedPageBreak/>
        <w:drawing>
          <wp:inline distT="0" distB="0" distL="0" distR="0" wp14:anchorId="687C7E9C" wp14:editId="2D1A0046">
            <wp:extent cx="5760720" cy="4320540"/>
            <wp:effectExtent l="0" t="0" r="0" b="3810"/>
            <wp:docPr id="1466628918" name="Áb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28918" name="Ábra 1466628918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6669" w14:textId="1C1FA21A" w:rsidR="00B476F4" w:rsidRPr="00B476F4" w:rsidRDefault="00B476F4" w:rsidP="00976C70">
      <w:pPr>
        <w:jc w:val="both"/>
        <w:rPr>
          <w:rFonts w:cs="Calibri"/>
          <w:i/>
          <w:iCs/>
          <w:szCs w:val="24"/>
        </w:rPr>
      </w:pPr>
      <w:r w:rsidRPr="000F4D36">
        <w:rPr>
          <w:rFonts w:cs="Calibri"/>
          <w:i/>
          <w:iCs/>
          <w:szCs w:val="24"/>
          <w:highlight w:val="yellow"/>
        </w:rPr>
        <w:t xml:space="preserve">x. </w:t>
      </w:r>
      <w:r>
        <w:rPr>
          <w:rFonts w:cs="Calibri"/>
          <w:i/>
          <w:iCs/>
          <w:szCs w:val="24"/>
          <w:highlight w:val="yellow"/>
        </w:rPr>
        <w:t>ábra</w:t>
      </w:r>
      <w:r w:rsidRPr="000F4D36">
        <w:rPr>
          <w:rFonts w:cs="Calibri"/>
          <w:i/>
          <w:iCs/>
          <w:szCs w:val="24"/>
          <w:highlight w:val="yellow"/>
        </w:rPr>
        <w:t xml:space="preserve">: </w:t>
      </w:r>
      <w:r w:rsidRPr="004B42E5">
        <w:rPr>
          <w:rFonts w:cs="Calibri"/>
          <w:i/>
          <w:iCs/>
          <w:szCs w:val="24"/>
          <w:highlight w:val="yellow"/>
        </w:rPr>
        <w:t xml:space="preserve">A kummulált abnormális hozam </w:t>
      </w:r>
      <w:r w:rsidRPr="00B476F4">
        <w:rPr>
          <w:rFonts w:cs="Calibri"/>
          <w:i/>
          <w:iCs/>
          <w:szCs w:val="24"/>
          <w:highlight w:val="yellow"/>
        </w:rPr>
        <w:t xml:space="preserve">eloszlás </w:t>
      </w:r>
      <w:r w:rsidRPr="00B476F4">
        <w:rPr>
          <w:rFonts w:cs="Calibri"/>
          <w:i/>
          <w:iCs/>
          <w:szCs w:val="24"/>
          <w:highlight w:val="yellow"/>
        </w:rPr>
        <w:t>Tech</w:t>
      </w:r>
    </w:p>
    <w:p w14:paraId="45C2B301" w14:textId="77777777" w:rsidR="00D90D12" w:rsidRPr="00D90D12" w:rsidRDefault="00D90D12" w:rsidP="00D90D12">
      <w:pPr>
        <w:jc w:val="both"/>
      </w:pPr>
      <w:r w:rsidRPr="00D90D12">
        <w:t>A különbségi CAAR-ok alapján a Trump-hoz köthető részvények a vizsgált eseményablakok többségében statisztikailag szignifikánsan felülteljesítették a Harris-hez köthető részvényeket. A Trump–Harris különbség nagysága a hosszabb eseményablakokban tovább növekszik, ami aszimmetrikus piaci reakcióra utal a két politikai kimenetel között.</w:t>
      </w:r>
    </w:p>
    <w:p w14:paraId="05BAD33E" w14:textId="556F73CE" w:rsidR="00B476F4" w:rsidRDefault="00D90D12" w:rsidP="00BD30A9">
      <w:pPr>
        <w:jc w:val="both"/>
      </w:pPr>
      <w:r w:rsidRPr="00D90D12">
        <w:t>A Trump–Tech összehasonlítás eredményei szerint a Trump-részvények több eseményablakban is statisztikailag szignifikánsan felülteljesítették a technológiai részvényeket, míg a Harris–Tech különbségek a [0,1] és [1,5] időablakokban szignifikáns alulteljesítést jeleznek. Ezek az eredmények megerősítik, hogy a megfigyelt hatások nem általános piaci vagy szektorális mozgások következményei.</w:t>
      </w:r>
    </w:p>
    <w:p w14:paraId="378A7320" w14:textId="30E22F03" w:rsidR="008B3FEC" w:rsidRDefault="00B476F4" w:rsidP="00B476F4">
      <w:pPr>
        <w:spacing w:after="160" w:line="278" w:lineRule="auto"/>
      </w:pPr>
      <w:r>
        <w:br w:type="page"/>
      </w:r>
    </w:p>
    <w:tbl>
      <w:tblPr>
        <w:tblW w:w="107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402"/>
        <w:gridCol w:w="837"/>
        <w:gridCol w:w="1402"/>
        <w:gridCol w:w="837"/>
        <w:gridCol w:w="1402"/>
        <w:gridCol w:w="837"/>
        <w:gridCol w:w="1402"/>
        <w:gridCol w:w="837"/>
      </w:tblGrid>
      <w:tr w:rsidR="00BD30A9" w:rsidRPr="008B3FEC" w14:paraId="7EF22320" w14:textId="77777777" w:rsidTr="00071C08">
        <w:trPr>
          <w:trHeight w:val="37"/>
          <w:jc w:val="center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B4693EA" w14:textId="77777777" w:rsidR="008B3FEC" w:rsidRPr="008B3FEC" w:rsidRDefault="008B3FEC" w:rsidP="008B3FEC">
            <w:pPr>
              <w:spacing w:line="240" w:lineRule="auto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lastRenderedPageBreak/>
              <w:t> 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56029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CAAR[-1,1]</w:t>
            </w:r>
          </w:p>
        </w:tc>
        <w:tc>
          <w:tcPr>
            <w:tcW w:w="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CAF4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 xml:space="preserve">p-érték 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4C61D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CAAR[0,1]</w:t>
            </w:r>
          </w:p>
        </w:tc>
        <w:tc>
          <w:tcPr>
            <w:tcW w:w="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0759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 xml:space="preserve">p-érték 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3BFBE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CAAR[1,3]</w:t>
            </w:r>
          </w:p>
        </w:tc>
        <w:tc>
          <w:tcPr>
            <w:tcW w:w="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B0C5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 xml:space="preserve">p-érték 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D39C1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CAAR[1,5]</w:t>
            </w:r>
          </w:p>
        </w:tc>
        <w:tc>
          <w:tcPr>
            <w:tcW w:w="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D5FD5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 xml:space="preserve">p-érték </w:t>
            </w:r>
          </w:p>
        </w:tc>
      </w:tr>
      <w:tr w:rsidR="00BD30A9" w:rsidRPr="008B3FEC" w14:paraId="1DE3DD91" w14:textId="77777777" w:rsidTr="00071C08">
        <w:trPr>
          <w:trHeight w:val="72"/>
          <w:jc w:val="center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A7E09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Trump részvények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1D90B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5.052851659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03032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0.0321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5C6A8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3.667594919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2E25D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0.1006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2E0A1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4.675722191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047F8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0.0433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5D9DF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9.074995972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C4259E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0.0016</w:t>
            </w:r>
          </w:p>
        </w:tc>
      </w:tr>
      <w:tr w:rsidR="00BD30A9" w:rsidRPr="008B3FEC" w14:paraId="02E28CE0" w14:textId="77777777" w:rsidTr="00071C08">
        <w:trPr>
          <w:trHeight w:val="37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7BBDF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Harris részvények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F3CB2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-4.092188628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8349B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0.0107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70422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-5.727892301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686C8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0.0004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D9F37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-5.866787337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1E4DD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0.0004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5AAA1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-9.870635682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CFD31C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</w:t>
            </w:r>
          </w:p>
        </w:tc>
      </w:tr>
      <w:tr w:rsidR="00BD30A9" w:rsidRPr="008B3FEC" w14:paraId="3D06F756" w14:textId="77777777" w:rsidTr="00071C08">
        <w:trPr>
          <w:trHeight w:val="34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32D97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Tech részvények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8C6E2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-0.136906273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2B275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0.9166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4EAA0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0.313465756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9D7D6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0.8126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A132B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-2.358213531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E3E13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0.0743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0367F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-0.767438908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576694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0.5616</w:t>
            </w:r>
          </w:p>
        </w:tc>
      </w:tr>
      <w:tr w:rsidR="00BD30A9" w:rsidRPr="008B3FEC" w14:paraId="16297A02" w14:textId="77777777" w:rsidTr="00071C08">
        <w:trPr>
          <w:trHeight w:val="37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B6CBB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Trump-Harris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712DC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9.145040287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B3BFF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0.0098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95058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9.39548722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C2E57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0.0043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A886F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10.54250953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0F971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0.0039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E4C34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18.94563165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9E2CCC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</w:t>
            </w:r>
          </w:p>
        </w:tc>
      </w:tr>
      <w:tr w:rsidR="00BD30A9" w:rsidRPr="008B3FEC" w14:paraId="6D8AF4EB" w14:textId="77777777" w:rsidTr="00071C08">
        <w:trPr>
          <w:trHeight w:val="34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A67C8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Trump-Tech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C4150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5.189757931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29C36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0.0412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FB116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3.354129163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9814B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0.0936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1EE17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7.033935722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7CC04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0.0083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A590B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9.842434879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16DF8D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0.0039</w:t>
            </w:r>
          </w:p>
        </w:tc>
      </w:tr>
      <w:tr w:rsidR="00BD30A9" w:rsidRPr="008B3FEC" w14:paraId="54D644A6" w14:textId="77777777" w:rsidTr="00071C08">
        <w:trPr>
          <w:trHeight w:val="37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2CD44" w14:textId="77777777" w:rsidR="008B3FEC" w:rsidRPr="008B3FEC" w:rsidRDefault="008B3FEC" w:rsidP="008B3FEC">
            <w:pPr>
              <w:spacing w:line="240" w:lineRule="auto"/>
              <w:jc w:val="center"/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b/>
                <w:bCs/>
                <w:kern w:val="0"/>
                <w:sz w:val="22"/>
                <w:lang w:eastAsia="hu-HU"/>
                <w14:ligatures w14:val="none"/>
              </w:rPr>
              <w:t>Harris-Tech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E960C6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-3.955282355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32792D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0.0582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5F86BF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-6.041358057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C1073C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0.0024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3F44F6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-3.508573807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458C1A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0.0956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1C8927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-9.103196774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6707E" w14:textId="77777777" w:rsidR="008B3FEC" w:rsidRPr="008B3FEC" w:rsidRDefault="008B3FEC" w:rsidP="008B3FEC">
            <w:pPr>
              <w:spacing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</w:pPr>
            <w:r w:rsidRPr="008B3FEC">
              <w:rPr>
                <w:rFonts w:eastAsia="Times New Roman" w:cs="Calibri"/>
                <w:color w:val="000000"/>
                <w:kern w:val="0"/>
                <w:sz w:val="22"/>
                <w:lang w:eastAsia="hu-HU"/>
                <w14:ligatures w14:val="none"/>
              </w:rPr>
              <w:t>0.0012</w:t>
            </w:r>
          </w:p>
        </w:tc>
      </w:tr>
    </w:tbl>
    <w:p w14:paraId="20EF4D97" w14:textId="3196F152" w:rsidR="00B477E9" w:rsidRPr="00653F29" w:rsidRDefault="00B477E9" w:rsidP="00B477E9">
      <w:pPr>
        <w:jc w:val="both"/>
        <w:rPr>
          <w:rFonts w:cs="Calibri"/>
          <w:i/>
          <w:iCs/>
          <w:szCs w:val="24"/>
        </w:rPr>
      </w:pPr>
      <w:r w:rsidRPr="000F4D36">
        <w:rPr>
          <w:rFonts w:cs="Calibri"/>
          <w:i/>
          <w:iCs/>
          <w:szCs w:val="24"/>
          <w:highlight w:val="yellow"/>
        </w:rPr>
        <w:t xml:space="preserve">x. </w:t>
      </w:r>
      <w:r w:rsidRPr="00B477E9">
        <w:rPr>
          <w:rFonts w:cs="Calibri"/>
          <w:i/>
          <w:iCs/>
          <w:szCs w:val="24"/>
          <w:highlight w:val="yellow"/>
        </w:rPr>
        <w:t>táblázat: Részvénytípusonként számított kumulált átlagos abnormális hozamok</w:t>
      </w:r>
      <w:r w:rsidRPr="00B477E9">
        <w:rPr>
          <w:rFonts w:cs="Calibri"/>
          <w:i/>
          <w:iCs/>
          <w:szCs w:val="24"/>
        </w:rPr>
        <w:t xml:space="preserve"> </w:t>
      </w:r>
    </w:p>
    <w:p w14:paraId="537DFF78" w14:textId="200EFBC0" w:rsidR="0093164A" w:rsidRPr="0093164A" w:rsidRDefault="0093164A" w:rsidP="00EE569F">
      <w:pPr>
        <w:jc w:val="both"/>
      </w:pPr>
      <w:r w:rsidRPr="0093164A">
        <w:t>A CAAR-ok időbeli alakulása arra utal, hogy a piaci reakció nem kizárólag az esemény napján jelent meg. A [−1,1] időablakban megfigyelhető szignifikáns CAAR-ok összhangban vannak azzal a feltételezéssel, hogy az információ egy része már az eseményt megelőzően beépülhetett az árfolyamokba. Ugyanakkor a [0,1] időablakban tapasztalt gyengébb vagy nem szignifikáns eredmények arra utalnak, hogy az azonnali piaci reakció részben zajos vagy bizonytalan lehetett.</w:t>
      </w:r>
    </w:p>
    <w:p w14:paraId="2F51549E" w14:textId="5360E28F" w:rsidR="002F2454" w:rsidRDefault="0093164A" w:rsidP="00EE569F">
      <w:pPr>
        <w:jc w:val="both"/>
      </w:pPr>
      <w:r w:rsidRPr="0093164A">
        <w:t>A hosszabb [1,3] és [1,5] eseményablakokban megfigyelhető, abszolút értékben növekvő és szignifikáns CAAR-ok mind a Trump-, mind a Harris-részvények esetében egy több napig fennmaradó, fokozatos újraárazási folyamatra utalnak, amely során a befektetők fokozatosan építették be az esemény információtartalmát az árfolyamokba.</w:t>
      </w:r>
    </w:p>
    <w:p w14:paraId="5A32828C" w14:textId="1FE011E2" w:rsidR="008F0C67" w:rsidRDefault="0093164A" w:rsidP="00EE569F">
      <w:pPr>
        <w:jc w:val="both"/>
      </w:pPr>
      <w:r w:rsidRPr="0093164A">
        <w:t>Az eredmények összességében azt mutatják, hogy a vizsgált politikai esemény eltérő és aszimmetrikus piaci reakciót váltott ki a Trump- és Harris-hez köthető részvények esetében, miközben a technológiai részvények árfolyamait érdemben nem befolyásolta. Ez arra utal, hogy a megfigyelt abnormális hozamok elsősorban politikai várakozásokhoz és szabályozási kilátásokhoz köthetők, nem pedig általános piaci vagy szektorális tényezőkhöz.</w:t>
      </w:r>
      <w:r w:rsidR="00584827">
        <w:t xml:space="preserve"> </w:t>
      </w:r>
      <w:r w:rsidR="004515E2" w:rsidRPr="004515E2">
        <w:t>Az eredmények összhangban állnak az előzetes várakozásainkkal a Trump- és Harris-részvények esetében, míg a technológiai részvényekkel kapcsolatos előrejelzésünk, miszerint pozitív és szignifikáns CAAR-t tapasztalunk, nem igazolódott.</w:t>
      </w:r>
    </w:p>
    <w:sectPr w:rsidR="008F0C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DA"/>
    <w:rsid w:val="0001015B"/>
    <w:rsid w:val="00023906"/>
    <w:rsid w:val="00046D1B"/>
    <w:rsid w:val="0006313A"/>
    <w:rsid w:val="00067110"/>
    <w:rsid w:val="00071C08"/>
    <w:rsid w:val="000722CF"/>
    <w:rsid w:val="000A6AE8"/>
    <w:rsid w:val="000B4221"/>
    <w:rsid w:val="000B44AF"/>
    <w:rsid w:val="000E1127"/>
    <w:rsid w:val="000F2749"/>
    <w:rsid w:val="000F4D36"/>
    <w:rsid w:val="00127E9A"/>
    <w:rsid w:val="001921A8"/>
    <w:rsid w:val="001A28C3"/>
    <w:rsid w:val="001D5FFE"/>
    <w:rsid w:val="0021078B"/>
    <w:rsid w:val="002178D8"/>
    <w:rsid w:val="00233018"/>
    <w:rsid w:val="00271661"/>
    <w:rsid w:val="00271674"/>
    <w:rsid w:val="00273834"/>
    <w:rsid w:val="002A5AF0"/>
    <w:rsid w:val="002A5F1B"/>
    <w:rsid w:val="002F168A"/>
    <w:rsid w:val="002F2454"/>
    <w:rsid w:val="003151C6"/>
    <w:rsid w:val="00316070"/>
    <w:rsid w:val="003267EE"/>
    <w:rsid w:val="00331828"/>
    <w:rsid w:val="003359F3"/>
    <w:rsid w:val="003419AC"/>
    <w:rsid w:val="00354E29"/>
    <w:rsid w:val="00355774"/>
    <w:rsid w:val="00375FC9"/>
    <w:rsid w:val="003811E4"/>
    <w:rsid w:val="003D7139"/>
    <w:rsid w:val="003F1866"/>
    <w:rsid w:val="0040785B"/>
    <w:rsid w:val="00430732"/>
    <w:rsid w:val="004370D4"/>
    <w:rsid w:val="004470BB"/>
    <w:rsid w:val="004515E2"/>
    <w:rsid w:val="00480E33"/>
    <w:rsid w:val="004B42E5"/>
    <w:rsid w:val="004C3741"/>
    <w:rsid w:val="004E73B9"/>
    <w:rsid w:val="004F0127"/>
    <w:rsid w:val="00521570"/>
    <w:rsid w:val="00536925"/>
    <w:rsid w:val="00537EC1"/>
    <w:rsid w:val="00582C0A"/>
    <w:rsid w:val="00584827"/>
    <w:rsid w:val="005A0066"/>
    <w:rsid w:val="005A5F96"/>
    <w:rsid w:val="005A6EF0"/>
    <w:rsid w:val="005F1AB9"/>
    <w:rsid w:val="005F6829"/>
    <w:rsid w:val="006122BE"/>
    <w:rsid w:val="00614C26"/>
    <w:rsid w:val="00651C5A"/>
    <w:rsid w:val="00653F29"/>
    <w:rsid w:val="00656248"/>
    <w:rsid w:val="0066011E"/>
    <w:rsid w:val="00661714"/>
    <w:rsid w:val="00666034"/>
    <w:rsid w:val="006868C3"/>
    <w:rsid w:val="006D652F"/>
    <w:rsid w:val="006E4E4F"/>
    <w:rsid w:val="007115DD"/>
    <w:rsid w:val="0074759E"/>
    <w:rsid w:val="007871AA"/>
    <w:rsid w:val="007E3B96"/>
    <w:rsid w:val="007F737B"/>
    <w:rsid w:val="00813AB0"/>
    <w:rsid w:val="00830A21"/>
    <w:rsid w:val="00837C19"/>
    <w:rsid w:val="008461D8"/>
    <w:rsid w:val="00862CC0"/>
    <w:rsid w:val="00870DA7"/>
    <w:rsid w:val="00875140"/>
    <w:rsid w:val="008B3FEC"/>
    <w:rsid w:val="008C6E57"/>
    <w:rsid w:val="008F0C67"/>
    <w:rsid w:val="0093164A"/>
    <w:rsid w:val="00951C43"/>
    <w:rsid w:val="00976C70"/>
    <w:rsid w:val="00981EE1"/>
    <w:rsid w:val="0098454E"/>
    <w:rsid w:val="009C2DA5"/>
    <w:rsid w:val="009E111A"/>
    <w:rsid w:val="00A03330"/>
    <w:rsid w:val="00A31096"/>
    <w:rsid w:val="00A47C23"/>
    <w:rsid w:val="00A6035D"/>
    <w:rsid w:val="00A76AED"/>
    <w:rsid w:val="00A92A4E"/>
    <w:rsid w:val="00A97C42"/>
    <w:rsid w:val="00AA290F"/>
    <w:rsid w:val="00AD4884"/>
    <w:rsid w:val="00AE675F"/>
    <w:rsid w:val="00AE727B"/>
    <w:rsid w:val="00B036C6"/>
    <w:rsid w:val="00B21CBA"/>
    <w:rsid w:val="00B30D1C"/>
    <w:rsid w:val="00B42140"/>
    <w:rsid w:val="00B42188"/>
    <w:rsid w:val="00B476F4"/>
    <w:rsid w:val="00B477E9"/>
    <w:rsid w:val="00B544F3"/>
    <w:rsid w:val="00B60930"/>
    <w:rsid w:val="00B6316D"/>
    <w:rsid w:val="00B76E3F"/>
    <w:rsid w:val="00BA55FA"/>
    <w:rsid w:val="00BC1D02"/>
    <w:rsid w:val="00BD0FBA"/>
    <w:rsid w:val="00BD30A9"/>
    <w:rsid w:val="00C15EC7"/>
    <w:rsid w:val="00C36525"/>
    <w:rsid w:val="00C51FF3"/>
    <w:rsid w:val="00C553BE"/>
    <w:rsid w:val="00C7460E"/>
    <w:rsid w:val="00C84917"/>
    <w:rsid w:val="00C902F4"/>
    <w:rsid w:val="00CA40E2"/>
    <w:rsid w:val="00CE68FB"/>
    <w:rsid w:val="00D07D6D"/>
    <w:rsid w:val="00D3037D"/>
    <w:rsid w:val="00D62A8B"/>
    <w:rsid w:val="00D74827"/>
    <w:rsid w:val="00D8433B"/>
    <w:rsid w:val="00D90D12"/>
    <w:rsid w:val="00DB1D13"/>
    <w:rsid w:val="00DB214C"/>
    <w:rsid w:val="00DC3F62"/>
    <w:rsid w:val="00DD4C2E"/>
    <w:rsid w:val="00DE5187"/>
    <w:rsid w:val="00E4278E"/>
    <w:rsid w:val="00E86573"/>
    <w:rsid w:val="00E87DDA"/>
    <w:rsid w:val="00EB6604"/>
    <w:rsid w:val="00ED48DE"/>
    <w:rsid w:val="00EE569F"/>
    <w:rsid w:val="00F12676"/>
    <w:rsid w:val="00F44D4D"/>
    <w:rsid w:val="00F474CF"/>
    <w:rsid w:val="00F80E31"/>
    <w:rsid w:val="00F82815"/>
    <w:rsid w:val="00F865C3"/>
    <w:rsid w:val="00FC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C9329"/>
  <w15:chartTrackingRefBased/>
  <w15:docId w15:val="{0CE29E63-0B09-4557-AE26-6EE1CCF2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87DDA"/>
    <w:pPr>
      <w:spacing w:after="0" w:line="480" w:lineRule="auto"/>
    </w:pPr>
    <w:rPr>
      <w:rFonts w:ascii="Calibri" w:hAnsi="Calibri"/>
      <w:szCs w:val="22"/>
    </w:rPr>
  </w:style>
  <w:style w:type="paragraph" w:styleId="Cmsor1">
    <w:name w:val="heading 1"/>
    <w:basedOn w:val="Norml"/>
    <w:next w:val="Norml"/>
    <w:link w:val="Cmsor1Char"/>
    <w:uiPriority w:val="9"/>
    <w:qFormat/>
    <w:rsid w:val="00E87D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87D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87DD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87DD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87DD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87DD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87DD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87DD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87DD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87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87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87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87DD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87DD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87DD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87DD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87DD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87DD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8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8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87DD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8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87DDA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E87DD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87DDA"/>
    <w:pPr>
      <w:spacing w:after="160" w:line="278" w:lineRule="auto"/>
      <w:ind w:left="720"/>
      <w:contextualSpacing/>
    </w:pPr>
    <w:rPr>
      <w:rFonts w:asciiTheme="minorHAnsi" w:hAnsiTheme="minorHAnsi"/>
      <w:szCs w:val="24"/>
    </w:rPr>
  </w:style>
  <w:style w:type="character" w:styleId="Erskiemels">
    <w:name w:val="Intense Emphasis"/>
    <w:basedOn w:val="Bekezdsalapbettpusa"/>
    <w:uiPriority w:val="21"/>
    <w:qFormat/>
    <w:rsid w:val="00E87DD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87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87DD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87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8</Pages>
  <Words>1183</Words>
  <Characters>8170</Characters>
  <Application>Microsoft Office Word</Application>
  <DocSecurity>0</DocSecurity>
  <Lines>68</Lines>
  <Paragraphs>18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Mátyás Klimkó</dc:creator>
  <cp:keywords/>
  <dc:description/>
  <cp:lastModifiedBy>Mátyás Klimkó</cp:lastModifiedBy>
  <cp:revision>148</cp:revision>
  <dcterms:created xsi:type="dcterms:W3CDTF">2025-12-29T19:24:00Z</dcterms:created>
  <dcterms:modified xsi:type="dcterms:W3CDTF">2025-12-31T08:57:00Z</dcterms:modified>
</cp:coreProperties>
</file>