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8016" w14:textId="068A9486" w:rsidR="00F134A8" w:rsidRPr="00D134B1" w:rsidRDefault="00F134A8" w:rsidP="00D134B1">
      <w:pPr>
        <w:jc w:val="both"/>
        <w:rPr>
          <w:rFonts w:ascii="Times New Roman" w:hAnsi="Times New Roman" w:cs="Times New Roman"/>
        </w:rPr>
      </w:pPr>
      <w:r w:rsidRPr="00D134B1">
        <w:rPr>
          <w:rFonts w:ascii="Times New Roman" w:hAnsi="Times New Roman" w:cs="Times New Roman"/>
          <w:b/>
          <w:bCs/>
        </w:rPr>
        <w:t>Supplementary Material 1.</w:t>
      </w:r>
      <w:r w:rsidR="00B75E56" w:rsidRPr="00D134B1">
        <w:rPr>
          <w:rFonts w:ascii="Times New Roman" w:hAnsi="Times New Roman" w:cs="Times New Roman"/>
        </w:rPr>
        <w:t xml:space="preserve"> </w:t>
      </w:r>
      <w:r w:rsidR="00574069" w:rsidRPr="00D134B1">
        <w:rPr>
          <w:rFonts w:ascii="Times New Roman" w:hAnsi="Times New Roman" w:cs="Times New Roman"/>
        </w:rPr>
        <w:t xml:space="preserve">Examples of </w:t>
      </w:r>
      <w:r w:rsidR="00711B50" w:rsidRPr="00D134B1">
        <w:rPr>
          <w:rFonts w:ascii="Times New Roman" w:hAnsi="Times New Roman" w:cs="Times New Roman"/>
        </w:rPr>
        <w:t>matched action</w:t>
      </w:r>
      <w:r w:rsidR="00607DDC">
        <w:rPr>
          <w:rFonts w:ascii="Times New Roman" w:hAnsi="Times New Roman" w:cs="Times New Roman"/>
        </w:rPr>
        <w:t xml:space="preserve"> </w:t>
      </w:r>
      <w:r w:rsidR="00711B50" w:rsidRPr="00D134B1">
        <w:rPr>
          <w:rFonts w:ascii="Times New Roman" w:hAnsi="Times New Roman" w:cs="Times New Roman"/>
        </w:rPr>
        <w:t xml:space="preserve">potential waveforms </w:t>
      </w:r>
      <w:r w:rsidR="007B4FFD" w:rsidRPr="00D134B1">
        <w:rPr>
          <w:rFonts w:ascii="Times New Roman" w:hAnsi="Times New Roman" w:cs="Times New Roman"/>
        </w:rPr>
        <w:t>across time points. Supplemental Figures 1, 2, and 3</w:t>
      </w:r>
      <w:r w:rsidR="00711B50" w:rsidRPr="00D134B1">
        <w:rPr>
          <w:rFonts w:ascii="Times New Roman" w:hAnsi="Times New Roman" w:cs="Times New Roman"/>
        </w:rPr>
        <w:t xml:space="preserve"> </w:t>
      </w:r>
      <w:r w:rsidR="007B4FFD" w:rsidRPr="00D134B1">
        <w:rPr>
          <w:rFonts w:ascii="Times New Roman" w:hAnsi="Times New Roman" w:cs="Times New Roman"/>
        </w:rPr>
        <w:t xml:space="preserve">present </w:t>
      </w:r>
      <w:r w:rsidR="00030CC0" w:rsidRPr="00D134B1">
        <w:rPr>
          <w:rFonts w:ascii="Times New Roman" w:hAnsi="Times New Roman" w:cs="Times New Roman"/>
        </w:rPr>
        <w:t xml:space="preserve">examples </w:t>
      </w:r>
      <w:r w:rsidR="0002504B" w:rsidRPr="00D134B1">
        <w:rPr>
          <w:rFonts w:ascii="Times New Roman" w:hAnsi="Times New Roman" w:cs="Times New Roman"/>
        </w:rPr>
        <w:t>of</w:t>
      </w:r>
      <w:r w:rsidR="00711B50" w:rsidRPr="00D134B1">
        <w:rPr>
          <w:rFonts w:ascii="Times New Roman" w:hAnsi="Times New Roman" w:cs="Times New Roman"/>
        </w:rPr>
        <w:t xml:space="preserve"> </w:t>
      </w:r>
      <w:r w:rsidR="00030CC0" w:rsidRPr="00D134B1">
        <w:rPr>
          <w:rFonts w:ascii="Times New Roman" w:hAnsi="Times New Roman" w:cs="Times New Roman"/>
        </w:rPr>
        <w:t>motor units</w:t>
      </w:r>
      <w:r w:rsidR="0002504B" w:rsidRPr="00D134B1">
        <w:rPr>
          <w:rFonts w:ascii="Times New Roman" w:hAnsi="Times New Roman" w:cs="Times New Roman"/>
        </w:rPr>
        <w:t xml:space="preserve"> from different</w:t>
      </w:r>
      <w:r w:rsidR="00030CC0" w:rsidRPr="00D134B1">
        <w:rPr>
          <w:rFonts w:ascii="Times New Roman" w:hAnsi="Times New Roman" w:cs="Times New Roman"/>
        </w:rPr>
        <w:t xml:space="preserve"> </w:t>
      </w:r>
      <w:r w:rsidR="00711B50" w:rsidRPr="00D134B1">
        <w:rPr>
          <w:rFonts w:ascii="Times New Roman" w:hAnsi="Times New Roman" w:cs="Times New Roman"/>
        </w:rPr>
        <w:t xml:space="preserve">participants </w:t>
      </w:r>
      <w:r w:rsidR="0002504B" w:rsidRPr="00D134B1">
        <w:rPr>
          <w:rFonts w:ascii="Times New Roman" w:hAnsi="Times New Roman" w:cs="Times New Roman"/>
        </w:rPr>
        <w:t xml:space="preserve">matched across </w:t>
      </w:r>
      <w:r w:rsidR="00D134B1" w:rsidRPr="00D134B1">
        <w:rPr>
          <w:rFonts w:ascii="Times New Roman" w:hAnsi="Times New Roman" w:cs="Times New Roman"/>
        </w:rPr>
        <w:t>-2 weeks and 0 weeks, -2 weeks and +6 weeks, and 0 weeks and +6 weeks, respectively</w:t>
      </w:r>
      <w:r w:rsidR="00711B50" w:rsidRPr="00D134B1">
        <w:rPr>
          <w:rFonts w:ascii="Times New Roman" w:hAnsi="Times New Roman" w:cs="Times New Roman"/>
        </w:rPr>
        <w:t>.</w:t>
      </w:r>
    </w:p>
    <w:p w14:paraId="7A2BCC8E" w14:textId="77777777" w:rsidR="00030CC0" w:rsidRDefault="004C0EC7" w:rsidP="00030CC0">
      <w:pPr>
        <w:keepNext/>
      </w:pPr>
      <w:r>
        <w:rPr>
          <w:noProof/>
        </w:rPr>
        <w:drawing>
          <wp:inline distT="0" distB="0" distL="0" distR="0" wp14:anchorId="0EE3A48A" wp14:editId="6127E728">
            <wp:extent cx="5686425" cy="727138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48" r="786"/>
                    <a:stretch/>
                  </pic:blipFill>
                  <pic:spPr bwMode="auto">
                    <a:xfrm>
                      <a:off x="0" y="0"/>
                      <a:ext cx="5686425" cy="727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040A7" w14:textId="351499AF" w:rsidR="00030CC0" w:rsidRPr="008D45E5" w:rsidRDefault="00030CC0" w:rsidP="008D45E5">
      <w:pPr>
        <w:pStyle w:val="Caption"/>
        <w:spacing w:after="0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Supplemental Figure 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Supplemental_Figure \* ARABIC </w:instrTex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8D45E5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r w:rsidR="00532D86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Example of </w:t>
      </w:r>
      <w:r w:rsidR="00F6117E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4 </w:t>
      </w:r>
      <w:r w:rsidR="00532D86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motor units</w:t>
      </w:r>
      <w:r w:rsidR="002907C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from distinct individuals</w:t>
      </w:r>
      <w:r w:rsidR="00532D86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tracked between </w:t>
      </w:r>
      <w:r w:rsidR="00532D86" w:rsidRPr="008D45E5">
        <w:rPr>
          <w:rFonts w:ascii="Times New Roman" w:hAnsi="Times New Roman" w:cs="Times New Roman"/>
          <w:color w:val="auto"/>
          <w:sz w:val="22"/>
          <w:szCs w:val="22"/>
        </w:rPr>
        <w:t>-2 weeks</w:t>
      </w:r>
      <w:r w:rsidR="00532D86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and </w:t>
      </w:r>
      <w:r w:rsidR="00532D86" w:rsidRPr="008D45E5">
        <w:rPr>
          <w:rFonts w:ascii="Times New Roman" w:hAnsi="Times New Roman" w:cs="Times New Roman"/>
          <w:color w:val="auto"/>
          <w:sz w:val="22"/>
          <w:szCs w:val="22"/>
        </w:rPr>
        <w:t>0 weeks</w:t>
      </w:r>
      <w:r w:rsidR="00532D86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r w:rsidR="002E10AD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Panel</w:t>
      </w:r>
      <w:r w:rsidR="009D5E23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</w:t>
      </w:r>
      <w:r w:rsidR="002E10AD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 and B present</w:t>
      </w:r>
      <w:r w:rsidR="00D719FE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1601C2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instantaneous </w:t>
      </w:r>
      <w:r w:rsidR="002E10AD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</w:t>
      </w:r>
      <w:r w:rsidR="00197093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ischarge rates </w:t>
      </w:r>
      <w:r w:rsidR="00607DD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of </w:t>
      </w:r>
      <w:r w:rsidR="00607DD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2 motor units </w:t>
      </w:r>
      <w:r w:rsidR="00D719FE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and their respective actio</w:t>
      </w:r>
      <w:r w:rsidR="00D5423E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n potential</w:t>
      </w:r>
      <w:r w:rsidR="009D5E23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</w:t>
      </w:r>
      <w:r w:rsidR="00D5423E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obtained from bipolar high-density EMG signals.</w:t>
      </w:r>
      <w:r w:rsidR="00341EB3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9D5E23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Panels C and D present </w:t>
      </w:r>
      <w:r w:rsidR="00125D02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the action potentials of another 2 motor units. </w:t>
      </w:r>
      <w:r w:rsidR="0053622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The columns and rows </w:t>
      </w:r>
      <w:r w:rsidR="0054710E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represent channels from the HD-EMG </w:t>
      </w:r>
      <w:r w:rsidR="00B811E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32-channel </w:t>
      </w:r>
      <w:r w:rsidR="0054710E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electrode matrices</w:t>
      </w:r>
      <w:r w:rsidR="0053622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r w:rsidR="007A0947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</w:t>
      </w:r>
      <w:r w:rsidR="0053622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pike-triggered averaging </w:t>
      </w:r>
      <w:r w:rsidR="00A56832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was used to extract the motor unit action potentials </w:t>
      </w:r>
      <w:r w:rsidR="0053622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from the</w:t>
      </w:r>
      <w:r w:rsidR="00B811E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ir</w:t>
      </w:r>
      <w:r w:rsidR="0053622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discharge </w:t>
      </w:r>
      <w:r w:rsidR="00A56832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events</w:t>
      </w:r>
      <w:r w:rsidR="0053622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r w:rsidR="002D536C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Instantaneous firing frequencies and motor unit action potentials </w:t>
      </w:r>
      <w:r w:rsidR="00A50E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at </w:t>
      </w:r>
      <w:r w:rsidR="00A50EB2" w:rsidRPr="00A50EB2">
        <w:rPr>
          <w:rFonts w:ascii="Times New Roman" w:hAnsi="Times New Roman" w:cs="Times New Roman"/>
          <w:color w:val="auto"/>
          <w:sz w:val="22"/>
          <w:szCs w:val="22"/>
        </w:rPr>
        <w:t>-2 weeks</w:t>
      </w:r>
      <w:r w:rsidR="00A33762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(red) and </w:t>
      </w:r>
      <w:r w:rsidR="00A50EB2" w:rsidRPr="00A50EB2">
        <w:rPr>
          <w:rFonts w:ascii="Times New Roman" w:hAnsi="Times New Roman" w:cs="Times New Roman"/>
          <w:color w:val="auto"/>
          <w:sz w:val="22"/>
          <w:szCs w:val="22"/>
        </w:rPr>
        <w:t>0 weeks</w:t>
      </w:r>
      <w:r w:rsidR="00A33762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(blue) </w:t>
      </w:r>
      <w:r w:rsidR="00607DD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training </w:t>
      </w:r>
      <w:r w:rsidR="00A33762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are overla</w:t>
      </w:r>
      <w:r w:rsidR="0009203D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pped.</w:t>
      </w:r>
      <w:r w:rsidR="008D45E5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9B4D57"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PNR, pulse-to-noise ration; CC r, cross-correlation coefficient r.</w:t>
      </w:r>
    </w:p>
    <w:p w14:paraId="19DABFC2" w14:textId="3789E008" w:rsidR="00624968" w:rsidRDefault="00624968"/>
    <w:p w14:paraId="35598F77" w14:textId="3A900FCE" w:rsidR="00624968" w:rsidRDefault="001E1AB8">
      <w:r>
        <w:rPr>
          <w:noProof/>
        </w:rPr>
        <w:drawing>
          <wp:inline distT="0" distB="0" distL="0" distR="0" wp14:anchorId="46E5C917" wp14:editId="0901E77A">
            <wp:extent cx="5731510" cy="7442835"/>
            <wp:effectExtent l="0" t="0" r="254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48D5" w14:textId="4FA34C46" w:rsidR="00094E83" w:rsidRPr="008D45E5" w:rsidRDefault="00094E83" w:rsidP="00094E83">
      <w:pPr>
        <w:pStyle w:val="Caption"/>
        <w:spacing w:after="0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Supplemental Figure </w:t>
      </w:r>
      <w:r w:rsidR="009910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2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Example of 4 motor units from distinct individuals tracked between </w:t>
      </w:r>
      <w:r w:rsidRPr="008D45E5">
        <w:rPr>
          <w:rFonts w:ascii="Times New Roman" w:hAnsi="Times New Roman" w:cs="Times New Roman"/>
          <w:color w:val="auto"/>
          <w:sz w:val="22"/>
          <w:szCs w:val="22"/>
        </w:rPr>
        <w:t>-2 weeks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and </w:t>
      </w:r>
      <w:r>
        <w:rPr>
          <w:rFonts w:ascii="Times New Roman" w:hAnsi="Times New Roman" w:cs="Times New Roman"/>
          <w:color w:val="auto"/>
          <w:sz w:val="22"/>
          <w:szCs w:val="22"/>
        </w:rPr>
        <w:t>+6</w:t>
      </w:r>
      <w:r w:rsidRPr="008D45E5">
        <w:rPr>
          <w:rFonts w:ascii="Times New Roman" w:hAnsi="Times New Roman" w:cs="Times New Roman"/>
          <w:color w:val="auto"/>
          <w:sz w:val="22"/>
          <w:szCs w:val="22"/>
        </w:rPr>
        <w:t xml:space="preserve"> weeks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Panels A and B present instantaneous discharge rates </w:t>
      </w:r>
      <w:r w:rsidR="00A50E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of 2 motor units 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and their respective action potentials obtained from bipolar high-density EMG signals. Panels C and D present the action potentials of another 2 motor units. The columns and rows represent channels from the HD-EMG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32-channel 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electrode matrices. Spike-triggered averaging was used to extract the motor unit action potentials from the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ir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discharge events. Instantaneous firing frequencies and motor unit action potentials before (red) and after (blue)</w:t>
      </w:r>
      <w:r w:rsidR="00A50E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training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are overlapped. PNR, pulse-to-noise ration; CC r, cross-correlation coefficient r.</w:t>
      </w:r>
    </w:p>
    <w:p w14:paraId="43BB37AA" w14:textId="77777777" w:rsidR="00094E83" w:rsidRDefault="00094E83"/>
    <w:p w14:paraId="64C00EDC" w14:textId="621693BF" w:rsidR="001E1AB8" w:rsidRDefault="00F134A8">
      <w:r>
        <w:rPr>
          <w:noProof/>
        </w:rPr>
        <w:lastRenderedPageBreak/>
        <w:drawing>
          <wp:inline distT="0" distB="0" distL="0" distR="0" wp14:anchorId="374D16C9" wp14:editId="7F9E4157">
            <wp:extent cx="5731510" cy="7440295"/>
            <wp:effectExtent l="0" t="0" r="2540" b="825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CE0C" w14:textId="7258B1A0" w:rsidR="00094E83" w:rsidRPr="008D45E5" w:rsidRDefault="00094E83" w:rsidP="00094E83">
      <w:pPr>
        <w:pStyle w:val="Caption"/>
        <w:spacing w:after="0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Supplemental Figure </w:t>
      </w:r>
      <w:r w:rsidR="0099100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3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Example of 4 motor units from distinct individuals tracked between </w:t>
      </w:r>
      <w:r w:rsidR="0099100B">
        <w:rPr>
          <w:rFonts w:ascii="Times New Roman" w:hAnsi="Times New Roman" w:cs="Times New Roman"/>
          <w:color w:val="auto"/>
          <w:sz w:val="22"/>
          <w:szCs w:val="22"/>
        </w:rPr>
        <w:t>0</w:t>
      </w:r>
      <w:r w:rsidRPr="008D45E5">
        <w:rPr>
          <w:rFonts w:ascii="Times New Roman" w:hAnsi="Times New Roman" w:cs="Times New Roman"/>
          <w:color w:val="auto"/>
          <w:sz w:val="22"/>
          <w:szCs w:val="22"/>
        </w:rPr>
        <w:t xml:space="preserve"> weeks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and </w:t>
      </w:r>
      <w:r w:rsidR="0099100B">
        <w:rPr>
          <w:rFonts w:ascii="Times New Roman" w:hAnsi="Times New Roman" w:cs="Times New Roman"/>
          <w:color w:val="auto"/>
          <w:sz w:val="22"/>
          <w:szCs w:val="22"/>
        </w:rPr>
        <w:t>+6</w:t>
      </w:r>
      <w:r w:rsidRPr="008D45E5">
        <w:rPr>
          <w:rFonts w:ascii="Times New Roman" w:hAnsi="Times New Roman" w:cs="Times New Roman"/>
          <w:color w:val="auto"/>
          <w:sz w:val="22"/>
          <w:szCs w:val="22"/>
        </w:rPr>
        <w:t xml:space="preserve"> weeks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Panels A and B present instantaneous discharge rates </w:t>
      </w:r>
      <w:r w:rsidR="00A50E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of 2 motor units 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and their respective action potentials obtained from bipolar high-density EMG signals. Panels C and D present the action potentials of another 2 motor units. The columns and rows represent channels from the HD-EMG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32-channel 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electrode matrices. Spike-triggered averaging was used to extract the motor unit action potentials from the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ir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discharge events. Instantaneous firing frequencies and motor unit action potentials before (red) and after (blue)</w:t>
      </w:r>
      <w:r w:rsidR="00A50E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training</w:t>
      </w:r>
      <w:r w:rsidRPr="008D45E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are overlapped. PNR, pulse-to-noise ration; CC r, cross-correlation coefficient r.</w:t>
      </w:r>
    </w:p>
    <w:p w14:paraId="172EEC38" w14:textId="77777777" w:rsidR="00094E83" w:rsidRDefault="00094E83"/>
    <w:sectPr w:rsidR="00094E83" w:rsidSect="0022723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27"/>
    <w:rsid w:val="0002504B"/>
    <w:rsid w:val="00030CC0"/>
    <w:rsid w:val="0009203D"/>
    <w:rsid w:val="00094E83"/>
    <w:rsid w:val="000B437E"/>
    <w:rsid w:val="00125D02"/>
    <w:rsid w:val="001601C2"/>
    <w:rsid w:val="00197093"/>
    <w:rsid w:val="001E1AB8"/>
    <w:rsid w:val="00227230"/>
    <w:rsid w:val="002907CC"/>
    <w:rsid w:val="002D536C"/>
    <w:rsid w:val="002E10AD"/>
    <w:rsid w:val="00341EB3"/>
    <w:rsid w:val="004C0EC7"/>
    <w:rsid w:val="00532D86"/>
    <w:rsid w:val="0053622C"/>
    <w:rsid w:val="0054710E"/>
    <w:rsid w:val="00574069"/>
    <w:rsid w:val="005F074E"/>
    <w:rsid w:val="00607DDC"/>
    <w:rsid w:val="00624968"/>
    <w:rsid w:val="006A5327"/>
    <w:rsid w:val="00711B50"/>
    <w:rsid w:val="007A0947"/>
    <w:rsid w:val="007B4FFD"/>
    <w:rsid w:val="008058BC"/>
    <w:rsid w:val="008D45E5"/>
    <w:rsid w:val="009517EE"/>
    <w:rsid w:val="0099100B"/>
    <w:rsid w:val="009B4D57"/>
    <w:rsid w:val="009D5E23"/>
    <w:rsid w:val="00A06AA4"/>
    <w:rsid w:val="00A33762"/>
    <w:rsid w:val="00A50EB2"/>
    <w:rsid w:val="00A56832"/>
    <w:rsid w:val="00B75E56"/>
    <w:rsid w:val="00B811EF"/>
    <w:rsid w:val="00CD5305"/>
    <w:rsid w:val="00D134B1"/>
    <w:rsid w:val="00D5423E"/>
    <w:rsid w:val="00D719FE"/>
    <w:rsid w:val="00DF781B"/>
    <w:rsid w:val="00EB15A5"/>
    <w:rsid w:val="00F134A8"/>
    <w:rsid w:val="00F42570"/>
    <w:rsid w:val="00F6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99B7"/>
  <w15:chartTrackingRefBased/>
  <w15:docId w15:val="{101E4B75-4C5F-4680-BC64-0BD02C9B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0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7D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D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D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D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D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0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Bet Da Rosa Orssatto</dc:creator>
  <cp:keywords/>
  <dc:description/>
  <cp:lastModifiedBy>Lucas Bet Da Rosa Orssatto</cp:lastModifiedBy>
  <cp:revision>2</cp:revision>
  <dcterms:created xsi:type="dcterms:W3CDTF">2022-09-14T00:12:00Z</dcterms:created>
  <dcterms:modified xsi:type="dcterms:W3CDTF">2022-09-14T00:12:00Z</dcterms:modified>
</cp:coreProperties>
</file>