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294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F4E401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BCD1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578CD9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75C34216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5ECB3D80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36034CEA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37AA78B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4BCF3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5F3174EA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2F8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69AEB41E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0C294" w14:textId="2C1875AF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75A63F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D7789BD" w14:textId="77777777" w:rsidR="007D7ECD" w:rsidRDefault="004A17C9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нику</w:t>
      </w:r>
    </w:p>
    <w:p w14:paraId="7DEC031B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8A20CB0" w14:textId="77777777" w:rsid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Суммирующие и вычитающие устройства</w:t>
      </w:r>
    </w:p>
    <w:p w14:paraId="4E83DEC1" w14:textId="01CF4BF8" w:rsidR="007D7ECD" w:rsidRP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14:paraId="3405729F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00B15CD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545043B8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2D96A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D9B7CBD" w14:textId="77777777" w:rsidR="007D7ECD" w:rsidRDefault="007D7ECD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D5893" w14:textId="77777777" w:rsidR="007D7ECD" w:rsidRDefault="004A17C9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780BA0E4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1285272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32EFE251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37C9FD7E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E89D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BBAE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D0A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C424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8725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858E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774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0CF8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57C5EDD1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F41564C" w14:textId="595D403A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распространённых суммирующих и вычитающих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8869C" w14:textId="15639F41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работы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суммирующих и вычитающих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Multisim. </w:t>
      </w:r>
    </w:p>
    <w:p w14:paraId="3E71092E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17A02E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10CD2B10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29F9B69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6BDDA387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0D75D7E" w14:textId="5533109D" w:rsidR="007D7ECD" w:rsidRDefault="00CB2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по указанию преподавателя синтез и реализовать на логических элементах схему двоичного сумматора (вычитателя) согласно вариантам (вариант 2)</w:t>
      </w:r>
      <w:r w:rsidR="004A17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13A64" w14:textId="77777777" w:rsidR="00CB2911" w:rsidRDefault="00CB2911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F81F135" w14:textId="1F5E9CF2" w:rsidR="00CB2911" w:rsidRDefault="00CB2911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91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B7B8AC" wp14:editId="6CECDC21">
            <wp:extent cx="6122670" cy="8553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C78" w14:textId="77777777" w:rsidR="004A29EA" w:rsidRPr="004A29EA" w:rsidRDefault="004A2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спроектированного сумматора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A0B868" w14:textId="270CB3D8" w:rsidR="004A4400" w:rsidRDefault="004A29EA" w:rsidP="004A44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A29E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зарисовать временные диаграммы и заполнить таблицу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функционирования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разработанного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устройства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изменяя состояние входов с помощью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клавиш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SPST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</w:t>
      </w:r>
      <w:r w:rsidR="00580486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 должны быть подключены к источнику питания +5В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VCC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 общей шине заземления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GROUND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Контроль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светодиодными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индикаторами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PROBE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светодиодами </w:t>
      </w:r>
      <w:r w:rsidR="004A4400">
        <w:rPr>
          <w:rFonts w:ascii="Times New Roman" w:eastAsia="Times New Roman" w:hAnsi="Times New Roman" w:cs="Times New Roman"/>
          <w:sz w:val="28"/>
          <w:szCs w:val="28"/>
          <w:lang w:val="en-US"/>
        </w:rPr>
        <w:t>LTD</w:t>
      </w:r>
      <w:r w:rsidR="004A4400" w:rsidRPr="004A440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2A7088" w14:textId="34B47F5D" w:rsidR="007D7ECD" w:rsidRPr="004A4400" w:rsidRDefault="004A4400" w:rsidP="004A44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по указанию преподавателя выполнить исследование одной из схем сумматора рис 3.10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Multisim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622F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FE75AE" w14:textId="360C6689" w:rsidR="004A4400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6F1916A0" w14:textId="04C13960" w:rsidR="002444EB" w:rsidRDefault="006A77BE" w:rsidP="002444E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Выполним синтез схемы полного одноразрядного двоичного сумматора. Он </w:t>
      </w:r>
      <w:r w:rsidR="00E3357A">
        <w:rPr>
          <w:rFonts w:ascii="Times New Roman" w:eastAsia="Times New Roman" w:hAnsi="Times New Roman" w:cs="Times New Roman"/>
          <w:bCs/>
          <w:sz w:val="28"/>
          <w:szCs w:val="28"/>
        </w:rPr>
        <w:t>имеет три входа и два выход</w:t>
      </w:r>
      <w:r w:rsidR="002444EB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E3357A">
        <w:rPr>
          <w:rFonts w:ascii="Times New Roman" w:eastAsia="Times New Roman" w:hAnsi="Times New Roman" w:cs="Times New Roman"/>
          <w:bCs/>
          <w:sz w:val="28"/>
          <w:szCs w:val="28"/>
        </w:rPr>
        <w:t>.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остоит из двух полусумматоров</w:t>
      </w:r>
      <w:r w:rsidR="00E3357A" w:rsidRPr="00E3357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ЛЭ 2ИЛИ. Один полусумматор состоит из двух ЛЭ: 2Исключающее ИЛИ, 2И.</w:t>
      </w:r>
      <w:r w:rsidR="009A47CD" w:rsidRPr="009A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A47CD">
        <w:rPr>
          <w:rFonts w:ascii="Times New Roman" w:eastAsia="Times New Roman" w:hAnsi="Times New Roman" w:cs="Times New Roman"/>
          <w:bCs/>
          <w:sz w:val="28"/>
          <w:szCs w:val="28"/>
        </w:rPr>
        <w:t>Схема</w:t>
      </w:r>
      <w:r w:rsidR="0024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полного одноразрядного двоичного сумматора изображена на рисунке 2.1.</w:t>
      </w:r>
    </w:p>
    <w:p w14:paraId="5C1FBB3F" w14:textId="485F5141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BD14A4" w14:textId="2BCFCF38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44E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D3BEE5E" wp14:editId="57FE7F57">
            <wp:extent cx="6122670" cy="3526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CC3" w14:textId="6465FC4C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8CE3AD" w14:textId="095EB109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2.1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Схема полного одноразрядного двоичного сумматора</w:t>
      </w:r>
    </w:p>
    <w:p w14:paraId="10BA4FA2" w14:textId="568DB784" w:rsidR="00762DE6" w:rsidRDefault="00762DE6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C62F9A" w14:textId="1EF0946D" w:rsidR="00762DE6" w:rsidRDefault="00762DE6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Таблица истинности для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полного одноразрядного двоичного сумматора</w:t>
      </w:r>
    </w:p>
    <w:p w14:paraId="0E7ACA9B" w14:textId="17BB47D8" w:rsidR="00762DE6" w:rsidRDefault="00762DE6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6"/>
        <w:tblW w:w="8026" w:type="dxa"/>
        <w:jc w:val="center"/>
        <w:tblLook w:val="04A0" w:firstRow="1" w:lastRow="0" w:firstColumn="1" w:lastColumn="0" w:noHBand="0" w:noVBand="1"/>
      </w:tblPr>
      <w:tblGrid>
        <w:gridCol w:w="1616"/>
        <w:gridCol w:w="1612"/>
        <w:gridCol w:w="1616"/>
        <w:gridCol w:w="1576"/>
        <w:gridCol w:w="1606"/>
      </w:tblGrid>
      <w:tr w:rsidR="008D5D17" w14:paraId="5ED9D676" w14:textId="77777777" w:rsidTr="008D5D17">
        <w:trPr>
          <w:jc w:val="center"/>
        </w:trPr>
        <w:tc>
          <w:tcPr>
            <w:tcW w:w="1616" w:type="dxa"/>
          </w:tcPr>
          <w:p w14:paraId="29D68EFC" w14:textId="509F6D90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12" w:type="dxa"/>
          </w:tcPr>
          <w:p w14:paraId="27383290" w14:textId="0F3B0B5A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16" w:type="dxa"/>
          </w:tcPr>
          <w:p w14:paraId="31F8900F" w14:textId="62F4F333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76" w:type="dxa"/>
          </w:tcPr>
          <w:p w14:paraId="1537DDEA" w14:textId="308C56A1" w:rsidR="008D5D17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606" w:type="dxa"/>
          </w:tcPr>
          <w:p w14:paraId="27BB6FCF" w14:textId="32EC8619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</w:tr>
      <w:tr w:rsidR="008D5D17" w14:paraId="5250EE44" w14:textId="77777777" w:rsidTr="008D5D17">
        <w:trPr>
          <w:jc w:val="center"/>
        </w:trPr>
        <w:tc>
          <w:tcPr>
            <w:tcW w:w="1616" w:type="dxa"/>
          </w:tcPr>
          <w:p w14:paraId="66055BAF" w14:textId="6A22DADE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769B3B36" w14:textId="5443D48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3C3B8360" w14:textId="1B01D7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5D40B816" w14:textId="12E429C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522BBDFC" w14:textId="7A484A7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0906440E" w14:textId="77777777" w:rsidTr="008D5D17">
        <w:trPr>
          <w:jc w:val="center"/>
        </w:trPr>
        <w:tc>
          <w:tcPr>
            <w:tcW w:w="1616" w:type="dxa"/>
          </w:tcPr>
          <w:p w14:paraId="05D17B73" w14:textId="563373B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5079AEF6" w14:textId="493CC00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6739F872" w14:textId="30AA5E3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20EDDAFD" w14:textId="5624194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35FD0887" w14:textId="1F6459B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630F6EDD" w14:textId="77777777" w:rsidTr="008D5D17">
        <w:trPr>
          <w:jc w:val="center"/>
        </w:trPr>
        <w:tc>
          <w:tcPr>
            <w:tcW w:w="1616" w:type="dxa"/>
          </w:tcPr>
          <w:p w14:paraId="506D7B51" w14:textId="0EEAA04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1320AF0A" w14:textId="3A9F4128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7E7D996" w14:textId="12ECC916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1BBDEC49" w14:textId="41EA8C0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44935038" w14:textId="2C0F87F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475A5BF4" w14:textId="77777777" w:rsidTr="008D5D17">
        <w:trPr>
          <w:jc w:val="center"/>
        </w:trPr>
        <w:tc>
          <w:tcPr>
            <w:tcW w:w="1616" w:type="dxa"/>
          </w:tcPr>
          <w:p w14:paraId="621D0B7F" w14:textId="5A1470A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0F4EE09B" w14:textId="0A935DFF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00B4923" w14:textId="20EAFC7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08B4670B" w14:textId="0966996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2C01B1B6" w14:textId="7B46EAEE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7840A33C" w14:textId="77777777" w:rsidTr="008D5D17">
        <w:trPr>
          <w:jc w:val="center"/>
        </w:trPr>
        <w:tc>
          <w:tcPr>
            <w:tcW w:w="1616" w:type="dxa"/>
          </w:tcPr>
          <w:p w14:paraId="708685EA" w14:textId="5D31B55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73CC5FE2" w14:textId="5289B788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0287674D" w14:textId="71E3AF1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71C7AA45" w14:textId="6DECE1B0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1F92B4BD" w14:textId="5FA949C3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1CF60E2A" w14:textId="77777777" w:rsidTr="008D5D17">
        <w:trPr>
          <w:jc w:val="center"/>
        </w:trPr>
        <w:tc>
          <w:tcPr>
            <w:tcW w:w="1616" w:type="dxa"/>
          </w:tcPr>
          <w:p w14:paraId="62C33765" w14:textId="5706B72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76310E9B" w14:textId="341AEC8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530A463F" w14:textId="46C164C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7B7AB7FD" w14:textId="5DD4AD9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4C35B521" w14:textId="43146B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5CEFCB1B" w14:textId="77777777" w:rsidTr="008D5D17">
        <w:trPr>
          <w:jc w:val="center"/>
        </w:trPr>
        <w:tc>
          <w:tcPr>
            <w:tcW w:w="1616" w:type="dxa"/>
          </w:tcPr>
          <w:p w14:paraId="268A1D81" w14:textId="37AE1AC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1B9A92D7" w14:textId="19AFD13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140005B2" w14:textId="04448C6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1F9308F0" w14:textId="01623CB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5FE72AFE" w14:textId="30C08F4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76F5C0D8" w14:textId="77777777" w:rsidTr="008D5D17">
        <w:trPr>
          <w:jc w:val="center"/>
        </w:trPr>
        <w:tc>
          <w:tcPr>
            <w:tcW w:w="1616" w:type="dxa"/>
          </w:tcPr>
          <w:p w14:paraId="764FA0AC" w14:textId="2D453D0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67D3ECD4" w14:textId="4649DF2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48317514" w14:textId="54CAF7E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0809CBA9" w14:textId="5C8FF50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2C6567F8" w14:textId="19B85E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6BFF167" w14:textId="66464DBF" w:rsidR="00762DE6" w:rsidRDefault="00762DE6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217663" w14:textId="532225B7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Проверим правильность построенной схемы отдельно для двух выходов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переноса,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сумма, с помощью Логического преобразователя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66AB3C1" w14:textId="564D9A4D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Результаты проверки показаны на рисунке 2.2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на рисунке 2.3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EC0E427" w14:textId="77777777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5E6E94" w14:textId="5A4A9D98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C98DB" wp14:editId="1D8C7D4E">
            <wp:extent cx="4435633" cy="2838091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332" cy="29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AF00" w14:textId="64510D36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74B061" w14:textId="31AFC851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.2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суммы</w:t>
      </w:r>
    </w:p>
    <w:p w14:paraId="3FA4A0FF" w14:textId="29C11AC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2BEF7E" w14:textId="3722A2D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38D405" wp14:editId="3EF655B6">
            <wp:extent cx="5055079" cy="323443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396" cy="3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B9F" w14:textId="4DFB095F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643193" w14:textId="13BAABC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C31F9B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переноса</w:t>
      </w:r>
    </w:p>
    <w:p w14:paraId="22E7BB6E" w14:textId="3F8BEDD2" w:rsidR="00C31F9B" w:rsidRDefault="00C31F9B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B8FD284" w14:textId="6923AEA5" w:rsidR="00C31F9B" w:rsidRPr="001F232C" w:rsidRDefault="00C31F9B" w:rsidP="00C31F9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Добавим к полученной схеме элементы, для выполнения задания 2.</w:t>
      </w:r>
      <w:r w:rsidR="001F232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Результатом будет схема, показанная на </w:t>
      </w:r>
      <w:bookmarkStart w:id="0" w:name="_GoBack"/>
      <w:bookmarkEnd w:id="0"/>
      <w:r w:rsidRPr="001F232C">
        <w:rPr>
          <w:rFonts w:ascii="Times New Roman" w:eastAsia="Times New Roman" w:hAnsi="Times New Roman" w:cs="Times New Roman"/>
          <w:bCs/>
          <w:sz w:val="28"/>
          <w:szCs w:val="28"/>
        </w:rPr>
        <w:t>рисунке 2.4.</w:t>
      </w:r>
    </w:p>
    <w:p w14:paraId="5A9ACD1C" w14:textId="7FBBA40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90A038" w14:textId="0F6AE389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2A7C86D" wp14:editId="0CE20035">
            <wp:extent cx="3390181" cy="247671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2" cy="25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A012" w14:textId="021C0882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7F2504" w14:textId="085D6D2A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2.4 – Схема для выполнения второго задания.</w:t>
      </w:r>
    </w:p>
    <w:p w14:paraId="63FA4977" w14:textId="13E14A7A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5F3431" w14:textId="3BD6BE7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noProof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Покажем работоспособность этой схемы. В качестве входных возьмем значения 0 1 1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соответственно. Результат показан на рисунке 2.5.</w:t>
      </w:r>
      <w:r w:rsidRPr="00C31F9B">
        <w:rPr>
          <w:noProof/>
        </w:rPr>
        <w:t xml:space="preserve"> </w:t>
      </w:r>
    </w:p>
    <w:p w14:paraId="3855AD34" w14:textId="7777777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noProof/>
        </w:rPr>
      </w:pPr>
    </w:p>
    <w:p w14:paraId="44F2E18B" w14:textId="7C1F62EA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6782F3B" wp14:editId="5F0273C0">
            <wp:extent cx="4724190" cy="3243532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940" cy="32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A6DD" w14:textId="0F20549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79E09" w14:textId="1F4B2394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Пример работы схемы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59CCCA" w14:textId="77777777" w:rsidR="00C31F9B" w:rsidRP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C31F9B" w:rsidRPr="00C31F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022D3" w14:textId="77777777" w:rsidR="004A17C9" w:rsidRDefault="004A17C9">
      <w:r>
        <w:separator/>
      </w:r>
    </w:p>
  </w:endnote>
  <w:endnote w:type="continuationSeparator" w:id="0">
    <w:p w14:paraId="53CBC161" w14:textId="77777777" w:rsidR="004A17C9" w:rsidRDefault="004A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C23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1E2F8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851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D54E0" w14:textId="77777777" w:rsidR="004A17C9" w:rsidRDefault="004A17C9">
      <w:r>
        <w:separator/>
      </w:r>
    </w:p>
  </w:footnote>
  <w:footnote w:type="continuationSeparator" w:id="0">
    <w:p w14:paraId="263D73AB" w14:textId="77777777" w:rsidR="004A17C9" w:rsidRDefault="004A1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738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492F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8286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5F92"/>
    <w:multiLevelType w:val="multilevel"/>
    <w:tmpl w:val="7AB63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F68CF"/>
    <w:multiLevelType w:val="hybridMultilevel"/>
    <w:tmpl w:val="F5463FEA"/>
    <w:lvl w:ilvl="0" w:tplc="AE5ECCB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7C5146"/>
    <w:multiLevelType w:val="multilevel"/>
    <w:tmpl w:val="468A8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9C3D4A"/>
    <w:multiLevelType w:val="multilevel"/>
    <w:tmpl w:val="E422A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AE7CD4"/>
    <w:multiLevelType w:val="multilevel"/>
    <w:tmpl w:val="6882A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CD"/>
    <w:rsid w:val="001F232C"/>
    <w:rsid w:val="002444EB"/>
    <w:rsid w:val="00442233"/>
    <w:rsid w:val="004A17C9"/>
    <w:rsid w:val="004A29EA"/>
    <w:rsid w:val="004A4400"/>
    <w:rsid w:val="00580486"/>
    <w:rsid w:val="006A77BE"/>
    <w:rsid w:val="00762DE6"/>
    <w:rsid w:val="007D7ECD"/>
    <w:rsid w:val="008D5D17"/>
    <w:rsid w:val="009A47CD"/>
    <w:rsid w:val="00C31F9B"/>
    <w:rsid w:val="00CB2911"/>
    <w:rsid w:val="00E3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562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4400"/>
    <w:pPr>
      <w:ind w:left="720"/>
      <w:contextualSpacing/>
    </w:pPr>
  </w:style>
  <w:style w:type="table" w:styleId="a6">
    <w:name w:val="Table Grid"/>
    <w:basedOn w:val="a1"/>
    <w:uiPriority w:val="39"/>
    <w:rsid w:val="0076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6</cp:revision>
  <dcterms:created xsi:type="dcterms:W3CDTF">2023-04-12T17:17:00Z</dcterms:created>
  <dcterms:modified xsi:type="dcterms:W3CDTF">2023-04-12T20:33:00Z</dcterms:modified>
</cp:coreProperties>
</file>