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D804" w14:textId="78B2FEFC" w:rsidR="00EE5027" w:rsidRDefault="00EE5027" w:rsidP="007B4F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6528323"/>
      <w:r w:rsidRPr="00EE5027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24E7BB2F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содержит 45 с., 6 рис., 1 табл., 10 источн.,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4F53FAAB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1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43E299" w14:textId="1FC6A108" w:rsidR="00FA01EB" w:rsidRDefault="00EE502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914799" w:history="1">
            <w:r w:rsidR="00FA01EB" w:rsidRPr="00444B82">
              <w:rPr>
                <w:rStyle w:val="a8"/>
                <w:noProof/>
              </w:rPr>
              <w:t>ВВЕДЕНИЕ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_Toc167914799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1558D476" w14:textId="2471B8CE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00" w:history="1">
            <w:r w:rsidR="00FA01EB" w:rsidRPr="00444B82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_Toc167914800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5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0BDB7448" w14:textId="3B3215A9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1" w:history="1">
            <w:r w:rsidR="00FA01EB" w:rsidRPr="00444B82">
              <w:rPr>
                <w:rStyle w:val="a8"/>
                <w:bCs/>
                <w:noProof/>
              </w:rPr>
              <w:t xml:space="preserve">1.1 </w:t>
            </w:r>
            <w:r w:rsidR="00FA01EB" w:rsidRPr="00444B82">
              <w:rPr>
                <w:rStyle w:val="a8"/>
                <w:bCs/>
                <w:noProof/>
                <w:lang w:val="en-US"/>
              </w:rPr>
              <w:t>EPub</w:t>
            </w:r>
            <w:r w:rsidR="00FA01EB" w:rsidRPr="00444B82">
              <w:rPr>
                <w:rStyle w:val="a8"/>
                <w:bCs/>
                <w:noProof/>
              </w:rPr>
              <w:t>.</w:t>
            </w:r>
            <w:r w:rsidR="00FA01EB" w:rsidRPr="00444B82">
              <w:rPr>
                <w:rStyle w:val="a8"/>
                <w:noProof/>
              </w:rPr>
              <w:t xml:space="preserve"> Характеристики и особенности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_Toc167914801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5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7D08B795" w14:textId="3DE46343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2" w:history="1">
            <w:r w:rsidR="00FA01EB" w:rsidRPr="00444B82">
              <w:rPr>
                <w:rStyle w:val="a8"/>
                <w:bCs/>
                <w:noProof/>
              </w:rPr>
              <w:t xml:space="preserve">1.2 </w:t>
            </w:r>
            <w:r w:rsidR="00FA01EB" w:rsidRPr="00444B82">
              <w:rPr>
                <w:rStyle w:val="a8"/>
                <w:bCs/>
                <w:noProof/>
                <w:lang w:val="en-US"/>
              </w:rPr>
              <w:t>FB</w:t>
            </w:r>
            <w:r w:rsidR="00FA01EB" w:rsidRPr="00444B82">
              <w:rPr>
                <w:rStyle w:val="a8"/>
                <w:bCs/>
                <w:noProof/>
              </w:rPr>
              <w:t xml:space="preserve">2 и </w:t>
            </w:r>
            <w:r w:rsidR="00FA01EB" w:rsidRPr="00444B82">
              <w:rPr>
                <w:rStyle w:val="a8"/>
                <w:bCs/>
                <w:noProof/>
                <w:lang w:val="en-US"/>
              </w:rPr>
              <w:t>FB</w:t>
            </w:r>
            <w:r w:rsidR="00FA01EB" w:rsidRPr="00444B82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_Toc167914802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7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5277CFA1" w14:textId="56692C29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3" w:history="1">
            <w:r w:rsidR="00FA01EB" w:rsidRPr="00444B82">
              <w:rPr>
                <w:rStyle w:val="a8"/>
                <w:noProof/>
              </w:rPr>
              <w:t xml:space="preserve">1.3 </w:t>
            </w:r>
            <w:r w:rsidR="00FA01EB" w:rsidRPr="00444B82">
              <w:rPr>
                <w:rStyle w:val="a8"/>
                <w:noProof/>
                <w:lang w:val="en-US"/>
              </w:rPr>
              <w:t>DjVu</w:t>
            </w:r>
            <w:r w:rsidR="00FA01EB" w:rsidRPr="00444B82">
              <w:rPr>
                <w:rStyle w:val="a8"/>
                <w:noProof/>
              </w:rPr>
              <w:t>. Книги в качестве изображений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_Toc167914803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10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5965411B" w14:textId="3DFE48B5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4" w:history="1">
            <w:r w:rsidR="00FA01EB" w:rsidRPr="00444B82">
              <w:rPr>
                <w:rStyle w:val="a8"/>
                <w:bCs/>
                <w:noProof/>
              </w:rPr>
              <w:t xml:space="preserve">1.4 </w:t>
            </w:r>
            <w:r w:rsidR="00FA01EB" w:rsidRPr="00444B82">
              <w:rPr>
                <w:rStyle w:val="a8"/>
                <w:bCs/>
                <w:noProof/>
                <w:lang w:val="en-US"/>
              </w:rPr>
              <w:t>PDF</w:t>
            </w:r>
            <w:r w:rsidR="00FA01EB" w:rsidRPr="00444B82">
              <w:rPr>
                <w:rStyle w:val="a8"/>
                <w:bCs/>
                <w:noProof/>
              </w:rPr>
              <w:t xml:space="preserve"> и его портативность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_Toc167914804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12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1C7F9F0C" w14:textId="5F303092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5" w:history="1">
            <w:r w:rsidR="00FA01EB" w:rsidRPr="00444B82">
              <w:rPr>
                <w:rStyle w:val="a8"/>
                <w:bCs/>
                <w:noProof/>
              </w:rPr>
              <w:t xml:space="preserve">1.5 </w:t>
            </w:r>
            <w:r w:rsidR="00FA01EB" w:rsidRPr="00444B82">
              <w:rPr>
                <w:rStyle w:val="a8"/>
                <w:noProof/>
              </w:rPr>
              <w:t>docx и его универсальность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_Toc167914805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16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67055AF6" w14:textId="44AC9AD0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06" w:history="1">
            <w:r w:rsidR="00FA01EB" w:rsidRPr="00444B82">
              <w:rPr>
                <w:rStyle w:val="a8"/>
                <w:noProof/>
              </w:rPr>
              <w:t>2 Описание модели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_Toc167914806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24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537F73C5" w14:textId="11348A2F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07" w:history="1">
            <w:r w:rsidR="00FA01EB" w:rsidRPr="00444B82">
              <w:rPr>
                <w:rStyle w:val="a8"/>
                <w:bCs/>
                <w:noProof/>
              </w:rPr>
              <w:t>2.1 Правила написания текста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_Toc167914807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24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5B8935B0" w14:textId="34F47083" w:rsidR="00FA01EB" w:rsidRDefault="00DF41F8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7914808" w:history="1">
            <w:r w:rsidR="00FA01EB" w:rsidRPr="00444B82">
              <w:rPr>
                <w:rStyle w:val="a8"/>
                <w:noProof/>
              </w:rPr>
              <w:t>2.1.1 Простой текст. Абзацы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_Toc167914808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24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39DD9B12" w14:textId="5A977E68" w:rsidR="00FA01EB" w:rsidRDefault="00DF41F8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7914809" w:history="1">
            <w:r w:rsidR="00FA01EB" w:rsidRPr="00444B82">
              <w:rPr>
                <w:rStyle w:val="a8"/>
                <w:noProof/>
              </w:rPr>
              <w:t>2.1.2 Заголовки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_Toc167914809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25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0592DE3B" w14:textId="1CD8684F" w:rsidR="00FA01EB" w:rsidRDefault="00DF41F8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7914810" w:history="1">
            <w:r w:rsidR="00FA01EB" w:rsidRPr="00444B82">
              <w:rPr>
                <w:rStyle w:val="a8"/>
                <w:noProof/>
              </w:rPr>
              <w:t>2.1.3 Перечисления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_Toc167914810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25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6E6424FE" w14:textId="6D7C2573" w:rsidR="00FA01EB" w:rsidRDefault="00DF41F8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7914811" w:history="1">
            <w:r w:rsidR="00FA01EB" w:rsidRPr="00444B82">
              <w:rPr>
                <w:rStyle w:val="a8"/>
                <w:noProof/>
              </w:rPr>
              <w:t>2.1.4 Код на языке программирования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_Toc167914811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26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12EC20E2" w14:textId="0643B2F0" w:rsidR="00FA01EB" w:rsidRDefault="00DF41F8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7914812" w:history="1">
            <w:r w:rsidR="00FA01EB" w:rsidRPr="00444B82">
              <w:rPr>
                <w:rStyle w:val="a8"/>
                <w:noProof/>
              </w:rPr>
              <w:t>2.1.5 Формулы и различные математические объекты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_Toc167914812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27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07B63447" w14:textId="30426578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13" w:history="1">
            <w:r w:rsidR="00FA01EB" w:rsidRPr="00444B82">
              <w:rPr>
                <w:rStyle w:val="a8"/>
                <w:bCs/>
                <w:noProof/>
              </w:rPr>
              <w:t>2.2 Вставка изображений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_Toc167914813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28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740047C7" w14:textId="0D6CA058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14" w:history="1">
            <w:r w:rsidR="00FA01EB" w:rsidRPr="00444B82">
              <w:rPr>
                <w:rStyle w:val="a8"/>
                <w:bCs/>
                <w:noProof/>
              </w:rPr>
              <w:t>2.3 Правила оформления таблиц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_Toc167914814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28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49CEA224" w14:textId="03494D4B" w:rsidR="00FA01EB" w:rsidRDefault="00DF41F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914815" w:history="1">
            <w:r w:rsidR="00FA01EB" w:rsidRPr="00444B82">
              <w:rPr>
                <w:rStyle w:val="a8"/>
                <w:noProof/>
              </w:rPr>
              <w:t xml:space="preserve">2.4 </w:t>
            </w:r>
            <w:r w:rsidR="00FA01EB" w:rsidRPr="00444B82">
              <w:rPr>
                <w:rStyle w:val="a8"/>
                <w:bCs/>
                <w:noProof/>
              </w:rPr>
              <w:t>Формализация</w:t>
            </w:r>
            <w:r w:rsidR="00FA01EB" w:rsidRPr="00444B82">
              <w:rPr>
                <w:rStyle w:val="a8"/>
                <w:noProof/>
              </w:rPr>
              <w:t xml:space="preserve"> требований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_Toc167914815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30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172F1ADE" w14:textId="211520F9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16" w:history="1">
            <w:r w:rsidR="00FA01EB" w:rsidRPr="00444B82">
              <w:rPr>
                <w:rStyle w:val="a8"/>
                <w:noProof/>
              </w:rPr>
              <w:t>2 Алгоритм преобразования XML документа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_Toc167914816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32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05267DAF" w14:textId="293E014A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17" w:history="1">
            <w:r w:rsidR="00FA01EB" w:rsidRPr="00444B82">
              <w:rPr>
                <w:rStyle w:val="a8"/>
                <w:noProof/>
              </w:rPr>
              <w:t>ЗАКЛЮЧЕНИЕ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_Toc167914817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35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30B05D8B" w14:textId="341CAA39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18" w:history="1">
            <w:r w:rsidR="00FA01EB" w:rsidRPr="00444B82">
              <w:rPr>
                <w:rStyle w:val="a8"/>
                <w:noProof/>
              </w:rPr>
              <w:t>СПИСОК ИСПОЛЬЗОВАНЫХ ИСТОЧНИКОВ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_Toc167914818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36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79017575" w14:textId="01B8E928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19" w:history="1">
            <w:r w:rsidR="00FA01EB" w:rsidRPr="00444B82">
              <w:rPr>
                <w:rStyle w:val="a8"/>
                <w:noProof/>
              </w:rPr>
              <w:t xml:space="preserve">ПРИЛОЖЕНИЕ А (обязательное) Шаблон настроек содержимого в виде </w:t>
            </w:r>
            <w:r w:rsidR="00FA01EB" w:rsidRPr="00444B82">
              <w:rPr>
                <w:rStyle w:val="a8"/>
                <w:noProof/>
                <w:lang w:val="en-US"/>
              </w:rPr>
              <w:t>XML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_Toc167914819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38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48041326" w14:textId="1CE2B021" w:rsidR="00FA01EB" w:rsidRDefault="00DF41F8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914820" w:history="1">
            <w:r w:rsidR="00FA01EB" w:rsidRPr="00444B82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="00FA01EB" w:rsidRPr="00444B82">
              <w:rPr>
                <w:rStyle w:val="a8"/>
                <w:noProof/>
                <w:lang w:val="en-US"/>
              </w:rPr>
              <w:t>XML</w:t>
            </w:r>
            <w:r w:rsidR="00FA01EB" w:rsidRPr="00444B82">
              <w:rPr>
                <w:rStyle w:val="a8"/>
                <w:noProof/>
              </w:rPr>
              <w:t xml:space="preserve"> парсера</w:t>
            </w:r>
            <w:r w:rsidR="00FA01EB">
              <w:rPr>
                <w:noProof/>
                <w:webHidden/>
              </w:rPr>
              <w:tab/>
            </w:r>
            <w:r w:rsidR="00FA01EB">
              <w:rPr>
                <w:noProof/>
                <w:webHidden/>
              </w:rPr>
              <w:fldChar w:fldCharType="begin"/>
            </w:r>
            <w:r w:rsidR="00FA01EB">
              <w:rPr>
                <w:noProof/>
                <w:webHidden/>
              </w:rPr>
              <w:instrText xml:space="preserve"> PAGEREF _Toc167914820 \h </w:instrText>
            </w:r>
            <w:r w:rsidR="00FA01EB">
              <w:rPr>
                <w:noProof/>
                <w:webHidden/>
              </w:rPr>
            </w:r>
            <w:r w:rsidR="00FA01EB">
              <w:rPr>
                <w:noProof/>
                <w:webHidden/>
              </w:rPr>
              <w:fldChar w:fldCharType="separate"/>
            </w:r>
            <w:r w:rsidR="00FA01EB">
              <w:rPr>
                <w:noProof/>
                <w:webHidden/>
              </w:rPr>
              <w:t>41</w:t>
            </w:r>
            <w:r w:rsidR="00FA01EB">
              <w:rPr>
                <w:noProof/>
                <w:webHidden/>
              </w:rPr>
              <w:fldChar w:fldCharType="end"/>
            </w:r>
          </w:hyperlink>
        </w:p>
        <w:p w14:paraId="2E7F7D8C" w14:textId="5F5F6634" w:rsidR="00EE5027" w:rsidRDefault="00EE5027" w:rsidP="00EE5027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2" w:name="_Toc167914799"/>
      <w:bookmarkStart w:id="3" w:name="_Hlk166530517"/>
      <w:r w:rsidRPr="00CA52DC">
        <w:lastRenderedPageBreak/>
        <w:t>ВВЕДЕНИЕ</w:t>
      </w:r>
      <w:bookmarkEnd w:id="2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6530661"/>
      <w:bookmarkEnd w:id="3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Default="006D0DC3" w:rsidP="005A316F">
      <w:pPr>
        <w:pStyle w:val="H1"/>
        <w:spacing w:before="0" w:after="0"/>
        <w:ind w:firstLine="709"/>
        <w:jc w:val="left"/>
      </w:pPr>
      <w:bookmarkStart w:id="5" w:name="_Toc167914800"/>
      <w:bookmarkEnd w:id="4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5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6" w:name="_Toc167914801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7" w:name="_Hlk166530673"/>
      <w:bookmarkEnd w:id="6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 xmlns:ev="http://www.w3.org/2001/xml-events" epub:prefix="media: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rel="stylesheet" type="text/css" href="../css/shared-culture.css"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ebook.&lt;/p&gt;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&lt;img class="left" src="../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3C95D95B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(Digital rights</w:t>
      </w:r>
      <w:r w:rsidR="001A6119">
        <w:rPr>
          <w:rFonts w:ascii="Times New Roman" w:hAnsi="Times New Roman"/>
          <w:bCs/>
          <w:sz w:val="28"/>
          <w:szCs w:val="36"/>
        </w:rPr>
        <w:t xml:space="preserve"> management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GitHub , исследователи обнаружили, что 16 из 97 исследованных систем позволяли </w:t>
      </w:r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8" w:name="_Toc167914802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9" w:name="_Hlk166530707"/>
      <w:bookmarkEnd w:id="8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&lt;genre&gt;prose_classic&lt;/genre&gt;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&lt;first-name&gt;Михаил&lt;/first-name&gt;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&lt;middle-name&gt;Афанасьевич&lt;/middle-name&gt;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&lt;last-name&gt;Булгаков&lt;/last-name&gt;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&lt;book-title&gt;Собачье сердце&lt;/book-title&gt;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&lt;coverpage&gt;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l:href="#cover.jpg"/&gt;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&lt;/coverpage&gt;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&lt;lang&gt;ru&lt;/lang&gt;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&lt;book-name&gt;Собачье сердце&lt;/book-name&gt;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&lt;publisher&gt;Детская литература&lt;/publisher&gt;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&lt;isbn&gt;978-5-08-004244-7&lt;/isbn&gt;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name="Школьная библиотека"/&gt;</w:t>
      </w:r>
    </w:p>
    <w:p w14:paraId="7851D2AB" w14:textId="6DF5BE43" w:rsidR="0058019D" w:rsidRPr="00DA4CB3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DA4CB3">
        <w:rPr>
          <w:rFonts w:ascii="Consolas" w:hAnsi="Consolas" w:cs="Courier New"/>
          <w:sz w:val="24"/>
          <w:szCs w:val="24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5B1AE9EC" w14:textId="090968D1" w:rsidR="00E82A09" w:rsidRPr="00765D02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CB3">
        <w:rPr>
          <w:rFonts w:ascii="Consolas" w:hAnsi="Consolas" w:cs="Courier New"/>
          <w:sz w:val="24"/>
          <w:szCs w:val="24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p w14:paraId="37110622" w14:textId="77777777" w:rsidR="00765D02" w:rsidRDefault="00765D02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bookmarkEnd w:id="9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0" w:name="_Toc167914803"/>
      <w:r w:rsidRPr="00F2011F">
        <w:lastRenderedPageBreak/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1" w:name="_Hlk166530719"/>
      <w:bookmarkEnd w:id="10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2" w:name="_Hlk166530112"/>
      <w:bookmarkStart w:id="13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4" w:name="_Hlk166530167"/>
      <w:r w:rsidR="006D0FB0">
        <w:rPr>
          <w:rFonts w:ascii="Times New Roman" w:hAnsi="Times New Roman"/>
          <w:bCs/>
          <w:sz w:val="28"/>
          <w:szCs w:val="36"/>
        </w:rPr>
        <w:t>DjVu (фр. déjà vu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4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2"/>
    </w:p>
    <w:bookmarkEnd w:id="13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r w:rsidRPr="001B3CE7">
        <w:rPr>
          <w:rFonts w:ascii="Times New Roman" w:hAnsi="Times New Roman"/>
          <w:bCs/>
          <w:sz w:val="28"/>
          <w:szCs w:val="36"/>
        </w:rPr>
        <w:t>Interchange</w:t>
      </w:r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>Xerox Workcentre</w:t>
      </w:r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>Internet Archive</w:t>
      </w:r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1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5" w:name="_Toc167914804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6" w:name="_Hlk166530751"/>
      <w:bookmarkEnd w:id="15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(Portable Document Format) был создан Adobe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663F5956" w14:textId="147D73E0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 xml:space="preserve">При </w:t>
      </w:r>
      <w:r w:rsidR="003B6C8C">
        <w:rPr>
          <w:rFonts w:ascii="Times New Roman" w:hAnsi="Times New Roman"/>
          <w:bCs/>
          <w:sz w:val="28"/>
          <w:szCs w:val="36"/>
        </w:rPr>
        <w:lastRenderedPageBreak/>
        <w:t>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>, предназначены для просмотра в браузерах без полной загрузки файла, так как ключевые элементы для отображения первой 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 xml:space="preserve">Другим немаловажным аспектом в цифровую эпоху является поддержка механизма защиты </w:t>
      </w:r>
      <w:r w:rsidR="00192225" w:rsidRPr="00192225">
        <w:rPr>
          <w:rFonts w:ascii="Times New Roman" w:hAnsi="Times New Roman"/>
          <w:bCs/>
          <w:sz w:val="28"/>
          <w:szCs w:val="36"/>
        </w:rPr>
        <w:lastRenderedPageBreak/>
        <w:t>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6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7" w:name="_Toc167914805"/>
      <w:r w:rsidRPr="00E71238">
        <w:rPr>
          <w:bCs/>
        </w:rPr>
        <w:t>1.</w:t>
      </w:r>
      <w:r w:rsidRPr="00D62AA2">
        <w:rPr>
          <w:bCs/>
        </w:rPr>
        <w:t xml:space="preserve">5 </w:t>
      </w:r>
      <w:r w:rsidR="00212411" w:rsidRPr="00212411">
        <w:rPr>
          <w:rFonts w:cs="Times New Roman"/>
          <w:szCs w:val="28"/>
        </w:rPr>
        <w:t>docx</w:t>
      </w:r>
      <w:r w:rsidR="00686BD6">
        <w:rPr>
          <w:rFonts w:cs="Times New Roman"/>
          <w:szCs w:val="28"/>
        </w:rPr>
        <w:t xml:space="preserve"> и его универсальность</w:t>
      </w:r>
      <w:bookmarkStart w:id="18" w:name="_Hlk166530765"/>
      <w:bookmarkEnd w:id="17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.docx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6E08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.docx,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lastRenderedPageBreak/>
        <w:t>docProps/app.xml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_rels</w:t>
      </w:r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.rels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2CA5F96F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&lt;w:tabs&gt;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&lt;w:r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6F72E512" w14:textId="4BA6504B" w:rsidR="001D6396" w:rsidRPr="00AE259B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440D3956" w14:textId="77777777" w:rsidR="00924538" w:rsidRPr="00DA4CB3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&lt;m:oMathPara&gt;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&lt;m:oMath&gt;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&lt;m:r&gt;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&lt;w:szCs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&lt;m:t&gt;E=m&lt;/m:t&gt;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F30113">
        <w:rPr>
          <w:rFonts w:ascii="Consolas" w:hAnsi="Consolas" w:cs="Courier New"/>
          <w:sz w:val="24"/>
          <w:szCs w:val="24"/>
        </w:rPr>
        <w:t>word/_rels/document.xml.rels</w:t>
      </w:r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8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 xml:space="preserve">открывает </w:t>
      </w:r>
      <w:r w:rsidR="000A4561">
        <w:rPr>
          <w:rFonts w:ascii="Times New Roman" w:hAnsi="Times New Roman"/>
          <w:bCs/>
          <w:sz w:val="28"/>
          <w:szCs w:val="36"/>
        </w:rPr>
        <w:lastRenderedPageBreak/>
        <w:t>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Default="00D27361" w:rsidP="00D27361">
      <w:pPr>
        <w:pStyle w:val="H1"/>
        <w:spacing w:before="0" w:after="0"/>
        <w:ind w:firstLine="709"/>
        <w:jc w:val="left"/>
      </w:pPr>
      <w:bookmarkStart w:id="19" w:name="_Toc167914806"/>
      <w:r>
        <w:lastRenderedPageBreak/>
        <w:t>2</w:t>
      </w:r>
      <w:r w:rsidRPr="007D61FA">
        <w:t xml:space="preserve"> </w:t>
      </w:r>
      <w:r>
        <w:t>О</w:t>
      </w:r>
      <w:r w:rsidRPr="007D61FA">
        <w:t xml:space="preserve">писание </w:t>
      </w:r>
      <w:r>
        <w:t>модели</w:t>
      </w:r>
      <w:bookmarkEnd w:id="19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0" w:name="_Toc167914807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0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1" w:name="_Toc167914808"/>
      <w:r>
        <w:t>2.1.1 Простой текст</w:t>
      </w:r>
      <w:r w:rsidR="005C38DF">
        <w:t>. Абзацы</w:t>
      </w:r>
      <w:bookmarkEnd w:id="21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F45ABA">
      <w:pPr>
        <w:pStyle w:val="H3"/>
        <w:rPr>
          <w:bCs w:val="0"/>
        </w:rPr>
      </w:pPr>
      <w:bookmarkStart w:id="22" w:name="_Toc167914809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2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lvl</w:t>
      </w:r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tabs>
          <w:tab w:val="clear" w:pos="993"/>
        </w:tabs>
        <w:ind w:left="0" w:firstLine="709"/>
        <w:rPr>
          <w:bCs w:val="0"/>
        </w:rPr>
      </w:pPr>
      <w:bookmarkStart w:id="23" w:name="_Toc167914810"/>
      <w:r>
        <w:t>2.1.</w:t>
      </w:r>
      <w:r w:rsidR="00D83BFD">
        <w:t>3</w:t>
      </w:r>
      <w:r w:rsidR="00423193">
        <w:t xml:space="preserve"> Перечисления</w:t>
      </w:r>
      <w:bookmarkEnd w:id="23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 w:rsidRPr="004750D2">
        <w:rPr>
          <w:rFonts w:ascii="Consolas" w:hAnsi="Consolas" w:cs="Courier New"/>
          <w:sz w:val="24"/>
          <w:szCs w:val="24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4750D2">
        <w:rPr>
          <w:rFonts w:ascii="Consolas" w:hAnsi="Consolas" w:cs="Courier New"/>
          <w:sz w:val="24"/>
          <w:szCs w:val="24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r w:rsidR="00B13345" w:rsidRPr="004750D2">
        <w:rPr>
          <w:rFonts w:ascii="Consolas" w:hAnsi="Consolas" w:cs="Courier New"/>
          <w:sz w:val="24"/>
          <w:szCs w:val="24"/>
        </w:rPr>
        <w:t>sep</w:t>
      </w:r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&lt;ul&gt;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&lt;li&gt;яблоки&lt;/li&gt;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&lt;li&gt;бананы&lt;/li&gt;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&lt;/li&gt;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&lt;/ul&gt;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4" w:name="_Toc167914811"/>
      <w:r>
        <w:t>2.1.</w:t>
      </w:r>
      <w:r w:rsidR="00D83BFD">
        <w:t>4</w:t>
      </w:r>
      <w:r>
        <w:t xml:space="preserve"> Код на языке программирования</w:t>
      </w:r>
      <w:bookmarkEnd w:id="24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>&lt;code lang="js"&gt;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A4CB3">
        <w:rPr>
          <w:rFonts w:ascii="Consolas" w:hAnsi="Consolas" w:cs="Courier New"/>
          <w:sz w:val="24"/>
          <w:szCs w:val="24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276B751A" w14:textId="789D60F8" w:rsidR="00637FBE" w:rsidRPr="00DA4CB3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5" w:name="_Toc167914812"/>
      <w:r>
        <w:t>2.1.5 Формулы</w:t>
      </w:r>
      <w:r w:rsidR="008744A0">
        <w:t xml:space="preserve"> и различные математические объекты</w:t>
      </w:r>
      <w:bookmarkEnd w:id="25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434EB2E2" w:rsidR="002413AF" w:rsidRDefault="00E27A60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lastRenderedPageBreak/>
        <w:t>&lt;math&gt;</w:t>
      </w:r>
    </w:p>
    <w:p w14:paraId="1F85C6D5" w14:textId="34B7BCAF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t xml:space="preserve">  \frac{1}{\sigma\sqrt{2\pi}}\exp\left(-\frac{(x-\mu)^2}{2\sigma^2}\right)</w:t>
      </w:r>
    </w:p>
    <w:p w14:paraId="5ACED386" w14:textId="48D57043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t>&lt;/math&gt;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6" w:name="_Toc167914813"/>
      <w:r>
        <w:rPr>
          <w:bCs/>
        </w:rPr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6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&lt;img</w:t>
      </w:r>
      <w:r w:rsidR="00B829D1" w:rsidRPr="00064C99">
        <w:rPr>
          <w:rFonts w:ascii="Consolas" w:hAnsi="Consolas" w:cs="Courier New"/>
          <w:sz w:val="24"/>
          <w:szCs w:val="24"/>
        </w:rPr>
        <w:t xml:space="preserve"> src=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r w:rsidR="000D7B2D" w:rsidRPr="00064C99">
        <w:rPr>
          <w:rFonts w:ascii="Consolas" w:hAnsi="Consolas" w:cs="Courier New"/>
          <w:sz w:val="24"/>
          <w:szCs w:val="24"/>
        </w:rPr>
        <w:t>desc=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7" w:name="_Toc167914814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7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4D2CB41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77777777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8A5680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A5680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A5680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8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8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722C187C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&lt;table desc="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&lt;th&gt;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&lt;td&gt;Студент&lt;/td&gt;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&lt;td&gt;Возраст&lt;/td&gt;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&lt;td&gt;Группа&lt;/td&gt;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&lt;td&gt;Оценка&lt;/td&gt;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&lt;/th&gt;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&lt;/tr&gt;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&lt;tr&gt;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&lt;td&gt;Петров П.&lt;/td&gt;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&lt;/tr&gt;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&lt;/table&gt;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29" w:name="_Toc167914815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29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6CECA392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 xml:space="preserve">с формальным описаний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202E72B3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155F4F3" w:rsidR="002A3F34" w:rsidRDefault="002A3F34" w:rsidP="002A3F34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30" w:name="_Toc167830520"/>
      <w:bookmarkStart w:id="31" w:name="_Toc167914816"/>
      <w:r>
        <w:rPr>
          <w:rFonts w:cs="Times New Roman"/>
          <w:szCs w:val="28"/>
        </w:rPr>
        <w:lastRenderedPageBreak/>
        <w:t xml:space="preserve">2 Алгоритм преобразования </w:t>
      </w:r>
      <w:r>
        <w:t>XML</w:t>
      </w:r>
      <w:r>
        <w:rPr>
          <w:rFonts w:cs="Times New Roman"/>
          <w:szCs w:val="28"/>
        </w:rPr>
        <w:t xml:space="preserve"> документа</w:t>
      </w:r>
      <w:bookmarkEnd w:id="30"/>
      <w:bookmarkEnd w:id="31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&lt;?xml version="1.0" encoding="UTF-8"?&gt;</w:t>
      </w:r>
    </w:p>
    <w:p w14:paraId="7926DC1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62D622FD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&lt;document&gt;</w:t>
      </w:r>
    </w:p>
    <w:p w14:paraId="4C092C6F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&lt;h lvl="1"&gt;ВВЕДЕНИЕ&lt;/h&gt;</w:t>
      </w:r>
    </w:p>
    <w:p w14:paraId="16FA8714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&lt;b&gt;жизни&lt;/b&gt;...&lt;/p&gt;</w:t>
      </w:r>
    </w:p>
    <w:p w14:paraId="241CBB3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&lt;ol type="num" sep=" "&gt;</w:t>
      </w:r>
    </w:p>
    <w:p w14:paraId="7D463817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&lt;li&gt;[первый объект списка]&lt;/li&gt;</w:t>
      </w:r>
    </w:p>
    <w:p w14:paraId="09E2BCC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&lt;li&gt;[второй объект списка]&lt;/li&gt;</w:t>
      </w:r>
    </w:p>
    <w:p w14:paraId="5A70B97E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3188EE24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6D24ACF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яблоки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330CBAC1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бананы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0A653FF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груши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95426B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5C5D6270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&lt;code lang="js"&gt;</w:t>
      </w:r>
    </w:p>
    <w:p w14:paraId="0596527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console.log(“Hello world”)</w:t>
      </w:r>
    </w:p>
    <w:p w14:paraId="72E712D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25C9EFD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F02ADC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\frac{1}{\sigma\sqrt{2\pi}}\exp\left(-\frac{(x-\mu)^2}{2\sigma^2}\right)</w:t>
      </w:r>
    </w:p>
    <w:p w14:paraId="34D248C5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023E895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&lt;img src="cat.jpg" desc="</w:t>
      </w:r>
      <w:r>
        <w:rPr>
          <w:rFonts w:ascii="Consolas" w:hAnsi="Consolas" w:cs="Courier New"/>
          <w:sz w:val="24"/>
          <w:szCs w:val="24"/>
        </w:rPr>
        <w:t>котик</w:t>
      </w:r>
      <w:r>
        <w:rPr>
          <w:rFonts w:ascii="Consolas" w:hAnsi="Consolas" w:cs="Courier New"/>
          <w:sz w:val="24"/>
          <w:szCs w:val="24"/>
          <w:lang w:val="en-US"/>
        </w:rPr>
        <w:t>"/&gt;</w:t>
      </w:r>
    </w:p>
    <w:p w14:paraId="34282F17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&lt;table desc=""&gt;</w:t>
      </w:r>
    </w:p>
    <w:p w14:paraId="04A366B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&lt;th&gt;</w:t>
      </w:r>
    </w:p>
    <w:p w14:paraId="0BA75CE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студент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2EA40A7F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номер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6633784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&lt;/th&gt;</w:t>
      </w:r>
    </w:p>
    <w:p w14:paraId="5F9A73AA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&lt;tr&gt;</w:t>
      </w:r>
    </w:p>
    <w:p w14:paraId="43543738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</w:t>
      </w:r>
      <w:r>
        <w:rPr>
          <w:rFonts w:ascii="Consolas" w:hAnsi="Consolas" w:cs="Courier New"/>
          <w:sz w:val="24"/>
          <w:szCs w:val="24"/>
        </w:rPr>
        <w:t>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&gt;иванов&lt;/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10D73FD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  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&gt;4&lt;/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2CB9663D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&lt;/</w:t>
      </w:r>
      <w:r>
        <w:rPr>
          <w:rFonts w:ascii="Consolas" w:hAnsi="Consolas" w:cs="Courier New"/>
          <w:sz w:val="24"/>
          <w:szCs w:val="24"/>
          <w:lang w:val="en-US"/>
        </w:rPr>
        <w:t>tr</w:t>
      </w:r>
      <w:r>
        <w:rPr>
          <w:rFonts w:ascii="Consolas" w:hAnsi="Consolas" w:cs="Courier New"/>
          <w:sz w:val="24"/>
          <w:szCs w:val="24"/>
        </w:rPr>
        <w:t>&gt;</w:t>
      </w:r>
    </w:p>
    <w:p w14:paraId="5F93F60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&lt;/</w:t>
      </w:r>
      <w:r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>&gt;</w:t>
      </w:r>
    </w:p>
    <w:p w14:paraId="4A52F390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&lt;/</w:t>
      </w:r>
      <w:r>
        <w:rPr>
          <w:rFonts w:ascii="Consolas" w:hAnsi="Consolas" w:cs="Courier New"/>
          <w:sz w:val="24"/>
          <w:szCs w:val="24"/>
          <w:lang w:val="en-US"/>
        </w:rPr>
        <w:t>document</w:t>
      </w:r>
      <w:r>
        <w:rPr>
          <w:rFonts w:ascii="Consolas" w:hAnsi="Consolas" w:cs="Courier New"/>
          <w:sz w:val="24"/>
          <w:szCs w:val="24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0152E0DE">
            <wp:extent cx="5866130" cy="3580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7E0753B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Стартовое окно программы</w:t>
      </w:r>
    </w:p>
    <w:p w14:paraId="08FE43A9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5B1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указания необходимых путей файлов результат работы программы будет отображено в правой части её окна. Продемонстрируем этот результат на рисунке 6.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DC8A1A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775FA5">
      <w:pPr>
        <w:pStyle w:val="H1"/>
      </w:pPr>
      <w:bookmarkStart w:id="32" w:name="_Toc167914817"/>
      <w:r>
        <w:lastRenderedPageBreak/>
        <w:t>ЗАКЛЮЧЕНИЕ</w:t>
      </w:r>
      <w:bookmarkEnd w:id="32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  <w:bookmarkStart w:id="33" w:name="_GoBack"/>
      <w:bookmarkEnd w:id="0"/>
      <w:bookmarkEnd w:id="33"/>
    </w:p>
    <w:sectPr w:rsidR="00775FA5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C99"/>
    <w:rsid w:val="00064E04"/>
    <w:rsid w:val="00065FCA"/>
    <w:rsid w:val="00071151"/>
    <w:rsid w:val="0007133F"/>
    <w:rsid w:val="000731F7"/>
    <w:rsid w:val="00081782"/>
    <w:rsid w:val="00081D72"/>
    <w:rsid w:val="00086B9F"/>
    <w:rsid w:val="000929FB"/>
    <w:rsid w:val="00094B1C"/>
    <w:rsid w:val="000A10BF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D7FBF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661F"/>
    <w:rsid w:val="00116BD4"/>
    <w:rsid w:val="0012019B"/>
    <w:rsid w:val="001466C8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427A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6396"/>
    <w:rsid w:val="001E2453"/>
    <w:rsid w:val="001F2BC3"/>
    <w:rsid w:val="001F50BF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A0219"/>
    <w:rsid w:val="002A097C"/>
    <w:rsid w:val="002A3F34"/>
    <w:rsid w:val="002A4B76"/>
    <w:rsid w:val="002A4E0D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6534"/>
    <w:rsid w:val="002D2129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1B62"/>
    <w:rsid w:val="0032387F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7147F"/>
    <w:rsid w:val="00373A81"/>
    <w:rsid w:val="0037568D"/>
    <w:rsid w:val="00376A6E"/>
    <w:rsid w:val="003A3F6F"/>
    <w:rsid w:val="003A41D5"/>
    <w:rsid w:val="003A6107"/>
    <w:rsid w:val="003A6CDE"/>
    <w:rsid w:val="003B6C8C"/>
    <w:rsid w:val="003C15A9"/>
    <w:rsid w:val="003C15F2"/>
    <w:rsid w:val="003D5C31"/>
    <w:rsid w:val="003D70E4"/>
    <w:rsid w:val="003E16F9"/>
    <w:rsid w:val="003E3FB5"/>
    <w:rsid w:val="003E69AB"/>
    <w:rsid w:val="003F0E3D"/>
    <w:rsid w:val="00405B35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D024F"/>
    <w:rsid w:val="004D28A8"/>
    <w:rsid w:val="004E6AA8"/>
    <w:rsid w:val="004E7EF1"/>
    <w:rsid w:val="004F36CC"/>
    <w:rsid w:val="005030BD"/>
    <w:rsid w:val="00503672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61F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3DC5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F29ED"/>
    <w:rsid w:val="006F4130"/>
    <w:rsid w:val="006F5067"/>
    <w:rsid w:val="006F5E65"/>
    <w:rsid w:val="00711AF3"/>
    <w:rsid w:val="00717D49"/>
    <w:rsid w:val="007239CC"/>
    <w:rsid w:val="00725152"/>
    <w:rsid w:val="0073427D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4F6D"/>
    <w:rsid w:val="007B6213"/>
    <w:rsid w:val="007B6A3B"/>
    <w:rsid w:val="007C4329"/>
    <w:rsid w:val="007C43DC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223D"/>
    <w:rsid w:val="0081272A"/>
    <w:rsid w:val="00820608"/>
    <w:rsid w:val="00825769"/>
    <w:rsid w:val="008276E6"/>
    <w:rsid w:val="00831C75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912E5"/>
    <w:rsid w:val="008950A8"/>
    <w:rsid w:val="008952FB"/>
    <w:rsid w:val="00896A4A"/>
    <w:rsid w:val="008A09E7"/>
    <w:rsid w:val="008A4F4F"/>
    <w:rsid w:val="008A5680"/>
    <w:rsid w:val="008B0BB5"/>
    <w:rsid w:val="008B0C60"/>
    <w:rsid w:val="008B0DEA"/>
    <w:rsid w:val="008B3220"/>
    <w:rsid w:val="008C0575"/>
    <w:rsid w:val="008C7F0B"/>
    <w:rsid w:val="008D2BC1"/>
    <w:rsid w:val="008D7F4F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676F"/>
    <w:rsid w:val="00917D80"/>
    <w:rsid w:val="009204DD"/>
    <w:rsid w:val="00920867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5AED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259B"/>
    <w:rsid w:val="00AE48B3"/>
    <w:rsid w:val="00AE6615"/>
    <w:rsid w:val="00AE7F5D"/>
    <w:rsid w:val="00B05291"/>
    <w:rsid w:val="00B07E7C"/>
    <w:rsid w:val="00B13345"/>
    <w:rsid w:val="00B2076D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29D1"/>
    <w:rsid w:val="00B9449E"/>
    <w:rsid w:val="00B94659"/>
    <w:rsid w:val="00BA1CFB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16D4"/>
    <w:rsid w:val="00BF1C65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77970"/>
    <w:rsid w:val="00C83333"/>
    <w:rsid w:val="00C838C9"/>
    <w:rsid w:val="00C84B87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2950"/>
    <w:rsid w:val="00D26A35"/>
    <w:rsid w:val="00D27361"/>
    <w:rsid w:val="00D27934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372D"/>
    <w:rsid w:val="00DC2FD4"/>
    <w:rsid w:val="00DC6894"/>
    <w:rsid w:val="00DC6978"/>
    <w:rsid w:val="00DD3D27"/>
    <w:rsid w:val="00DD4BE2"/>
    <w:rsid w:val="00DE0E16"/>
    <w:rsid w:val="00DE56FD"/>
    <w:rsid w:val="00DF1494"/>
    <w:rsid w:val="00DF41F8"/>
    <w:rsid w:val="00DF61E2"/>
    <w:rsid w:val="00E016F9"/>
    <w:rsid w:val="00E0269C"/>
    <w:rsid w:val="00E03F42"/>
    <w:rsid w:val="00E0613D"/>
    <w:rsid w:val="00E10965"/>
    <w:rsid w:val="00E2018E"/>
    <w:rsid w:val="00E27A60"/>
    <w:rsid w:val="00E3273A"/>
    <w:rsid w:val="00E370A0"/>
    <w:rsid w:val="00E414F8"/>
    <w:rsid w:val="00E4223C"/>
    <w:rsid w:val="00E442A7"/>
    <w:rsid w:val="00E46794"/>
    <w:rsid w:val="00E47C5E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B0A2F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10939"/>
    <w:rsid w:val="00F11FB9"/>
    <w:rsid w:val="00F14C4C"/>
    <w:rsid w:val="00F2011F"/>
    <w:rsid w:val="00F20385"/>
    <w:rsid w:val="00F2315F"/>
    <w:rsid w:val="00F244BC"/>
    <w:rsid w:val="00F30113"/>
    <w:rsid w:val="00F3043A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4465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43575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43575"/>
    <w:pPr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C43575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948A3-EB4B-476C-979C-E6C86961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36</Pages>
  <Words>6243</Words>
  <Characters>35588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78</cp:revision>
  <cp:lastPrinted>2024-05-06T20:01:00Z</cp:lastPrinted>
  <dcterms:created xsi:type="dcterms:W3CDTF">2024-04-13T07:18:00Z</dcterms:created>
  <dcterms:modified xsi:type="dcterms:W3CDTF">2024-05-29T20:08:00Z</dcterms:modified>
</cp:coreProperties>
</file>