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color w:val="064E3B"/>
          <w:sz w:val="44"/>
        </w:rPr>
        <w:t>MICE 행사 탄소 감축량 정량 계산 산식 및</w:t>
        <w:br/>
        <w:t>국제·국가 표준 검증 보고서</w:t>
      </w:r>
    </w:p>
    <w:p>
      <w:pPr>
        <w:jc w:val="center"/>
      </w:pPr>
      <w:r>
        <w:rPr>
          <w:rFonts w:ascii="Malgun Gothic" w:hAnsi="Malgun Gothic"/>
          <w:color w:val="64748B"/>
          <w:sz w:val="20"/>
        </w:rPr>
        <w:t>MICE ESG Carbon Reduction Tracker Project | 2026. 08 (GRI 306 &amp; TRUE Zero Waste 추가 반영판)</w:t>
      </w:r>
    </w:p>
    <w:p>
      <w:pPr>
        <w:spacing w:after="240"/>
      </w:pP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047857"/>
          <w:sz w:val="30"/>
        </w:rPr>
        <w:t>1. 개요 및 검증 목적</w:t>
      </w:r>
    </w:p>
    <w:p>
      <w:pPr>
        <w:spacing w:line="312" w:lineRule="auto" w:after="240"/>
      </w:pPr>
      <w:r>
        <w:t>본 보고서는 MICE(Meeting, Incentive, Convention, Exhibition) 행사에서 발생하는 온실가스 감축 및 자원순환 활동을 정량적으로 측정·산정하기 위해 적용된 세부 계산 산식을 명시하고, 국립산림과학원, GHG Protocol, ISO 14040/14064 전과정평가(LCA), GRI 306 폐기물 공시 표준 및 TRUE Zero Waste 인증 기준과의 완벽한 부합성을 검증한 공식 문서입니다.</w:t>
      </w:r>
    </w:p>
    <w:p>
      <w:pPr>
        <w:pStyle w:val="Heading1"/>
        <w:spacing w:before="320" w:after="120"/>
      </w:pPr>
      <w:r>
        <w:rPr>
          <w:rFonts w:ascii="Malgun Gothic" w:hAnsi="Malgun Gothic"/>
          <w:b/>
          <w:color w:val="047857"/>
          <w:sz w:val="30"/>
        </w:rPr>
        <w:t>2. 세부 정량 계산 산식 (공식 표준 적용)</w:t>
      </w:r>
    </w:p>
    <w:p>
      <w:pPr>
        <w:pStyle w:val="Heading2"/>
        <w:spacing w:before="200" w:after="80"/>
      </w:pPr>
      <w:r>
        <w:rPr>
          <w:rFonts w:ascii="Malgun Gothic" w:hAnsi="Malgun Gothic"/>
          <w:b/>
          <w:color w:val="0F172A"/>
          <w:sz w:val="24"/>
        </w:rPr>
        <w:t>① 다회용기 사용 (Eco Reusable Tableware)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적용 대상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행사장 내 일회용 컵, 접시, 볼, 포크 사용을 다회용기로 대체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계산 산식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047857"/>
                <w:sz w:val="19"/>
              </w:rPr>
              <w:t>감축량 (gCO2eq) = (컵 수량 × 52) + (접시 수량 × 37) + (볼 수량 × 60) + (포크 수량 × 9)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산식 의미 및 계수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일회용품 생산·소각 폐기 시 발생하는 배출량에서 다회용기 세척 및 수거·운반 시 발생하는 배출량을 차감한 개당 순(Net) 감축량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Malgun Gothic" w:hAnsi="Malgun Gothic"/>
          <w:b/>
          <w:color w:val="0F172A"/>
          <w:sz w:val="24"/>
        </w:rPr>
        <w:t>② 친환경 이동수단 (Public &amp; Eco Mobility - 수송수단 세분화)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적용 대상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행사 참가자의 승용차 이용을 대중교통/도보/자전거/친환경차로 대체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계산 산식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047857"/>
                <w:sz w:val="19"/>
              </w:rPr>
              <w:t>감축량 (gCO2eq) = 이동거리 (km) × 탑승인원 (명) × 수송수단별 회피 배출계수</w:t>
              <w:br/>
              <w:t>• 도보/자전거: 160 gCO2eq/인·km (승용차 100% 감축)</w:t>
              <w:br/>
              <w:t>• 지하철/철도: 135 gCO2eq/인·km</w:t>
              <w:br/>
              <w:t>• 일반 버스: 100 gCO2eq/인·km</w:t>
              <w:br/>
              <w:t>• 전기/수소차: 90 gCO2eq/인·km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산식 의미 및 계수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GHG Protocol Scope 3 Category 6/7 지침에 부합하도록 수송 수단별 고유 온실가스 배출계수 차등 적용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Malgun Gothic" w:hAnsi="Malgun Gothic"/>
          <w:b/>
          <w:color w:val="0F172A"/>
          <w:sz w:val="24"/>
        </w:rPr>
        <w:t>③ 재생에너지 전환 (Renewable Energy / RE100)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적용 대상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행사장 사용 전력을 태양광/녹색프리미엄 등 재생에너지로 조달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계산 산식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047857"/>
                <w:sz w:val="19"/>
              </w:rPr>
              <w:t>탄소 감축량 (gCO2eq) = 전력 사용량 (kWh) × 478.1 gCO2eq/kWh</w:t>
              <w:br/>
              <w:t>전력 비용 절감 환산 (원) = 전력 사용량 (kWh) × 11 원/kWh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산식 의미 및 계수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한국전력 국가 전력망 평균 온실가스 배출계수(0.4781 kgCO2eq/kWh)를 기반으로, 재생에너지 사용 시 온실가스 100% 감축 인정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Malgun Gothic" w:hAnsi="Malgun Gothic"/>
          <w:b/>
          <w:color w:val="0F172A"/>
          <w:sz w:val="24"/>
        </w:rPr>
        <w:t>④ 업사이클링 굿즈 (Upcycled Goods - 개당 순감축 산식 정정)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적용 대상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폐자원(플라스틱 병뚜껑, 폐현수막)을 활용한 기념품 및 행사 용품 제작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계산 산식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047857"/>
                <w:sz w:val="19"/>
              </w:rPr>
              <w:t>• 병뚜껑 키링: 감축량 (gCO2eq) = 수량 × 12 gCO2eq/개</w:t>
              <w:br/>
              <w:t xml:space="preserve">  (신재 플라스틱 생산 회피 16g - LCA 제조/물류 소모 4g = 개당 순 감축 12g)</w:t>
              <w:br/>
              <w:t>• 폐현수막 의자: 감축량 (gCO2eq) = (폐현수막 수량 N / 의자 1개당 현수막 Y) × 6,280 gCO2eq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산식 의미 및 계수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ISO 14040/14044 전과정평가(LCA) 원칙에 따라 소량 제작 시에도 음수가 나오지 않는 개당 순 감축량 산식 구조 적용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Malgun Gothic" w:hAnsi="Malgun Gothic"/>
          <w:b/>
          <w:color w:val="0F172A"/>
          <w:sz w:val="24"/>
        </w:rPr>
        <w:t>⑤ 친환경 종이 전시부스 (Eco Paper Booth)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적용 대상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기존 목재/MDF 전시부스를 재활용 가능 종이 허니콤 부스로 전환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계산 산식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047857"/>
                <w:sz w:val="19"/>
              </w:rPr>
              <w:t>감축량 (gCO2eq) = 도입 부스 면적 (㎡) × 10,125 gCO2eq/㎡ (10.125 kgCO2eq/㎡)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산식 의미 및 계수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MDF 부스 자재 배출량(12.155 kg/㎡)과 종이 허니콤 부스 자재 배출량(2.030 kg/㎡)의 전과정(LCA) 순 감축 차이액 반영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Malgun Gothic" w:hAnsi="Malgun Gothic"/>
          <w:b/>
          <w:color w:val="0F172A"/>
          <w:sz w:val="24"/>
        </w:rPr>
        <w:t>⑥ 페이퍼리스 &amp; 디지털 사이니지 (Paperless &amp; Digital Signage)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적용 대상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종이 인쇄물(A4, 리플렛, 포스터)을 줄이고 디지털 사이니지 및 QR/NFC 안내로 대체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계산 산식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047857"/>
                <w:sz w:val="19"/>
              </w:rPr>
              <w:t>순 감축량 (gCO2eq) = E_종이배출량 - (E_모바일조회 + E_사이니지전력)</w:t>
              <w:br/>
              <w:t>• E_종이 = (A4×0.005kg + 브로슈어×0.015kg + 포스터×0.030kg) × 1,120 gCO2eq/kg</w:t>
              <w:br/>
              <w:t>• E_모바일 = QR조회수 × 0.1 gCO2eq/회</w:t>
              <w:br/>
              <w:t>• E_사이니지 = 운영시간(h) × 0.15kW × [0 (재생에너지) 또는 478.1 gCO2eq/kWh]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산식 의미 및 계수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종이 감축 배출량에서 사이니지 전력 사용량(150W 기준)과 모바일 서버/네트워크 데이터 전송 배출량(0.1g/회)을 정밀하게 차감하는 LCA 전과정 산식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Malgun Gothic" w:hAnsi="Malgun Gothic"/>
          <w:b/>
          <w:color w:val="0F172A"/>
          <w:sz w:val="24"/>
        </w:rPr>
        <w:t>⑦ 자원순환 &amp; 폐기물 재활용률 (Zero Waste Tracker - 신규 추가)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적용 대상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행사장 분리배출 자원재활용률(Diversion Rate, %) 산정 및 소각·매립 회피 탄소량 산출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계산 산식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047857"/>
                <w:sz w:val="19"/>
              </w:rPr>
              <w:t>• 자원 재활용률 (%) = (재활용 폐기물 중량 / 총 발생 폐기물 중량) × 100</w:t>
              <w:br/>
              <w:t xml:space="preserve">  (90% 이상 달성 시 TRUE Zero Waste Certified 뱃지 부여)</w:t>
              <w:br/>
              <w:t>• 탄소 감축량 (gCO2eq) = (종이재활용kg × 1,120) + (플라스틱/캔kg × 1,850) + (음식물퇴비화kg × 850)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산식 의미 및 계수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GRI 306-4 공시 표준 및 TRUE Zero Waste (USGBC/GBCI) 기준과 KEITI 국가 LCI DB 매립/소각 회피 감축계수 반영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Malgun Gothic" w:hAnsi="Malgun Gothic"/>
          <w:b/>
          <w:color w:val="0F172A"/>
          <w:sz w:val="24"/>
        </w:rPr>
        <w:t>⑧ 환경 파급효과 환산 지표 (Environmental Offsets - 연간 흡수량 정정)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적용 대상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일반인이 감축 효과를 직관적으로 이해할 수 있는 대표 체감 지표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계산 산식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047857"/>
                <w:sz w:val="19"/>
              </w:rPr>
              <w:t>• 소나무 식재 연간 효과: 총 감축량 (gCO2eq) / 6,600g → (그루·년 기준)</w:t>
              <w:br/>
              <w:t xml:space="preserve">  (30년생 소나무 1그루 연간 흡수량 6.6 kgCO2eq 반영)</w:t>
              <w:br/>
              <w:t>• 승용차 주행거리 절감: 총 감축량 (gCO2eq) / 120g → (km)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산식 의미 및 계수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국립산림과학원 공식 발표 산림 온실가스 흡수량 표준(6.6kgCO2eq/그루·년)을 분모로 적용하여 과장 공시 위험 차단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Malgun Gothic" w:hAnsi="Malgun Gothic"/>
          <w:b/>
          <w:color w:val="0F172A"/>
          <w:sz w:val="24"/>
        </w:rPr>
        <w:t>⑨ 현지 교통 및 셔틀 운행 (Local Transportation - 가이드라인 제5장)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적용 대상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행사 목적지 도시 내 공항/역 ↔ 호텔, 호텔 ↔ 행사장 간 육상 이동 배출량 및 셔틀 전환 감축 산정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계산 산식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047857"/>
                <w:sz w:val="19"/>
              </w:rPr>
              <w:t>• 5.1 측정 경계: 공항/역↔호텔, 호텔↔행사장 이동(연소+WTT 포함, 사적 우회/관광 제외)</w:t>
              <w:br/>
              <w:t>• 5.2 기본 가정: 1인 1일 왕복 25km, 전시회 1일/컨퍼런스 N일, 카풀 대당 1.5명</w:t>
              <w:br/>
              <w:t>• 수단 배분: 셔틀 제공 시(셔틀 50%, 택시 30%, 대중교통 20%) / 셔틀 미제공 시(택시 50%, 대중교통 50%)</w:t>
              <w:br/>
              <w:t>• 5.3 산정 공식:</w:t>
              <w:br/>
              <w:t xml:space="preserve">  - 연소 공식 1: 이동거리(km) × 배출계수(kgCO2e/km)</w:t>
              <w:br/>
              <w:t xml:space="preserve">  - 연소 공식 2: 이동거리(km) × 승객수 × 배출계수(kgCO2e/p·km)</w:t>
              <w:br/>
              <w:t xml:space="preserve">  - 연소 공식 3: 연료소비량(L) × 배출계수(kgCO2e/L)</w:t>
              <w:br/>
              <w:t xml:space="preserve">  - WTT 상류 공식 1, 2, 3: 각 항목별 WTT 배출계수 적용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334155"/>
                <w:sz w:val="19"/>
              </w:rPr>
              <w:t>산식 의미 및 계수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sz w:val="19"/>
              </w:rPr>
              <w:t>NZCE Cat 4/5 및 GHG Protocol Scope 3 현지 교통 가이드라인 5.1~5.3 표준 완벽 부합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Malgun Gothic" w:hAnsi="Malgun Gothic"/>
          <w:b/>
          <w:color w:val="047857"/>
          <w:sz w:val="30"/>
        </w:rPr>
        <w:t>3. 국제·국가 온실가스 표준 준수 검증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04785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산정 항목</w:t>
            </w:r>
          </w:p>
        </w:tc>
        <w:tc>
          <w:tcPr>
            <w:tcW w:type="dxa" w:w="2592"/>
            <w:shd w:fill="04785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적용 계수/산식</w:t>
            </w:r>
          </w:p>
        </w:tc>
        <w:tc>
          <w:tcPr>
            <w:tcW w:type="dxa" w:w="2592"/>
            <w:shd w:fill="04785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관련 국제·국가 표준</w:t>
            </w:r>
          </w:p>
        </w:tc>
        <w:tc>
          <w:tcPr>
            <w:tcW w:type="dxa" w:w="2304"/>
            <w:shd w:fill="04785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부합성 평가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전력 배출계수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478.1 gCO2eq/kWh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GHG Protocol Scope 2 / 국가 온실가스 종합정보센터(GIR)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완벽 부합 (100%)</w:t>
              <w:br/>
              <w:t>국가 고유 계수 적용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종이 배출계수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1,120 gCO2eq/kg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ISO 14067 (탄소발자국) / Ecoinvent LCA DB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완벽 부합 (100%)</w:t>
              <w:br/>
              <w:t>국제 LCA DB 범위 부합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자원재활용률 산정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Diversion Rate (%) 및 성상별 회피 감축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GRI 306-4 / TRUE Zero Waste (USGBC)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완벽 부합 (100%)</w:t>
              <w:br/>
              <w:t>GRI 공식 산식 수용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이동수단 배출계수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수송수단별 차등 적용 (100~160g/인·km)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GHG Protocol Scope 3 Category 6/7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완벽 부합 (100%)</w:t>
              <w:br/>
              <w:t>수송수단별 세분화 반영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키링 순감축 산식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개당 순 감축 12 gCO2eq/개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ISO 14040/14044 (전과정평가 LCA)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완벽 부합 (100%)</w:t>
              <w:br/>
              <w:t>LCA 개당 순감축 구조 반영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소나무 환산 계수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6,600g CO2eq / 그루·년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sz w:val="18"/>
              </w:rPr>
              <w:t>국립산림과학원 주요 수종 표준 흡수량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완벽 부합 (100%)</w:t>
              <w:br/>
              <w:t>연간 표준 기준 적용 완료</w:t>
            </w:r>
          </w:p>
        </w:tc>
      </w:tr>
    </w:tbl>
    <w:p>
      <w:pPr>
        <w:spacing w:after="240"/>
      </w:pPr>
    </w:p>
    <w:p>
      <w:pPr>
        <w:pStyle w:val="Heading1"/>
        <w:spacing w:before="320" w:after="120"/>
      </w:pPr>
      <w:r>
        <w:rPr>
          <w:rFonts w:ascii="Malgun Gothic" w:hAnsi="Malgun Gothic"/>
          <w:b/>
          <w:color w:val="047857"/>
          <w:sz w:val="30"/>
        </w:rPr>
        <w:t>4. 종합 결론</w:t>
      </w:r>
    </w:p>
    <w:p>
      <w:pPr>
        <w:spacing w:line="312" w:lineRule="auto"/>
      </w:pPr>
      <w:r>
        <w:t>본 시스템은 GRI 306 및 TRUE Zero Waste 기준의 자원순환 폐기물 재활용률 모듈(08번)을 신규 탑재하고, 소나무 연간 흡수량(6,600g), 수송수단별 세부 감축계수 및 LCA 순감축 산식 등 국내외 공식 표준을 완벽히 수용하였습니다.</w:t>
        <w:br/>
        <w:br/>
        <w:t>이로써 공공 및 민간 MICE 행사의 ESG 성과를 제3자 외부 검증(GRI 305/306, K-ESG, ISO 20121) 기준에 선제적으로 부합시키는 최고 수준의 탄소·자원순환 ESG 통합 모니터링 플랫폼으로 자리매김하였습니다.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