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64E3B"/>
          <w:sz w:val="44"/>
        </w:rPr>
        <w:t>MICE 행사 탄소 감축량 정량 계산 산식 및</w:t>
        <w:br/>
        <w:t>국제·국가 표준 검증 보고서</w:t>
      </w:r>
    </w:p>
    <w:p>
      <w:pPr>
        <w:jc w:val="center"/>
      </w:pPr>
      <w:r>
        <w:rPr>
          <w:rFonts w:ascii="Malgun Gothic" w:hAnsi="Malgun Gothic"/>
          <w:color w:val="64748B"/>
          <w:sz w:val="20"/>
        </w:rPr>
        <w:t>MICE ESG Carbon Reduction Tracker Project | 2026. 08 (GRI 306 &amp; TRUE Zero Waste 추가 반영판)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47857"/>
          <w:sz w:val="30"/>
        </w:rPr>
        <w:t>1. 개요 및 검증 목적</w:t>
      </w:r>
    </w:p>
    <w:p>
      <w:pPr>
        <w:spacing w:line="312" w:lineRule="auto" w:after="240"/>
      </w:pPr>
      <w:r>
        <w:t>본 보고서는 MICE(Meeting, Incentive, Convention, Exhibition) 행사에서 발생하는 온실가스 감축 및 자원순환 활동을 정량적으로 측정·산정하기 위해 적용된 세부 계산 산식을 명시하고, 국립산림과학원, GHG Protocol, ISO 14040/14064 전과정평가(LCA), GRI 306 폐기물 공시 표준 및 TRUE Zero Waste 인증 기준과의 완벽한 부합성을 검증한 공식 문서입니다.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047857"/>
          <w:sz w:val="30"/>
        </w:rPr>
        <w:t>2. 세부 정량 계산 산식 (공식 표준 적용)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① 다회용기 사용 (Eco Reusable Tableware)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내 일회용 컵, 접시, 볼, 포크 사용을 다회용기로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(컵 수량 × 52) + (접시 수량 × 37) + (볼 수량 × 60) + (포크 수량 × 9)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일회용품 생산·소각 폐기 시 발생하는 배출량에서 다회용기 세척 및 수거·운반 시 발생하는 배출량을 차감한 개당 순(Net) 감축량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② 친환경 이동수단 (Public &amp; Eco Mobility - 수송수단 세분화)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 참가자의 승용차 이용을 대중교통/도보/자전거/친환경차로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이동거리 (km) × 탑승인원 (명) × 수송수단별 회피 배출계수</w:t>
              <w:br/>
              <w:t>• 도보/자전거: 160 gCO2eq/인·km (승용차 100% 감축)</w:t>
              <w:br/>
              <w:t>• 지하철/철도: 135 gCO2eq/인·km</w:t>
              <w:br/>
              <w:t>• 일반 버스: 100 gCO2eq/인·km</w:t>
              <w:br/>
              <w:t>• 전기/수소차: 90 gCO2eq/인·km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GHG Protocol Scope 3 Category 6/7 지침에 부합하도록 수송 수단별 고유 온실가스 배출계수 차등 적용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③ 재생에너지 전환 (Renewable Energy / RE100)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사용 전력을 태양광/녹색프리미엄 등 재생에너지로 조달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탄소 감축량 (gCO2eq) = 전력 사용량 (kWh) × 478.1 gCO2eq/kWh</w:t>
              <w:br/>
              <w:t>전력 비용 절감 환산 (원) = 전력 사용량 (kWh) × 11 원/kWh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한국전력 국가 전력망 평균 온실가스 배출계수(0.4781 kgCO2eq/kWh)를 기반으로, 재생에너지 사용 시 온실가스 100% 감축 인정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④ 업사이클링 굿즈 (Upcycled Goods - 개당 순감축 산식 정정)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폐자원(플라스틱 병뚜껑, 폐현수막)을 활용한 기념품 및 행사 용품 제작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병뚜껑 키링: 감축량 (gCO2eq) = 수량 × 12 gCO2eq/개</w:t>
              <w:br/>
              <w:t xml:space="preserve">  (신재 플라스틱 생산 회피 16g - LCA 제조/물류 소모 4g = 개당 순 감축 12g)</w:t>
              <w:br/>
              <w:t>• 폐현수막 의자: 감축량 (gCO2eq) = (폐현수막 수량 N / 의자 1개당 현수막 Y) × 6,280 gCO2eq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ISO 14040/14044 전과정평가(LCA) 원칙에 따라 소량 제작 시에도 음수가 나오지 않는 개당 순 감축량 산식 구조 적용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⑤ 친환경 종이 전시부스 (Eco Paper Booth)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기존 목재/MDF 전시부스를 재활용 가능 종이 허니콤 부스로 전환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도입 부스 면적 (㎡) × 10,125 gCO2eq/㎡ (10.125 kgCO2eq/㎡)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MDF 부스 자재 배출량(12.155 kg/㎡)과 종이 허니콤 부스 자재 배출량(2.030 kg/㎡)의 전과정(LCA) 순 감축 차이액 반영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⑥ 페이퍼리스 &amp; 디지털 사이니지 (Paperless &amp; Digital Signage)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종이 인쇄물(A4, 리플렛, 포스터)을 줄이고 디지털 사이니지 및 QR/NFC 안내로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순 감축량 (gCO2eq) = E_종이배출량 - (E_모바일조회 + E_사이니지전력)</w:t>
              <w:br/>
              <w:t>• E_종이 = (A4×0.005kg + 브로슈어×0.015kg + 포스터×0.030kg) × 1,120 gCO2eq/kg</w:t>
              <w:br/>
              <w:t>• E_모바일 = QR조회수 × 0.1 gCO2eq/회</w:t>
              <w:br/>
              <w:t>• E_사이니지 = 운영시간(h) × 0.15kW × [0 (재생에너지) 또는 478.1 gCO2eq/kWh]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종이 감축 배출량에서 사이니지 전력 사용량(150W 기준)과 모바일 서버/네트워크 데이터 전송 배출량(0.1g/회)을 정밀하게 차감하는 LCA 전과정 산식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⑦ 자원순환 &amp; 폐기물 재활용률 (Zero Waste Tracker - 신규 추가)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분리배출 자원재활용률(Diversion Rate, %) 산정 및 소각·매립 회피 탄소량 산출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자원 재활용률 (%) = (재활용 폐기물 중량 / 총 발생 폐기물 중량) × 100</w:t>
              <w:br/>
              <w:t xml:space="preserve">  (90% 이상 달성 시 TRUE Zero Waste Certified 뱃지 부여)</w:t>
              <w:br/>
              <w:t>• 탄소 감축량 (gCO2eq) = (종이재활용kg × 1,120) + (플라스틱/캔kg × 1,850) + (음식물퇴비화kg × 850)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GRI 306-4 공시 표준 및 TRUE Zero Waste (USGBC/GBCI) 기준과 KEITI 국가 LCI DB 매립/소각 회피 감축계수 반영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⑧ 환경 파급효과 환산 지표 (Environmental Offsets - 연간 흡수량 정정)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일반인이 감축 효과를 직관적으로 이해할 수 있는 대표 체감 지표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소나무 식재 연간 효과: 총 감축량 (gCO2eq) / 6,600g → (그루·년 기준)</w:t>
              <w:br/>
              <w:t xml:space="preserve">  (30년생 소나무 1그루 연간 흡수량 6.6 kgCO2eq 반영)</w:t>
              <w:br/>
              <w:t>• 승용차 주행거리 절감: 총 감축량 (gCO2eq) / 120g → (km)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국립산림과학원 공식 발표 산림 온실가스 흡수량 표준(6.6kgCO2eq/그루·년)을 분모로 적용하여 과장 공시 위험 차단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algun Gothic" w:hAnsi="Malgun Gothic"/>
          <w:b/>
          <w:color w:val="047857"/>
          <w:sz w:val="30"/>
        </w:rPr>
        <w:t>3. 국제·국가 온실가스 표준 준수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산정 항목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적용 계수/산식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관련 국제·국가 표준</w:t>
            </w:r>
          </w:p>
        </w:tc>
        <w:tc>
          <w:tcPr>
            <w:tcW w:type="dxa" w:w="2304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부합성 평가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전력 배출계수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478.1 gCO2eq/kWh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GHG Protocol Scope 2 / 국가 온실가스 종합정보센터(GIR)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국가 고유 계수 적용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종이 배출계수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1,120 gCO2eq/kg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ISO 14067 (탄소발자국) / Ecoinvent LCA DB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국제 LCA DB 범위 부합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자원재활용률 산정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Diversion Rate (%) 및 성상별 회피 감축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GRI 306-4 / TRUE Zero Waste (USGBC)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GRI 공식 산식 수용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이동수단 배출계수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수송수단별 차등 적용 (100~160g/인·km)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GHG Protocol Scope 3 Category 6/7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수송수단별 세분화 반영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키링 순감축 산식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개당 순 감축 12 gCO2eq/개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ISO 14040/14044 (전과정평가 LCA)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LCA 개당 순감축 구조 반영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소나무 환산 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6,600g CO2eq / 그루·년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국립산림과학원 주요 수종 표준 흡수량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연간 표준 기준 적용 완료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047857"/>
          <w:sz w:val="30"/>
        </w:rPr>
        <w:t>4. 종합 결론</w:t>
      </w:r>
    </w:p>
    <w:p>
      <w:pPr>
        <w:spacing w:line="312" w:lineRule="auto"/>
      </w:pPr>
      <w:r>
        <w:t>본 시스템은 GRI 306 및 TRUE Zero Waste 기준의 자원순환 폐기물 재활용률 모듈(08번)을 신규 탑재하고, 소나무 연간 흡수량(6,600g), 수송수단별 세부 감축계수 및 LCA 순감축 산식 등 국내외 공식 표준을 완벽히 수용하였습니다.</w:t>
        <w:br/>
        <w:br/>
        <w:t>이로써 공공 및 민간 MICE 행사의 ESG 성과를 제3자 외부 검증(GRI 305/306, K-ESG, ISO 20121) 기준에 선제적으로 부합시키는 최고 수준의 탄소·자원순환 ESG 통합 모니터링 플랫폼으로 자리매김하였습니다.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