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E1F1A" w14:textId="77777777" w:rsidR="00A954D9" w:rsidRDefault="00BB7B8A">
      <w:pPr>
        <w:rPr>
          <w:noProof/>
          <w:lang w:val="en-US"/>
        </w:rPr>
      </w:pPr>
      <w:r>
        <w:rPr>
          <w:noProof/>
          <w:lang w:val="en-US"/>
        </w:rPr>
        <w:t>Magmatic cassiterite:</w:t>
      </w:r>
    </w:p>
    <w:p w14:paraId="55ABDC38" w14:textId="58A5382F" w:rsidR="00BB7B8A" w:rsidRDefault="00BB7B8A">
      <w:pPr>
        <w:rPr>
          <w:lang w:val="en-US"/>
        </w:rPr>
      </w:pPr>
      <w:r>
        <w:rPr>
          <w:lang w:val="en-US"/>
        </w:rPr>
        <w:t xml:space="preserve">For cassiterite crystals from magmatic mineralized systems, the effect of </w:t>
      </w:r>
      <w:r w:rsidRPr="0036734C">
        <w:rPr>
          <w:i/>
          <w:lang w:val="en-US"/>
        </w:rPr>
        <w:t>f</w:t>
      </w:r>
      <w:r w:rsidRPr="0036734C">
        <w:rPr>
          <w:vertAlign w:val="subscript"/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on the speciation of </w:t>
      </w:r>
      <w:r w:rsidR="00D258A9">
        <w:rPr>
          <w:lang w:val="en-US"/>
        </w:rPr>
        <w:t xml:space="preserve">various </w:t>
      </w:r>
      <w:r>
        <w:rPr>
          <w:lang w:val="en-US"/>
        </w:rPr>
        <w:t xml:space="preserve">elements of interest can be estimated using a simple oxide model. The basis for this model </w:t>
      </w:r>
      <w:r w:rsidR="00D258A9">
        <w:rPr>
          <w:lang w:val="en-US"/>
        </w:rPr>
        <w:t>are</w:t>
      </w:r>
      <w:r>
        <w:rPr>
          <w:lang w:val="en-US"/>
        </w:rPr>
        <w:t xml:space="preserve"> the standard </w:t>
      </w:r>
      <w:r w:rsidRPr="0036734C">
        <w:rPr>
          <w:i/>
          <w:lang w:val="en-US"/>
        </w:rPr>
        <w:t>f</w:t>
      </w:r>
      <w:r w:rsidR="0036734C" w:rsidRPr="0036734C">
        <w:rPr>
          <w:i/>
          <w:vertAlign w:val="subscript"/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buffer curves </w:t>
      </w:r>
      <w:r w:rsidR="00D258A9">
        <w:rPr>
          <w:lang w:val="en-US"/>
        </w:rPr>
        <w:t xml:space="preserve">frequently referred to in geological systems </w:t>
      </w:r>
      <w:r>
        <w:rPr>
          <w:lang w:val="en-US"/>
        </w:rPr>
        <w:t>(</w:t>
      </w:r>
      <w:r w:rsidR="00D258A9">
        <w:rPr>
          <w:lang w:val="en-US"/>
        </w:rPr>
        <w:t>magnetite-hematite (MH) through to quartz-iron-</w:t>
      </w:r>
      <w:proofErr w:type="spellStart"/>
      <w:r w:rsidR="00D258A9">
        <w:rPr>
          <w:lang w:val="en-US"/>
        </w:rPr>
        <w:t>fayalite</w:t>
      </w:r>
      <w:proofErr w:type="spellEnd"/>
      <w:r w:rsidR="00D258A9">
        <w:rPr>
          <w:lang w:val="en-US"/>
        </w:rPr>
        <w:t xml:space="preserve"> (QIF), labelled along the left of Figure X</w:t>
      </w:r>
      <w:r>
        <w:rPr>
          <w:lang w:val="en-US"/>
        </w:rPr>
        <w:t xml:space="preserve">). </w:t>
      </w:r>
      <w:r w:rsidR="00865FE6">
        <w:rPr>
          <w:lang w:val="en-US"/>
        </w:rPr>
        <w:t>For instance, the nickel-nickel oxide</w:t>
      </w:r>
      <w:r w:rsidR="0036734C">
        <w:rPr>
          <w:lang w:val="en-US"/>
        </w:rPr>
        <w:t xml:space="preserve"> (NNO)</w:t>
      </w:r>
      <w:r w:rsidR="00865FE6">
        <w:rPr>
          <w:lang w:val="en-US"/>
        </w:rPr>
        <w:t xml:space="preserve"> buffer curve is defined by the</w:t>
      </w:r>
      <w:r w:rsidR="0036734C">
        <w:rPr>
          <w:lang w:val="en-US"/>
        </w:rPr>
        <w:t xml:space="preserve"> reaction</w:t>
      </w:r>
      <w:r>
        <w:rPr>
          <w:lang w:val="en-US"/>
        </w:rPr>
        <w:t xml:space="preserve">: </w:t>
      </w:r>
    </w:p>
    <w:p w14:paraId="3D2C3DE4" w14:textId="77777777" w:rsidR="00BB7B8A" w:rsidRPr="00865FE6" w:rsidRDefault="00865FE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2Ni+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↔2NiO;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[NiO]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[Ni]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[O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den>
          </m:f>
        </m:oMath>
      </m:oMathPara>
    </w:p>
    <w:p w14:paraId="654F33BC" w14:textId="588E3AF8" w:rsidR="0036734C" w:rsidRDefault="0036734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proofErr w:type="spellStart"/>
      <w:r>
        <w:rPr>
          <w:rFonts w:eastAsiaTheme="minorEastAsia"/>
          <w:lang w:val="en-US"/>
        </w:rPr>
        <w:t>K</w:t>
      </w:r>
      <w:r w:rsidR="006132C6">
        <w:rPr>
          <w:rFonts w:eastAsiaTheme="minorEastAsia"/>
          <w:vertAlign w:val="subscript"/>
          <w:lang w:val="en-US"/>
        </w:rPr>
        <w:t>eq</w:t>
      </w:r>
      <w:proofErr w:type="spellEnd"/>
      <w:r>
        <w:rPr>
          <w:rFonts w:eastAsiaTheme="minorEastAsia"/>
          <w:lang w:val="en-US"/>
        </w:rPr>
        <w:t xml:space="preserve"> is the equilibrium constant, and the square brackets denote activity. </w:t>
      </w:r>
      <w:r w:rsidR="004A3047">
        <w:rPr>
          <w:rFonts w:eastAsiaTheme="minorEastAsia"/>
          <w:lang w:val="en-US"/>
        </w:rPr>
        <w:t xml:space="preserve">The </w:t>
      </w:r>
      <w:r>
        <w:rPr>
          <w:rFonts w:eastAsiaTheme="minorEastAsia"/>
          <w:i/>
          <w:lang w:val="en-US"/>
        </w:rPr>
        <w:t>f</w:t>
      </w:r>
      <w:r>
        <w:rPr>
          <w:rFonts w:eastAsiaTheme="minorEastAsia"/>
          <w:vertAlign w:val="subscript"/>
          <w:lang w:val="en-US"/>
        </w:rPr>
        <w:t>O2</w:t>
      </w:r>
      <w:r>
        <w:rPr>
          <w:rFonts w:eastAsiaTheme="minorEastAsia"/>
          <w:vertAlign w:val="subscript"/>
          <w:lang w:val="en-US"/>
        </w:rPr>
        <w:softHyphen/>
      </w:r>
      <w:r>
        <w:rPr>
          <w:rFonts w:eastAsiaTheme="minorEastAsia"/>
          <w:lang w:val="en-US"/>
        </w:rPr>
        <w:t xml:space="preserve"> is then calculated via the Gibbs free energy equation</w:t>
      </w:r>
      <w:r w:rsidR="004A3047">
        <w:rPr>
          <w:rFonts w:eastAsiaTheme="minorEastAsia"/>
          <w:lang w:val="en-US"/>
        </w:rPr>
        <w:t xml:space="preserve"> assuming </w:t>
      </w:r>
      <w:r w:rsidR="00D258A9">
        <w:rPr>
          <w:rFonts w:eastAsiaTheme="minorEastAsia"/>
          <w:lang w:val="en-US"/>
        </w:rPr>
        <w:t>the system is in equilibrium</w:t>
      </w:r>
      <w:r w:rsidR="004A3047">
        <w:rPr>
          <w:rFonts w:eastAsiaTheme="minorEastAsia"/>
          <w:lang w:val="en-US"/>
        </w:rPr>
        <w:t xml:space="preserve"> </w:t>
      </w:r>
      <w:r w:rsidR="0018216A">
        <w:rPr>
          <w:rFonts w:eastAsiaTheme="minorEastAsia"/>
          <w:lang w:val="en-US"/>
        </w:rPr>
        <w:t>(</w:t>
      </w:r>
      <w:r w:rsidR="0018216A">
        <w:rPr>
          <w:rFonts w:eastAsiaTheme="minorEastAsia" w:cstheme="minorHAnsi"/>
          <w:lang w:val="en-US"/>
        </w:rPr>
        <w:t>∆</w:t>
      </w:r>
      <w:r w:rsidR="0018216A">
        <w:rPr>
          <w:rFonts w:eastAsiaTheme="minorEastAsia"/>
          <w:lang w:val="en-US"/>
        </w:rPr>
        <w:t xml:space="preserve">G=0) </w:t>
      </w:r>
      <w:r w:rsidR="004A3047">
        <w:rPr>
          <w:rFonts w:eastAsiaTheme="minorEastAsia"/>
          <w:lang w:val="en-US"/>
        </w:rPr>
        <w:t xml:space="preserve">and </w:t>
      </w:r>
      <w:r w:rsidR="0018216A">
        <w:rPr>
          <w:rFonts w:eastAsiaTheme="minorEastAsia"/>
          <w:lang w:val="en-US"/>
        </w:rPr>
        <w:t xml:space="preserve">that </w:t>
      </w:r>
      <w:r w:rsidR="004A3047">
        <w:rPr>
          <w:rFonts w:eastAsiaTheme="minorEastAsia"/>
          <w:lang w:val="en-US"/>
        </w:rPr>
        <w:t xml:space="preserve">the activities of Ni and </w:t>
      </w:r>
      <w:proofErr w:type="spellStart"/>
      <w:r w:rsidR="004A3047">
        <w:rPr>
          <w:rFonts w:eastAsiaTheme="minorEastAsia"/>
          <w:lang w:val="en-US"/>
        </w:rPr>
        <w:t>NiO</w:t>
      </w:r>
      <w:proofErr w:type="spellEnd"/>
      <w:r w:rsidR="004A3047">
        <w:rPr>
          <w:rFonts w:eastAsiaTheme="minorEastAsia"/>
          <w:lang w:val="en-US"/>
        </w:rPr>
        <w:t xml:space="preserve"> are at unity</w:t>
      </w:r>
      <w:r w:rsidR="0018216A">
        <w:rPr>
          <w:rFonts w:eastAsiaTheme="minorEastAsia"/>
          <w:lang w:val="en-US"/>
        </w:rPr>
        <w:t xml:space="preserve"> ([</w:t>
      </w:r>
      <w:proofErr w:type="spellStart"/>
      <w:r w:rsidR="0018216A">
        <w:rPr>
          <w:rFonts w:eastAsiaTheme="minorEastAsia"/>
          <w:lang w:val="en-US"/>
        </w:rPr>
        <w:t>NiO</w:t>
      </w:r>
      <w:proofErr w:type="spellEnd"/>
      <w:r w:rsidR="0018216A">
        <w:rPr>
          <w:rFonts w:eastAsiaTheme="minorEastAsia"/>
          <w:lang w:val="en-US"/>
        </w:rPr>
        <w:t>]</w:t>
      </w:r>
      <w:proofErr w:type="gramStart"/>
      <w:r w:rsidR="0018216A">
        <w:rPr>
          <w:rFonts w:eastAsiaTheme="minorEastAsia"/>
          <w:lang w:val="en-US"/>
        </w:rPr>
        <w:t>/[</w:t>
      </w:r>
      <w:proofErr w:type="gramEnd"/>
      <w:r w:rsidR="0018216A">
        <w:rPr>
          <w:rFonts w:eastAsiaTheme="minorEastAsia"/>
          <w:lang w:val="en-US"/>
        </w:rPr>
        <w:t>Ni] = 1)</w:t>
      </w:r>
      <w:r>
        <w:rPr>
          <w:rFonts w:eastAsiaTheme="minorEastAsia"/>
          <w:lang w:val="en-US"/>
        </w:rPr>
        <w:t>:</w:t>
      </w:r>
    </w:p>
    <w:p w14:paraId="35CB45C4" w14:textId="756FCD91" w:rsidR="007F6131" w:rsidRPr="00C817E1" w:rsidRDefault="0018216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∆G= ∆G°+RT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∴∆G°=-RT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[NiO]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[Ni]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]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∴∆G°=RT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[O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-RT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[NiO]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[Ni]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∴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∆G°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(10)</m:t>
                  </m:r>
                </m:e>
              </m:func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D258A9">
        <w:rPr>
          <w:lang w:val="en-US"/>
        </w:rPr>
        <w:t xml:space="preserve">Where </w:t>
      </w:r>
      <w:r w:rsidR="00D258A9">
        <w:rPr>
          <w:rFonts w:eastAsiaTheme="minorEastAsia" w:cstheme="minorHAnsi"/>
          <w:lang w:val="en-US"/>
        </w:rPr>
        <w:t>∆</w:t>
      </w:r>
      <w:r w:rsidR="00D258A9">
        <w:rPr>
          <w:rFonts w:eastAsiaTheme="minorEastAsia"/>
          <w:lang w:val="en-US"/>
        </w:rPr>
        <w:t>G</w:t>
      </w:r>
      <w:r w:rsidR="00D258A9">
        <w:rPr>
          <w:rFonts w:eastAsiaTheme="minorEastAsia"/>
          <w:vertAlign w:val="superscript"/>
          <w:lang w:val="en-US"/>
        </w:rPr>
        <w:t>o</w:t>
      </w:r>
      <w:r w:rsidR="00D258A9">
        <w:rPr>
          <w:rFonts w:eastAsiaTheme="minorEastAsia"/>
          <w:lang w:val="en-US"/>
        </w:rPr>
        <w:t xml:space="preserve"> is the Gibbs free energy of formation, R is the universal gas constant, and T is temperature. </w:t>
      </w:r>
      <w:r w:rsidR="00C817E1">
        <w:rPr>
          <w:rFonts w:eastAsiaTheme="minorEastAsia"/>
          <w:lang w:val="en-US"/>
        </w:rPr>
        <w:t>In this manner, non-standard buffer curves for W</w:t>
      </w:r>
      <w:r w:rsidR="00C817E1">
        <w:rPr>
          <w:rFonts w:eastAsiaTheme="minorEastAsia"/>
          <w:vertAlign w:val="superscript"/>
          <w:lang w:val="en-US"/>
        </w:rPr>
        <w:t>4+</w:t>
      </w:r>
      <w:r w:rsidR="00C817E1">
        <w:rPr>
          <w:rFonts w:eastAsiaTheme="minorEastAsia"/>
          <w:lang w:val="en-US"/>
        </w:rPr>
        <w:t>/W</w:t>
      </w:r>
      <w:r w:rsidR="00C817E1">
        <w:rPr>
          <w:rFonts w:eastAsiaTheme="minorEastAsia"/>
          <w:vertAlign w:val="superscript"/>
          <w:lang w:val="en-US"/>
        </w:rPr>
        <w:t>6+</w:t>
      </w:r>
      <w:r w:rsidR="00C817E1">
        <w:rPr>
          <w:rFonts w:eastAsiaTheme="minorEastAsia"/>
          <w:lang w:val="en-US"/>
        </w:rPr>
        <w:t xml:space="preserve"> (WO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>:WO</w:t>
      </w:r>
      <w:r w:rsidR="00C817E1">
        <w:rPr>
          <w:rFonts w:eastAsiaTheme="minorEastAsia"/>
          <w:vertAlign w:val="subscript"/>
          <w:lang w:val="en-US"/>
        </w:rPr>
        <w:t>3</w:t>
      </w:r>
      <w:r w:rsidR="00C817E1">
        <w:rPr>
          <w:rFonts w:eastAsiaTheme="minorEastAsia"/>
          <w:lang w:val="en-US"/>
        </w:rPr>
        <w:t>), Sn</w:t>
      </w:r>
      <w:r w:rsidR="00C817E1">
        <w:rPr>
          <w:rFonts w:eastAsiaTheme="minorEastAsia"/>
          <w:vertAlign w:val="superscript"/>
          <w:lang w:val="en-US"/>
        </w:rPr>
        <w:t>0</w:t>
      </w:r>
      <w:r w:rsidR="00C817E1">
        <w:rPr>
          <w:rFonts w:eastAsiaTheme="minorEastAsia"/>
          <w:lang w:val="en-US"/>
        </w:rPr>
        <w:t>/Sn</w:t>
      </w:r>
      <w:r w:rsidR="00C817E1">
        <w:rPr>
          <w:rFonts w:eastAsiaTheme="minorEastAsia"/>
          <w:vertAlign w:val="superscript"/>
          <w:lang w:val="en-US"/>
        </w:rPr>
        <w:t>4+</w:t>
      </w:r>
      <w:r w:rsidR="00C817E1">
        <w:rPr>
          <w:rFonts w:eastAsiaTheme="minorEastAsia"/>
          <w:lang w:val="en-US"/>
        </w:rPr>
        <w:t xml:space="preserve"> (Sn</w:t>
      </w:r>
      <w:proofErr w:type="gramStart"/>
      <w:r w:rsidR="00C817E1">
        <w:rPr>
          <w:rFonts w:eastAsiaTheme="minorEastAsia"/>
          <w:lang w:val="en-US"/>
        </w:rPr>
        <w:t>:SnO</w:t>
      </w:r>
      <w:r w:rsidR="00C817E1">
        <w:rPr>
          <w:rFonts w:eastAsiaTheme="minorEastAsia"/>
          <w:vertAlign w:val="subscript"/>
          <w:lang w:val="en-US"/>
        </w:rPr>
        <w:t>2</w:t>
      </w:r>
      <w:proofErr w:type="gramEnd"/>
      <w:r w:rsidR="00C817E1">
        <w:rPr>
          <w:rFonts w:eastAsiaTheme="minorEastAsia"/>
          <w:lang w:val="en-US"/>
        </w:rPr>
        <w:t>), Nb</w:t>
      </w:r>
      <w:r w:rsidR="00C817E1">
        <w:rPr>
          <w:rFonts w:eastAsiaTheme="minorEastAsia"/>
          <w:vertAlign w:val="superscript"/>
          <w:lang w:val="en-US"/>
        </w:rPr>
        <w:t>4+</w:t>
      </w:r>
      <w:r w:rsidR="00C817E1">
        <w:rPr>
          <w:rFonts w:eastAsiaTheme="minorEastAsia"/>
          <w:lang w:val="en-US"/>
        </w:rPr>
        <w:t>/Nb</w:t>
      </w:r>
      <w:r w:rsidR="00C817E1">
        <w:rPr>
          <w:rFonts w:eastAsiaTheme="minorEastAsia"/>
          <w:vertAlign w:val="superscript"/>
          <w:lang w:val="en-US"/>
        </w:rPr>
        <w:t>5+</w:t>
      </w:r>
      <w:r w:rsidR="00C817E1">
        <w:rPr>
          <w:rFonts w:eastAsiaTheme="minorEastAsia"/>
          <w:lang w:val="en-US"/>
        </w:rPr>
        <w:t xml:space="preserve"> (NbO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>:Nb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>O</w:t>
      </w:r>
      <w:r w:rsidR="00C817E1">
        <w:rPr>
          <w:rFonts w:eastAsiaTheme="minorEastAsia"/>
          <w:vertAlign w:val="subscript"/>
          <w:lang w:val="en-US"/>
        </w:rPr>
        <w:t>5</w:t>
      </w:r>
      <w:r w:rsidR="00C817E1">
        <w:rPr>
          <w:rFonts w:eastAsiaTheme="minorEastAsia"/>
          <w:lang w:val="en-US"/>
        </w:rPr>
        <w:t>) and Ta</w:t>
      </w:r>
      <w:r w:rsidR="00C817E1">
        <w:rPr>
          <w:rFonts w:eastAsiaTheme="minorEastAsia"/>
          <w:vertAlign w:val="superscript"/>
          <w:lang w:val="en-US"/>
        </w:rPr>
        <w:t>0</w:t>
      </w:r>
      <w:r w:rsidR="00C817E1">
        <w:rPr>
          <w:rFonts w:eastAsiaTheme="minorEastAsia"/>
          <w:lang w:val="en-US"/>
        </w:rPr>
        <w:t>/Ta</w:t>
      </w:r>
      <w:r w:rsidR="00C817E1">
        <w:rPr>
          <w:rFonts w:eastAsiaTheme="minorEastAsia"/>
          <w:vertAlign w:val="superscript"/>
          <w:lang w:val="en-US"/>
        </w:rPr>
        <w:t>5+</w:t>
      </w:r>
      <w:r w:rsidR="00C817E1">
        <w:rPr>
          <w:rFonts w:eastAsiaTheme="minorEastAsia"/>
          <w:lang w:val="en-US"/>
        </w:rPr>
        <w:t xml:space="preserve"> (Ta:Ta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>O</w:t>
      </w:r>
      <w:r w:rsidR="00C817E1">
        <w:rPr>
          <w:rFonts w:eastAsiaTheme="minorEastAsia"/>
          <w:vertAlign w:val="subscript"/>
          <w:lang w:val="en-US"/>
        </w:rPr>
        <w:t>5</w:t>
      </w:r>
      <w:r w:rsidR="00C817E1">
        <w:rPr>
          <w:rFonts w:eastAsiaTheme="minorEastAsia"/>
          <w:lang w:val="en-US"/>
        </w:rPr>
        <w:t>) may also be calculated and compared with the standard suite (labelled along the right of Figure X). Also included in the model are the CH</w:t>
      </w:r>
      <w:r w:rsidR="00C817E1">
        <w:rPr>
          <w:rFonts w:eastAsiaTheme="minorEastAsia"/>
          <w:vertAlign w:val="subscript"/>
          <w:lang w:val="en-US"/>
        </w:rPr>
        <w:t>4</w:t>
      </w:r>
      <w:r w:rsidR="00C817E1">
        <w:rPr>
          <w:rFonts w:eastAsiaTheme="minorEastAsia"/>
          <w:lang w:val="en-US"/>
        </w:rPr>
        <w:t>:CO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 xml:space="preserve"> and H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>:H</w:t>
      </w:r>
      <w:r w:rsidR="00C817E1">
        <w:rPr>
          <w:rFonts w:eastAsiaTheme="minorEastAsia"/>
          <w:vertAlign w:val="subscript"/>
          <w:lang w:val="en-US"/>
        </w:rPr>
        <w:t>2</w:t>
      </w:r>
      <w:r w:rsidR="00C817E1">
        <w:rPr>
          <w:rFonts w:eastAsiaTheme="minorEastAsia"/>
          <w:lang w:val="en-US"/>
        </w:rPr>
        <w:t xml:space="preserve">O oxidation reactions. </w:t>
      </w:r>
    </w:p>
    <w:p w14:paraId="55113A74" w14:textId="5240428C" w:rsidR="000036CA" w:rsidRDefault="00DE56E4">
      <w:pPr>
        <w:rPr>
          <w:lang w:val="en-US"/>
        </w:rPr>
      </w:pPr>
      <w:r>
        <w:rPr>
          <w:lang w:val="en-US"/>
        </w:rPr>
        <w:t>I</w:t>
      </w:r>
      <w:r w:rsidR="0036734C">
        <w:rPr>
          <w:lang w:val="en-US"/>
        </w:rPr>
        <w:t xml:space="preserve">t is important to note that these </w:t>
      </w:r>
      <w:r w:rsidR="007F6131">
        <w:rPr>
          <w:rFonts w:eastAsiaTheme="minorEastAsia"/>
          <w:i/>
          <w:lang w:val="en-US"/>
        </w:rPr>
        <w:t>f</w:t>
      </w:r>
      <w:r w:rsidR="007F6131">
        <w:rPr>
          <w:rFonts w:eastAsiaTheme="minorEastAsia"/>
          <w:vertAlign w:val="subscript"/>
          <w:lang w:val="en-US"/>
        </w:rPr>
        <w:t>O2</w:t>
      </w:r>
      <w:r w:rsidR="0036734C">
        <w:rPr>
          <w:lang w:val="en-US"/>
        </w:rPr>
        <w:t xml:space="preserve">-T </w:t>
      </w:r>
      <w:r w:rsidR="0036734C" w:rsidRPr="00BB7B8A">
        <w:rPr>
          <w:lang w:val="en-US"/>
        </w:rPr>
        <w:t>curves</w:t>
      </w:r>
      <w:r w:rsidR="0036734C">
        <w:rPr>
          <w:lang w:val="en-US"/>
        </w:rPr>
        <w:t xml:space="preserve"> represent the midpoints of speciation reaction c</w:t>
      </w:r>
      <w:r w:rsidR="00D258A9">
        <w:rPr>
          <w:lang w:val="en-US"/>
        </w:rPr>
        <w:t>urves</w:t>
      </w:r>
      <w:r w:rsidR="007F6131">
        <w:rPr>
          <w:lang w:val="en-US"/>
        </w:rPr>
        <w:t>. If, for a given temperature, the relative activity ratios of each</w:t>
      </w:r>
      <w:r w:rsidR="00D258A9">
        <w:rPr>
          <w:lang w:val="en-US"/>
        </w:rPr>
        <w:t xml:space="preserve"> metal-metal oxide pair </w:t>
      </w:r>
      <w:r w:rsidR="007F6131">
        <w:rPr>
          <w:lang w:val="en-US"/>
        </w:rPr>
        <w:t xml:space="preserve">are plotted against </w:t>
      </w:r>
      <w:r w:rsidR="007F6131">
        <w:rPr>
          <w:rFonts w:eastAsiaTheme="minorEastAsia"/>
          <w:i/>
          <w:lang w:val="en-US"/>
        </w:rPr>
        <w:t>f</w:t>
      </w:r>
      <w:r w:rsidR="007F6131">
        <w:rPr>
          <w:rFonts w:eastAsiaTheme="minorEastAsia"/>
          <w:vertAlign w:val="subscript"/>
          <w:lang w:val="en-US"/>
        </w:rPr>
        <w:t>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3448"/>
        <w:gridCol w:w="2784"/>
      </w:tblGrid>
      <w:tr w:rsidR="007D1BA4" w14:paraId="1D75922A" w14:textId="77777777" w:rsidTr="00C23978">
        <w:tc>
          <w:tcPr>
            <w:tcW w:w="2784" w:type="dxa"/>
          </w:tcPr>
          <w:p w14:paraId="3956316A" w14:textId="13928F90" w:rsidR="007D1BA4" w:rsidRDefault="007D1BA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48" w:type="dxa"/>
          </w:tcPr>
          <w:p w14:paraId="21564A62" w14:textId="4FABAA9B" w:rsidR="007D1BA4" w:rsidRDefault="007D1BA4">
            <w:pPr>
              <w:rPr>
                <w:lang w:val="en-US"/>
              </w:rPr>
            </w:pPr>
            <w:r>
              <w:rPr>
                <w:lang w:val="en-US"/>
              </w:rPr>
              <w:t>Reaction</w:t>
            </w:r>
          </w:p>
        </w:tc>
        <w:tc>
          <w:tcPr>
            <w:tcW w:w="2784" w:type="dxa"/>
          </w:tcPr>
          <w:p w14:paraId="06704E39" w14:textId="740E2EDA" w:rsidR="007D1BA4" w:rsidRPr="007D1BA4" w:rsidRDefault="007D1BA4">
            <w:pPr>
              <w:rPr>
                <w:i/>
                <w:vertAlign w:val="subscript"/>
                <w:lang w:val="en-US"/>
              </w:rPr>
            </w:pPr>
            <w:proofErr w:type="spellStart"/>
            <w:r w:rsidRPr="007D1BA4">
              <w:rPr>
                <w:i/>
                <w:lang w:val="en-US"/>
              </w:rPr>
              <w:t>K</w:t>
            </w:r>
            <w:r w:rsidRPr="007D1BA4">
              <w:rPr>
                <w:i/>
                <w:vertAlign w:val="subscript"/>
                <w:lang w:val="en-US"/>
              </w:rPr>
              <w:t>eq</w:t>
            </w:r>
            <w:proofErr w:type="spellEnd"/>
          </w:p>
        </w:tc>
      </w:tr>
      <w:tr w:rsidR="007D1BA4" w14:paraId="42EE630B" w14:textId="77777777" w:rsidTr="00C23978">
        <w:tc>
          <w:tcPr>
            <w:tcW w:w="2784" w:type="dxa"/>
          </w:tcPr>
          <w:p w14:paraId="6A861875" w14:textId="315BA5E9" w:rsidR="007D1BA4" w:rsidRDefault="007D1BA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MH (magnetite-hematite)</w:t>
            </w:r>
          </w:p>
        </w:tc>
        <w:tc>
          <w:tcPr>
            <w:tcW w:w="3448" w:type="dxa"/>
          </w:tcPr>
          <w:p w14:paraId="4275043D" w14:textId="3C7F5046" w:rsidR="007D1BA4" w:rsidRDefault="007D1BA4" w:rsidP="007D1BA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1E306DBB" w14:textId="582DC9EC" w:rsidR="007D1BA4" w:rsidRDefault="007D1BA4" w:rsidP="00100A2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09EF6CAB" w14:textId="77777777" w:rsidTr="00C23978">
        <w:tc>
          <w:tcPr>
            <w:tcW w:w="2784" w:type="dxa"/>
          </w:tcPr>
          <w:p w14:paraId="03292E37" w14:textId="2FC2ADBE" w:rsidR="007D1BA4" w:rsidRDefault="007D1BA4" w:rsidP="007D1BA4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NNO (nickel-nickel oxide)</w:t>
            </w:r>
          </w:p>
        </w:tc>
        <w:tc>
          <w:tcPr>
            <w:tcW w:w="3448" w:type="dxa"/>
          </w:tcPr>
          <w:p w14:paraId="4E5A7B1B" w14:textId="02685A02" w:rsidR="007D1BA4" w:rsidRDefault="007D1BA4" w:rsidP="007D1BA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00319A0C" w14:textId="7851C1C9" w:rsidR="007D1BA4" w:rsidRDefault="007D1BA4" w:rsidP="007D1BA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12C191F3" w14:textId="77777777" w:rsidTr="00C23978">
        <w:tc>
          <w:tcPr>
            <w:tcW w:w="2784" w:type="dxa"/>
          </w:tcPr>
          <w:p w14:paraId="3EC8A7D6" w14:textId="1217EEBA" w:rsidR="007D1BA4" w:rsidRDefault="007D1BA4" w:rsidP="007D1BA4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FM</w:t>
            </w:r>
            <w:r w:rsidR="00C23978">
              <w:rPr>
                <w:rFonts w:ascii="Calibri" w:eastAsia="Calibri" w:hAnsi="Calibri" w:cs="Times New Roman"/>
                <w:lang w:val="en-US"/>
              </w:rPr>
              <w:t>Q (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fayalite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-magnetite</w:t>
            </w:r>
            <w:r w:rsidR="00C23978">
              <w:rPr>
                <w:rFonts w:ascii="Calibri" w:eastAsia="Calibri" w:hAnsi="Calibri" w:cs="Times New Roman"/>
                <w:lang w:val="en-US"/>
              </w:rPr>
              <w:t>-quartz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3448" w:type="dxa"/>
          </w:tcPr>
          <w:p w14:paraId="41289957" w14:textId="258B5F71" w:rsidR="007D1BA4" w:rsidRDefault="00C23978" w:rsidP="007D1BA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SiO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4" w:type="dxa"/>
          </w:tcPr>
          <w:p w14:paraId="4D8F6FD1" w14:textId="7B07AE3A" w:rsidR="007D1BA4" w:rsidRDefault="007D1BA4" w:rsidP="007D1BA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56DA0956" w14:textId="77777777" w:rsidTr="00C23978">
        <w:tc>
          <w:tcPr>
            <w:tcW w:w="2784" w:type="dxa"/>
          </w:tcPr>
          <w:p w14:paraId="2F576AD8" w14:textId="298113DD" w:rsidR="007D1BA4" w:rsidRDefault="007D1BA4" w:rsidP="007D1BA4">
            <w:pPr>
              <w:rPr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WM (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wustite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-magnetite)</w:t>
            </w:r>
          </w:p>
        </w:tc>
        <w:tc>
          <w:tcPr>
            <w:tcW w:w="3448" w:type="dxa"/>
          </w:tcPr>
          <w:p w14:paraId="2708D5C5" w14:textId="2B7BDDA6" w:rsidR="007D1BA4" w:rsidRDefault="007D1BA4" w:rsidP="007D1BA4">
            <w:pPr>
              <w:rPr>
                <w:lang w:val="en-US"/>
              </w:rPr>
            </w:pPr>
            <w:bookmarkStart w:id="0" w:name="_GoBack"/>
            <w:bookmarkEnd w:id="0"/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18FDACC7" w14:textId="49F3058B" w:rsidR="007D1BA4" w:rsidRDefault="007D1BA4" w:rsidP="007D1BA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4A4D77FB" w14:textId="77777777" w:rsidTr="00C23978">
        <w:tc>
          <w:tcPr>
            <w:tcW w:w="2784" w:type="dxa"/>
          </w:tcPr>
          <w:p w14:paraId="0938AEB7" w14:textId="787BB128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IW (iron-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wustite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3448" w:type="dxa"/>
          </w:tcPr>
          <w:p w14:paraId="5E936743" w14:textId="658AE37E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Fe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</m:t>
                </m:r>
                <m:r>
                  <w:rPr>
                    <w:rFonts w:ascii="Cambria Math" w:hAnsi="Cambria Math"/>
                    <w:lang w:val="en-US"/>
                  </w:rPr>
                  <m:t>Fe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oMath>
            </m:oMathPara>
          </w:p>
        </w:tc>
        <w:tc>
          <w:tcPr>
            <w:tcW w:w="2784" w:type="dxa"/>
          </w:tcPr>
          <w:p w14:paraId="57ED6BCD" w14:textId="34796D1C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Fe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Fe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1DC2D407" w14:textId="77777777" w:rsidTr="00C23978">
        <w:tc>
          <w:tcPr>
            <w:tcW w:w="2784" w:type="dxa"/>
          </w:tcPr>
          <w:p w14:paraId="17A7A927" w14:textId="67609827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QIF (quartz-iron-</w:t>
            </w:r>
            <w:proofErr w:type="spellStart"/>
            <w:r>
              <w:rPr>
                <w:rFonts w:ascii="Calibri" w:eastAsia="Calibri" w:hAnsi="Calibri" w:cs="Times New Roman"/>
                <w:lang w:val="en-US"/>
              </w:rPr>
              <w:t>fayalite</w:t>
            </w:r>
            <w:proofErr w:type="spellEnd"/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3448" w:type="dxa"/>
          </w:tcPr>
          <w:p w14:paraId="161100AE" w14:textId="1BC26D15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2553DFF1" w14:textId="0CDF7ABA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  <w:tr w:rsidR="007D1BA4" w14:paraId="5192608F" w14:textId="77777777" w:rsidTr="00C23978">
        <w:tc>
          <w:tcPr>
            <w:tcW w:w="2784" w:type="dxa"/>
          </w:tcPr>
          <w:p w14:paraId="5CCA132D" w14:textId="2420C612" w:rsidR="007D1BA4" w:rsidRP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WO</w:t>
            </w:r>
            <w:r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>
              <w:rPr>
                <w:rFonts w:ascii="Calibri" w:eastAsia="Calibri" w:hAnsi="Calibri" w:cs="Times New Roman"/>
                <w:lang w:val="en-US"/>
              </w:rPr>
              <w:t>:WO</w:t>
            </w:r>
            <w:r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</w:p>
        </w:tc>
        <w:tc>
          <w:tcPr>
            <w:tcW w:w="3448" w:type="dxa"/>
          </w:tcPr>
          <w:p w14:paraId="4F4E7A64" w14:textId="7D81DE7E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2Ni+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↔2NiO</m:t>
                </m:r>
              </m:oMath>
            </m:oMathPara>
          </w:p>
        </w:tc>
        <w:tc>
          <w:tcPr>
            <w:tcW w:w="2784" w:type="dxa"/>
          </w:tcPr>
          <w:p w14:paraId="10BA2E64" w14:textId="7A417BD6" w:rsidR="007D1BA4" w:rsidRDefault="007D1BA4" w:rsidP="007D1BA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[NiO]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[Ni]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[O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den>
                </m:f>
              </m:oMath>
            </m:oMathPara>
          </w:p>
        </w:tc>
      </w:tr>
    </w:tbl>
    <w:p w14:paraId="57160E40" w14:textId="77777777" w:rsidR="000036CA" w:rsidRDefault="000036CA">
      <w:pPr>
        <w:rPr>
          <w:lang w:val="en-US"/>
        </w:rPr>
      </w:pPr>
      <w:r>
        <w:rPr>
          <w:lang w:val="en-US"/>
        </w:rPr>
        <w:br w:type="page"/>
      </w:r>
    </w:p>
    <w:p w14:paraId="79A664B3" w14:textId="643D5E7A" w:rsidR="00865FE6" w:rsidRPr="00865FE6" w:rsidRDefault="00B54324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lastRenderedPageBreak/>
        <w:drawing>
          <wp:inline distT="0" distB="0" distL="0" distR="0" wp14:anchorId="12C19599" wp14:editId="2B43A859">
            <wp:extent cx="4037944" cy="8568965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32" cy="86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F29">
        <w:rPr>
          <w:rFonts w:eastAsiaTheme="minorEastAsia"/>
          <w:noProof/>
          <w:lang w:eastAsia="en-AU"/>
        </w:rPr>
        <w:lastRenderedPageBreak/>
        <w:drawing>
          <wp:inline distT="0" distB="0" distL="0" distR="0" wp14:anchorId="215E4D55" wp14:editId="016DE04D">
            <wp:extent cx="5684363" cy="357740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99" cy="36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FE6" w:rsidRPr="0086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45"/>
    <w:rsid w:val="000036CA"/>
    <w:rsid w:val="00100A21"/>
    <w:rsid w:val="0018216A"/>
    <w:rsid w:val="0036154B"/>
    <w:rsid w:val="0036734C"/>
    <w:rsid w:val="004A3047"/>
    <w:rsid w:val="004C2045"/>
    <w:rsid w:val="006132C6"/>
    <w:rsid w:val="007D1BA4"/>
    <w:rsid w:val="007F6131"/>
    <w:rsid w:val="00814F29"/>
    <w:rsid w:val="00852770"/>
    <w:rsid w:val="00865FE6"/>
    <w:rsid w:val="00A954D9"/>
    <w:rsid w:val="00AE5600"/>
    <w:rsid w:val="00B54324"/>
    <w:rsid w:val="00BB7B8A"/>
    <w:rsid w:val="00C23978"/>
    <w:rsid w:val="00C817E1"/>
    <w:rsid w:val="00D258A9"/>
    <w:rsid w:val="00D9663C"/>
    <w:rsid w:val="00DE56E4"/>
    <w:rsid w:val="00E3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1643"/>
  <w15:chartTrackingRefBased/>
  <w15:docId w15:val="{45D2AB4E-D813-437C-B407-B4835B5E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B8A"/>
    <w:rPr>
      <w:color w:val="808080"/>
    </w:rPr>
  </w:style>
  <w:style w:type="table" w:styleId="TableGrid">
    <w:name w:val="Table Grid"/>
    <w:basedOn w:val="TableNormal"/>
    <w:uiPriority w:val="39"/>
    <w:rsid w:val="007D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Bennett</dc:creator>
  <cp:keywords/>
  <dc:description/>
  <cp:lastModifiedBy>Jason Bennett</cp:lastModifiedBy>
  <cp:revision>9</cp:revision>
  <dcterms:created xsi:type="dcterms:W3CDTF">2019-05-26T08:40:00Z</dcterms:created>
  <dcterms:modified xsi:type="dcterms:W3CDTF">2019-10-11T08:49:00Z</dcterms:modified>
</cp:coreProperties>
</file>