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47857"/>
          <w:sz w:val="56"/>
          <w:szCs w:val="56"/>
        </w:rPr>
        <w:t xml:space="preserve">Budgeting System</w:t>
      </w:r>
    </w:p>
    <w:p>
      <w:pPr>
        <w:spacing w:after="120" w:before="120"/>
        <w:jc w:val="center"/>
      </w:pPr>
      <w:r>
        <w:rPr>
          <w:b/>
          <w:bCs/>
          <w:color w:val="333333"/>
          <w:sz w:val="36"/>
          <w:szCs w:val="36"/>
        </w:rPr>
        <w:t xml:space="preserve">Functional Specification</w:t>
      </w:r>
    </w:p>
    <w:p>
      <w:pPr>
        <w:spacing w:before="240"/>
        <w:jc w:val="center"/>
      </w:pPr>
      <w:r>
        <w:rPr>
          <w:color w:val="666666"/>
          <w:sz w:val="22"/>
          <w:szCs w:val="22"/>
        </w:rPr>
        <w:t xml:space="preserve">Reverse-engineered from the deployed application (current codebase), Ortigas &amp; Company, Limited Partnership</w:t>
      </w:r>
    </w:p>
    <w:p>
      <w:pPr>
        <w:spacing w:before="800"/>
        <w:jc w:val="center"/>
      </w:pPr>
      <w:r>
        <w:rPr>
          <w:i/>
          <w:iCs/>
          <w:color w:val="888888"/>
          <w:sz w:val="20"/>
          <w:szCs w:val="20"/>
        </w:rPr>
        <w:t xml:space="preserve">Covers Phase 1 (Annual Budget Setting) as implemented, including all amendments through the current build.</w:t>
      </w:r>
    </w:p>
    <w:p>
      <w:r>
        <w:br w:type="page"/>
      </w:r>
    </w:p>
    <w:p>
      <w:pPr>
        <w:pStyle w:val="Heading1"/>
        <w:spacing w:after="200" w:before="400"/>
      </w:pPr>
      <w:r>
        <w:t xml:space="preserve">1. Introduction</w:t>
      </w:r>
    </w:p>
    <w:p>
      <w:pPr>
        <w:pStyle w:val="Heading2"/>
        <w:spacing w:after="150" w:before="300"/>
      </w:pPr>
      <w:r>
        <w:t xml:space="preserve">1.1 Purpose</w:t>
      </w:r>
    </w:p>
    <w:p>
      <w:pPr>
        <w:spacing w:after="160" w:line="276"/>
      </w:pPr>
      <w:r>
        <w:t xml:space="preserve">This document describes the functional behavior of the Budgeting System as it exists in the current codebase — the screens, workflows, business rules, and data it manages. It was produced by reading the application's data model, backend routes, backend services, and frontend screens directly, rather than from a design document, so it reflects what the system actually does rather than what was originally planned.</w:t>
      </w:r>
    </w:p>
    <w:p>
      <w:pPr>
        <w:spacing w:after="160" w:line="276"/>
      </w:pPr>
      <w:r>
        <w:t xml:space="preserve">The system was originally built from a separate functional specification ("Budgeting_System_Functional_Spec.md") covering Phase 1 — Annual Budget Setting — of a four-phase roadmap (the other three phases, Utilization Tracking, Transfer &amp; Reallocation, and Reporting &amp; Analysis, are not built). That original spec was then extended through several rounds of change requests (informally tracked in the codebase as "Notes", "Notes_2" … "Notes_14"), most of which are not reflected in any single written document. This specification supersedes those fragments by describing the system as it stands today.</w:t>
      </w:r>
    </w:p>
    <w:p>
      <w:pPr>
        <w:pStyle w:val="Heading2"/>
        <w:spacing w:after="150" w:before="300"/>
      </w:pPr>
      <w:r>
        <w:t xml:space="preserve">1.2 Scope</w:t>
      </w:r>
    </w:p>
    <w:p>
      <w:pPr>
        <w:spacing w:after="160" w:line="276"/>
      </w:pPr>
      <w:r>
        <w:t xml:space="preserve">This document covers:</w:t>
      </w:r>
    </w:p>
    <w:p>
      <w:pPr>
        <w:pStyle w:val="ListParagraph"/>
        <w:numPr>
          <w:ilvl w:val="0"/>
          <w:numId w:val="2"/>
        </w:numPr>
        <w:spacing w:after="80"/>
      </w:pPr>
      <w:r>
        <w:t xml:space="preserve">Standard budget request creation and the multi-stage approval workflow (General &amp; Administrative Expenses and Direct Operating Expenses).</w:t>
      </w:r>
    </w:p>
    <w:p>
      <w:pPr>
        <w:pStyle w:val="ListParagraph"/>
        <w:numPr>
          <w:ilvl w:val="0"/>
          <w:numId w:val="2"/>
        </w:numPr>
        <w:spacing w:after="80"/>
      </w:pPr>
      <w:r>
        <w:t xml:space="preserve">Departmental budget cap and pool calculation, including growth rates and the annual forecast.</w:t>
      </w:r>
    </w:p>
    <w:p>
      <w:pPr>
        <w:pStyle w:val="ListParagraph"/>
        <w:numPr>
          <w:ilvl w:val="0"/>
          <w:numId w:val="2"/>
        </w:numPr>
        <w:spacing w:after="80"/>
      </w:pPr>
      <w:r>
        <w:t xml:space="preserve">Additional Headcount Requests and their automatically-triggered Office 365 Account and Mobile Phone Budget follow-on requests.</w:t>
      </w:r>
    </w:p>
    <w:p>
      <w:pPr>
        <w:pStyle w:val="ListParagraph"/>
        <w:numPr>
          <w:ilvl w:val="0"/>
          <w:numId w:val="2"/>
        </w:numPr>
        <w:spacing w:after="80"/>
      </w:pPr>
      <w:r>
        <w:t xml:space="preserve">The Manpower Budgeting module (HR Analyst-exclusive).</w:t>
      </w:r>
    </w:p>
    <w:p>
      <w:pPr>
        <w:pStyle w:val="ListParagraph"/>
        <w:numPr>
          <w:ilvl w:val="0"/>
          <w:numId w:val="2"/>
        </w:numPr>
        <w:spacing w:after="80"/>
      </w:pPr>
      <w:r>
        <w:t xml:space="preserve">Finalization and the (mocked) SAP upload.</w:t>
      </w:r>
    </w:p>
    <w:p>
      <w:pPr>
        <w:pStyle w:val="ListParagraph"/>
        <w:numPr>
          <w:ilvl w:val="0"/>
          <w:numId w:val="2"/>
        </w:numPr>
        <w:spacing w:after="80"/>
      </w:pPr>
      <w:r>
        <w:t xml:space="preserve">Administrative configuration (catalog, growth rate, thresholds, roles, due dates).</w:t>
      </w:r>
    </w:p>
    <w:p>
      <w:pPr>
        <w:spacing w:after="160" w:line="276"/>
      </w:pPr>
      <w:r>
        <w:t xml:space="preserve">Out of scope: Phases 2–4 of the original roadmap (Utilization Tracking, Transfer &amp; Reallocation, Reporting &amp; Analysis), and any feature not present in the current codebase. Section 16 lists explicit limitations and simplifications.</w:t>
      </w:r>
    </w:p>
    <w:p>
      <w:pPr>
        <w:pStyle w:val="Heading1"/>
        <w:spacing w:after="200" w:before="400"/>
      </w:pPr>
      <w:r>
        <w:t xml:space="preserve">2. System Overview</w:t>
      </w:r>
    </w:p>
    <w:p>
      <w:pPr>
        <w:spacing w:after="160" w:line="276"/>
      </w:pPr>
      <w:r>
        <w:t xml:space="preserve">The Budgeting System is a browser-based application supporting Ortigas &amp; Company's annual General &amp; Administrative Expenses (GAE) and Direct Operating Expenses (DOE) budgeting cycle, plus a parallel Manpower (headcount and payroll) budgeting cycle. It centers on one fiscal-year cycle at a time (the current build is hard-coded to fiscal year 2027, planned against 2026 actuals/forecast).</w:t>
      </w:r>
    </w:p>
    <w:p>
      <w:pPr>
        <w:pStyle w:val="Heading2"/>
        <w:spacing w:after="150" w:before="300"/>
      </w:pPr>
      <w:r>
        <w:t xml:space="preserve">2.1 Technology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0B981" w:color="auto" w:val="clear"/>
            <w:tcMar>
              <w:top w:type="dxa" w:w="80"/>
              <w:left w:type="dxa" w:w="100"/>
              <w:bottom w:type="dxa" w:w="80"/>
              <w:right w:type="dxa" w:w="100"/>
            </w:tcMar>
          </w:tcPr>
          <w:p>
            <w:r>
              <w:rPr>
                <w:b/>
                <w:bCs/>
                <w:color w:val="FFFFFF"/>
                <w:sz w:val="20"/>
                <w:szCs w:val="20"/>
              </w:rPr>
              <w:t xml:space="preserve">Layer</w:t>
            </w:r>
          </w:p>
        </w:tc>
        <w:tc>
          <w:tcPr>
            <w:tcW w:type="dxa" w:w="6500"/>
            <w:shd w:fill="10B981" w:color="auto" w:val="clear"/>
            <w:tcMar>
              <w:top w:type="dxa" w:w="80"/>
              <w:left w:type="dxa" w:w="100"/>
              <w:bottom w:type="dxa" w:w="80"/>
              <w:right w:type="dxa" w:w="100"/>
            </w:tcMar>
          </w:tcPr>
          <w:p>
            <w:r>
              <w:rPr>
                <w:b/>
                <w:bCs/>
                <w:color w:val="FFFFFF"/>
                <w:sz w:val="20"/>
                <w:szCs w:val="20"/>
              </w:rPr>
              <w:t xml:space="preserve">Technology</w:t>
            </w:r>
          </w:p>
        </w:tc>
      </w:tr>
      <w:tr>
        <w:tc>
          <w:tcPr>
            <w:tcW w:type="dxa" w:w="3000"/>
            <w:tcMar>
              <w:top w:type="dxa" w:w="80"/>
              <w:left w:type="dxa" w:w="100"/>
              <w:bottom w:type="dxa" w:w="80"/>
              <w:right w:type="dxa" w:w="100"/>
            </w:tcMar>
          </w:tcPr>
          <w:p>
            <w:r>
              <w:rPr>
                <w:b w:val="false"/>
                <w:bCs w:val="false"/>
                <w:color w:val="000000"/>
                <w:sz w:val="20"/>
                <w:szCs w:val="20"/>
              </w:rPr>
              <w:t xml:space="preserve">Frontend</w:t>
            </w:r>
          </w:p>
        </w:tc>
        <w:tc>
          <w:tcPr>
            <w:tcW w:type="dxa" w:w="6500"/>
            <w:tcMar>
              <w:top w:type="dxa" w:w="80"/>
              <w:left w:type="dxa" w:w="100"/>
              <w:bottom w:type="dxa" w:w="80"/>
              <w:right w:type="dxa" w:w="100"/>
            </w:tcMar>
          </w:tcPr>
          <w:p>
            <w:r>
              <w:rPr>
                <w:b w:val="false"/>
                <w:bCs w:val="false"/>
                <w:color w:val="000000"/>
                <w:sz w:val="20"/>
                <w:szCs w:val="20"/>
              </w:rPr>
              <w:t xml:space="preserve">React + Vite + TypeScript, Tailwind CSS, React Router, TanStack Query</w:t>
            </w:r>
          </w:p>
        </w:tc>
      </w:tr>
      <w:tr>
        <w:tc>
          <w:tcPr>
            <w:tcW w:type="dxa" w:w="3000"/>
            <w:tcMar>
              <w:top w:type="dxa" w:w="80"/>
              <w:left w:type="dxa" w:w="100"/>
              <w:bottom w:type="dxa" w:w="80"/>
              <w:right w:type="dxa" w:w="100"/>
            </w:tcMar>
          </w:tcPr>
          <w:p>
            <w:r>
              <w:rPr>
                <w:b w:val="false"/>
                <w:bCs w:val="false"/>
                <w:color w:val="000000"/>
                <w:sz w:val="20"/>
                <w:szCs w:val="20"/>
              </w:rPr>
              <w:t xml:space="preserve">Backend</w:t>
            </w:r>
          </w:p>
        </w:tc>
        <w:tc>
          <w:tcPr>
            <w:tcW w:type="dxa" w:w="6500"/>
            <w:tcMar>
              <w:top w:type="dxa" w:w="80"/>
              <w:left w:type="dxa" w:w="100"/>
              <w:bottom w:type="dxa" w:w="80"/>
              <w:right w:type="dxa" w:w="100"/>
            </w:tcMar>
          </w:tcPr>
          <w:p>
            <w:r>
              <w:rPr>
                <w:b w:val="false"/>
                <w:bCs w:val="false"/>
                <w:color w:val="000000"/>
                <w:sz w:val="20"/>
                <w:szCs w:val="20"/>
              </w:rPr>
              <w:t xml:space="preserve">Node.js + Express + TypeScript, Prisma ORM</w:t>
            </w:r>
          </w:p>
        </w:tc>
      </w:tr>
      <w:tr>
        <w:tc>
          <w:tcPr>
            <w:tcW w:type="dxa" w:w="3000"/>
            <w:tcMar>
              <w:top w:type="dxa" w:w="80"/>
              <w:left w:type="dxa" w:w="100"/>
              <w:bottom w:type="dxa" w:w="80"/>
              <w:right w:type="dxa" w:w="100"/>
            </w:tcMar>
          </w:tcPr>
          <w:p>
            <w:r>
              <w:rPr>
                <w:b w:val="false"/>
                <w:bCs w:val="false"/>
                <w:color w:val="000000"/>
                <w:sz w:val="20"/>
                <w:szCs w:val="20"/>
              </w:rPr>
              <w:t xml:space="preserve">Database</w:t>
            </w:r>
          </w:p>
        </w:tc>
        <w:tc>
          <w:tcPr>
            <w:tcW w:type="dxa" w:w="6500"/>
            <w:tcMar>
              <w:top w:type="dxa" w:w="80"/>
              <w:left w:type="dxa" w:w="100"/>
              <w:bottom w:type="dxa" w:w="80"/>
              <w:right w:type="dxa" w:w="100"/>
            </w:tcMar>
          </w:tcPr>
          <w:p>
            <w:r>
              <w:rPr>
                <w:b w:val="false"/>
                <w:bCs w:val="false"/>
                <w:color w:val="000000"/>
                <w:sz w:val="20"/>
                <w:szCs w:val="20"/>
              </w:rPr>
              <w:t xml:space="preserve">PostgreSQL</w:t>
            </w:r>
          </w:p>
        </w:tc>
      </w:tr>
      <w:tr>
        <w:tc>
          <w:tcPr>
            <w:tcW w:type="dxa" w:w="3000"/>
            <w:tcMar>
              <w:top w:type="dxa" w:w="80"/>
              <w:left w:type="dxa" w:w="100"/>
              <w:bottom w:type="dxa" w:w="80"/>
              <w:right w:type="dxa" w:w="100"/>
            </w:tcMar>
          </w:tcPr>
          <w:p>
            <w:r>
              <w:rPr>
                <w:b w:val="false"/>
                <w:bCs w:val="false"/>
                <w:color w:val="000000"/>
                <w:sz w:val="20"/>
                <w:szCs w:val="20"/>
              </w:rPr>
              <w:t xml:space="preserve">Authentication</w:t>
            </w:r>
          </w:p>
        </w:tc>
        <w:tc>
          <w:tcPr>
            <w:tcW w:type="dxa" w:w="6500"/>
            <w:tcMar>
              <w:top w:type="dxa" w:w="80"/>
              <w:left w:type="dxa" w:w="100"/>
              <w:bottom w:type="dxa" w:w="80"/>
              <w:right w:type="dxa" w:w="100"/>
            </w:tcMar>
          </w:tcPr>
          <w:p>
            <w:r>
              <w:rPr>
                <w:b w:val="false"/>
                <w:bCs w:val="false"/>
                <w:color w:val="000000"/>
                <w:sz w:val="20"/>
                <w:szCs w:val="20"/>
              </w:rPr>
              <w:t xml:space="preserve">Email + password (demo-grade — see §15.1)</w:t>
            </w:r>
          </w:p>
        </w:tc>
      </w:tr>
      <w:tr>
        <w:tc>
          <w:tcPr>
            <w:tcW w:type="dxa" w:w="3000"/>
            <w:tcMar>
              <w:top w:type="dxa" w:w="80"/>
              <w:left w:type="dxa" w:w="100"/>
              <w:bottom w:type="dxa" w:w="80"/>
              <w:right w:type="dxa" w:w="100"/>
            </w:tcMar>
          </w:tcPr>
          <w:p>
            <w:r>
              <w:rPr>
                <w:b w:val="false"/>
                <w:bCs w:val="false"/>
                <w:color w:val="000000"/>
                <w:sz w:val="20"/>
                <w:szCs w:val="20"/>
              </w:rPr>
              <w:t xml:space="preserve">SAP integration</w:t>
            </w:r>
          </w:p>
        </w:tc>
        <w:tc>
          <w:tcPr>
            <w:tcW w:type="dxa" w:w="6500"/>
            <w:tcMar>
              <w:top w:type="dxa" w:w="80"/>
              <w:left w:type="dxa" w:w="100"/>
              <w:bottom w:type="dxa" w:w="80"/>
              <w:right w:type="dxa" w:w="100"/>
            </w:tcMar>
          </w:tcPr>
          <w:p>
            <w:r>
              <w:rPr>
                <w:b w:val="false"/>
                <w:bCs w:val="false"/>
                <w:color w:val="000000"/>
                <w:sz w:val="20"/>
                <w:szCs w:val="20"/>
              </w:rPr>
              <w:t xml:space="preserve">Mocked behind a swappable adapter interface (see §9.5, §11.6)</w:t>
            </w:r>
          </w:p>
        </w:tc>
      </w:tr>
    </w:tbl>
    <w:p>
      <w:pPr>
        <w:pStyle w:val="Heading2"/>
        <w:spacing w:after="150" w:before="300"/>
      </w:pPr>
      <w:r>
        <w:t xml:space="preserve">2.2 High-level modules</w:t>
      </w:r>
    </w:p>
    <w:p>
      <w:pPr>
        <w:spacing w:after="160" w:line="276"/>
      </w:pPr>
      <w:r>
        <w:t xml:space="preserve">The application is organized around a left-hand navigation sidebar exposing:</w:t>
      </w:r>
    </w:p>
    <w:p>
      <w:pPr>
        <w:pStyle w:val="ListParagraph"/>
        <w:numPr>
          <w:ilvl w:val="0"/>
          <w:numId w:val="2"/>
        </w:numPr>
        <w:spacing w:after="80"/>
      </w:pPr>
      <w:r>
        <w:t xml:space="preserve">Home — dashboard of Cap &amp; Pool figures and due dates for the current user's department(s).</w:t>
      </w:r>
    </w:p>
    <w:p>
      <w:pPr>
        <w:pStyle w:val="ListParagraph"/>
        <w:numPr>
          <w:ilvl w:val="0"/>
          <w:numId w:val="2"/>
        </w:numPr>
        <w:spacing w:after="80"/>
      </w:pPr>
      <w:r>
        <w:t xml:space="preserve">New Request — create a Standard (GAE), Direct Operating Expense (DOE), or Additional Manpower request. Non-Project Capex and Revenue are reserved placeholder tabs with no working form yet.</w:t>
      </w:r>
    </w:p>
    <w:p>
      <w:pPr>
        <w:pStyle w:val="ListParagraph"/>
        <w:numPr>
          <w:ilvl w:val="0"/>
          <w:numId w:val="2"/>
        </w:numPr>
        <w:spacing w:after="80"/>
      </w:pPr>
      <w:r>
        <w:t xml:space="preserve">Inbox — everything awaiting the current user's review or approval, across every workflow in the system.</w:t>
      </w:r>
    </w:p>
    <w:p>
      <w:pPr>
        <w:pStyle w:val="ListParagraph"/>
        <w:numPr>
          <w:ilvl w:val="0"/>
          <w:numId w:val="2"/>
        </w:numPr>
        <w:spacing w:after="80"/>
      </w:pPr>
      <w:r>
        <w:t xml:space="preserve">My Requests — everything the current user has personally submitted.</w:t>
      </w:r>
    </w:p>
    <w:p>
      <w:pPr>
        <w:pStyle w:val="ListParagraph"/>
        <w:numPr>
          <w:ilvl w:val="0"/>
          <w:numId w:val="2"/>
        </w:numPr>
        <w:spacing w:after="80"/>
      </w:pPr>
      <w:r>
        <w:t xml:space="preserve">Forecast — the 2026 Remaining Months Forecast entry and approval screen (centralized departments only).</w:t>
      </w:r>
    </w:p>
    <w:p>
      <w:pPr>
        <w:pStyle w:val="ListParagraph"/>
        <w:numPr>
          <w:ilvl w:val="0"/>
          <w:numId w:val="2"/>
        </w:numPr>
        <w:spacing w:after="80"/>
      </w:pPr>
      <w:r>
        <w:t xml:space="preserve">Finalization &amp; SAP Upload (Step 5) — the Budget Officer's finalization queue.</w:t>
      </w:r>
    </w:p>
    <w:p>
      <w:pPr>
        <w:pStyle w:val="ListParagraph"/>
        <w:numPr>
          <w:ilvl w:val="0"/>
          <w:numId w:val="2"/>
        </w:numPr>
        <w:spacing w:after="80"/>
      </w:pPr>
      <w:r>
        <w:t xml:space="preserve">Manpower Budgeting — the HR Analyst's payroll/headcount budgeting module.</w:t>
      </w:r>
    </w:p>
    <w:p>
      <w:pPr>
        <w:pStyle w:val="ListParagraph"/>
        <w:numPr>
          <w:ilvl w:val="0"/>
          <w:numId w:val="2"/>
        </w:numPr>
        <w:spacing w:after="80"/>
      </w:pPr>
      <w:r>
        <w:t xml:space="preserve">Admin Console — Budget Officer-only configuration (catalog, growth rate, thresholds, reason codes, role assignments, due dates).</w:t>
      </w:r>
    </w:p>
    <w:p>
      <w:pPr>
        <w:pStyle w:val="Heading1"/>
        <w:spacing w:after="200" w:before="400"/>
      </w:pPr>
      <w:r>
        <w:t xml:space="preserve">3. Roles and Permissions</w:t>
      </w:r>
    </w:p>
    <w:p>
      <w:pPr>
        <w:spacing w:after="160" w:line="276"/>
      </w:pPr>
      <w:r>
        <w:t xml:space="preserve">Every user is granted one or more roles, each scoped to a specific department. A single person can hold different roles in different departments (for example, being a Department Head of their own department while also serving as a Centralized Department Head reviewer for another). The system defines nine role types: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700"/>
      </w:tblGrid>
      <w:tr>
        <w:trPr>
          <w:tblHeader/>
        </w:trPr>
        <w:tc>
          <w:tcPr>
            <w:tcW w:type="dxa" w:w="2600"/>
            <w:shd w:fill="10B981" w:color="auto" w:val="clear"/>
            <w:tcMar>
              <w:top w:type="dxa" w:w="80"/>
              <w:left w:type="dxa" w:w="100"/>
              <w:bottom w:type="dxa" w:w="80"/>
              <w:right w:type="dxa" w:w="100"/>
            </w:tcMar>
          </w:tcPr>
          <w:p>
            <w:r>
              <w:rPr>
                <w:b/>
                <w:bCs/>
                <w:color w:val="FFFFFF"/>
                <w:sz w:val="20"/>
                <w:szCs w:val="20"/>
              </w:rPr>
              <w:t xml:space="preserve">Role</w:t>
            </w:r>
          </w:p>
        </w:tc>
        <w:tc>
          <w:tcPr>
            <w:tcW w:type="dxa" w:w="2200"/>
            <w:shd w:fill="10B981" w:color="auto" w:val="clear"/>
            <w:tcMar>
              <w:top w:type="dxa" w:w="80"/>
              <w:left w:type="dxa" w:w="100"/>
              <w:bottom w:type="dxa" w:w="80"/>
              <w:right w:type="dxa" w:w="100"/>
            </w:tcMar>
          </w:tcPr>
          <w:p>
            <w:r>
              <w:rPr>
                <w:b/>
                <w:bCs/>
                <w:color w:val="FFFFFF"/>
                <w:sz w:val="20"/>
                <w:szCs w:val="20"/>
              </w:rPr>
              <w:t xml:space="preserve">Typical scope</w:t>
            </w:r>
          </w:p>
        </w:tc>
        <w:tc>
          <w:tcPr>
            <w:tcW w:type="dxa" w:w="4700"/>
            <w:shd w:fill="10B981" w:color="auto" w:val="clear"/>
            <w:tcMar>
              <w:top w:type="dxa" w:w="80"/>
              <w:left w:type="dxa" w:w="100"/>
              <w:bottom w:type="dxa" w:w="80"/>
              <w:right w:type="dxa" w:w="100"/>
            </w:tcMar>
          </w:tcPr>
          <w:p>
            <w:r>
              <w:rPr>
                <w:b/>
                <w:bCs/>
                <w:color w:val="FFFFFF"/>
                <w:sz w:val="20"/>
                <w:szCs w:val="20"/>
              </w:rPr>
              <w:t xml:space="preserve">Primary responsibilities</w:t>
            </w:r>
          </w:p>
        </w:tc>
      </w:tr>
      <w:tr>
        <w:tc>
          <w:tcPr>
            <w:tcW w:type="dxa" w:w="2600"/>
            <w:tcMar>
              <w:top w:type="dxa" w:w="80"/>
              <w:left w:type="dxa" w:w="100"/>
              <w:bottom w:type="dxa" w:w="80"/>
              <w:right w:type="dxa" w:w="100"/>
            </w:tcMar>
          </w:tcPr>
          <w:p>
            <w:r>
              <w:rPr>
                <w:b w:val="false"/>
                <w:bCs w:val="false"/>
                <w:color w:val="000000"/>
                <w:sz w:val="20"/>
                <w:szCs w:val="20"/>
              </w:rPr>
              <w:t xml:space="preserve">Department Head</w:t>
            </w:r>
          </w:p>
        </w:tc>
        <w:tc>
          <w:tcPr>
            <w:tcW w:type="dxa" w:w="2200"/>
            <w:tcMar>
              <w:top w:type="dxa" w:w="80"/>
              <w:left w:type="dxa" w:w="100"/>
              <w:bottom w:type="dxa" w:w="80"/>
              <w:right w:type="dxa" w:w="100"/>
            </w:tcMar>
          </w:tcPr>
          <w:p>
            <w:r>
              <w:rPr>
                <w:b w:val="false"/>
                <w:bCs w:val="false"/>
                <w:color w:val="000000"/>
                <w:sz w:val="20"/>
                <w:szCs w:val="20"/>
              </w:rPr>
              <w:t xml:space="preserve">Requestor's own (originating) department</w:t>
            </w:r>
          </w:p>
        </w:tc>
        <w:tc>
          <w:tcPr>
            <w:tcW w:type="dxa" w:w="4700"/>
            <w:tcMar>
              <w:top w:type="dxa" w:w="80"/>
              <w:left w:type="dxa" w:w="100"/>
              <w:bottom w:type="dxa" w:w="80"/>
              <w:right w:type="dxa" w:w="100"/>
            </w:tcMar>
          </w:tcPr>
          <w:p>
            <w:r>
              <w:rPr>
                <w:b w:val="false"/>
                <w:bCs w:val="false"/>
                <w:color w:val="000000"/>
                <w:sz w:val="20"/>
                <w:szCs w:val="20"/>
              </w:rPr>
              <w:t xml:space="preserve">Approves/returns their department's own requests (Step 2) and Additional Headcount Requests (stage 1 of 3).</w:t>
            </w:r>
          </w:p>
        </w:tc>
      </w:tr>
      <w:tr>
        <w:tc>
          <w:tcPr>
            <w:tcW w:type="dxa" w:w="2600"/>
            <w:tcMar>
              <w:top w:type="dxa" w:w="80"/>
              <w:left w:type="dxa" w:w="100"/>
              <w:bottom w:type="dxa" w:w="80"/>
              <w:right w:type="dxa" w:w="100"/>
            </w:tcMar>
          </w:tcPr>
          <w:p>
            <w:r>
              <w:rPr>
                <w:b w:val="false"/>
                <w:bCs w:val="false"/>
                <w:color w:val="000000"/>
                <w:sz w:val="20"/>
                <w:szCs w:val="20"/>
              </w:rPr>
              <w:t xml:space="preserve">Department Preparer</w:t>
            </w:r>
          </w:p>
        </w:tc>
        <w:tc>
          <w:tcPr>
            <w:tcW w:type="dxa" w:w="2200"/>
            <w:tcMar>
              <w:top w:type="dxa" w:w="80"/>
              <w:left w:type="dxa" w:w="100"/>
              <w:bottom w:type="dxa" w:w="80"/>
              <w:right w:type="dxa" w:w="100"/>
            </w:tcMar>
          </w:tcPr>
          <w:p>
            <w:r>
              <w:rPr>
                <w:b w:val="false"/>
                <w:bCs w:val="false"/>
                <w:color w:val="000000"/>
                <w:sz w:val="20"/>
                <w:szCs w:val="20"/>
              </w:rPr>
              <w:t xml:space="preserve">Originating department</w:t>
            </w:r>
          </w:p>
        </w:tc>
        <w:tc>
          <w:tcPr>
            <w:tcW w:type="dxa" w:w="4700"/>
            <w:tcMar>
              <w:top w:type="dxa" w:w="80"/>
              <w:left w:type="dxa" w:w="100"/>
              <w:bottom w:type="dxa" w:w="80"/>
              <w:right w:type="dxa" w:w="100"/>
            </w:tcMar>
          </w:tcPr>
          <w:p>
            <w:r>
              <w:rPr>
                <w:b w:val="false"/>
                <w:bCs w:val="false"/>
                <w:color w:val="000000"/>
                <w:sz w:val="20"/>
                <w:szCs w:val="20"/>
              </w:rPr>
              <w:t xml:space="preserve">Reserved for future use — assignable in Role Assignments but not yet gated by any route (request creation is open to any department member today).</w:t>
            </w:r>
          </w:p>
        </w:tc>
      </w:tr>
      <w:tr>
        <w:tc>
          <w:tcPr>
            <w:tcW w:type="dxa" w:w="2600"/>
            <w:tcMar>
              <w:top w:type="dxa" w:w="80"/>
              <w:left w:type="dxa" w:w="100"/>
              <w:bottom w:type="dxa" w:w="80"/>
              <w:right w:type="dxa" w:w="100"/>
            </w:tcMar>
          </w:tcPr>
          <w:p>
            <w:r>
              <w:rPr>
                <w:b w:val="false"/>
                <w:bCs w:val="false"/>
                <w:color w:val="000000"/>
                <w:sz w:val="20"/>
                <w:szCs w:val="20"/>
              </w:rPr>
              <w:t xml:space="preserve">Centralized First-Level Reviewer</w:t>
            </w:r>
          </w:p>
        </w:tc>
        <w:tc>
          <w:tcPr>
            <w:tcW w:type="dxa" w:w="2200"/>
            <w:tcMar>
              <w:top w:type="dxa" w:w="80"/>
              <w:left w:type="dxa" w:w="100"/>
              <w:bottom w:type="dxa" w:w="80"/>
              <w:right w:type="dxa" w:w="100"/>
            </w:tcMar>
          </w:tcPr>
          <w:p>
            <w:r>
              <w:rPr>
                <w:b w:val="false"/>
                <w:bCs w:val="false"/>
                <w:color w:val="000000"/>
                <w:sz w:val="20"/>
                <w:szCs w:val="20"/>
              </w:rPr>
              <w:t xml:space="preserve">A centralized (owning) department</w:t>
            </w:r>
          </w:p>
        </w:tc>
        <w:tc>
          <w:tcPr>
            <w:tcW w:type="dxa" w:w="4700"/>
            <w:tcMar>
              <w:top w:type="dxa" w:w="80"/>
              <w:left w:type="dxa" w:w="100"/>
              <w:bottom w:type="dxa" w:w="80"/>
              <w:right w:type="dxa" w:w="100"/>
            </w:tcMar>
          </w:tcPr>
          <w:p>
            <w:r>
              <w:rPr>
                <w:b w:val="false"/>
                <w:bCs w:val="false"/>
                <w:color w:val="000000"/>
                <w:sz w:val="20"/>
                <w:szCs w:val="20"/>
              </w:rPr>
              <w:t xml:space="preserve">First technical review of requests charged to that department's GL/CC (Step 3A). Can reject outright.</w:t>
            </w:r>
          </w:p>
        </w:tc>
      </w:tr>
      <w:tr>
        <w:tc>
          <w:tcPr>
            <w:tcW w:type="dxa" w:w="2600"/>
            <w:tcMar>
              <w:top w:type="dxa" w:w="80"/>
              <w:left w:type="dxa" w:w="100"/>
              <w:bottom w:type="dxa" w:w="80"/>
              <w:right w:type="dxa" w:w="100"/>
            </w:tcMar>
          </w:tcPr>
          <w:p>
            <w:r>
              <w:rPr>
                <w:b w:val="false"/>
                <w:bCs w:val="false"/>
                <w:color w:val="000000"/>
                <w:sz w:val="20"/>
                <w:szCs w:val="20"/>
              </w:rPr>
              <w:t xml:space="preserve">Centralized Department Head</w:t>
            </w:r>
          </w:p>
        </w:tc>
        <w:tc>
          <w:tcPr>
            <w:tcW w:type="dxa" w:w="2200"/>
            <w:tcMar>
              <w:top w:type="dxa" w:w="80"/>
              <w:left w:type="dxa" w:w="100"/>
              <w:bottom w:type="dxa" w:w="80"/>
              <w:right w:type="dxa" w:w="100"/>
            </w:tcMar>
          </w:tcPr>
          <w:p>
            <w:r>
              <w:rPr>
                <w:b w:val="false"/>
                <w:bCs w:val="false"/>
                <w:color w:val="000000"/>
                <w:sz w:val="20"/>
                <w:szCs w:val="20"/>
              </w:rPr>
              <w:t xml:space="preserve">A centralized (owning) department</w:t>
            </w:r>
          </w:p>
        </w:tc>
        <w:tc>
          <w:tcPr>
            <w:tcW w:type="dxa" w:w="4700"/>
            <w:tcMar>
              <w:top w:type="dxa" w:w="80"/>
              <w:left w:type="dxa" w:w="100"/>
              <w:bottom w:type="dxa" w:w="80"/>
              <w:right w:type="dxa" w:w="100"/>
            </w:tcMar>
          </w:tcPr>
          <w:p>
            <w:r>
              <w:rPr>
                <w:b w:val="false"/>
                <w:bCs w:val="false"/>
                <w:color w:val="000000"/>
                <w:sz w:val="20"/>
                <w:szCs w:val="20"/>
              </w:rPr>
              <w:t xml:space="preserve">Second-level review of requests charged to that department (Step 3B). Also stands in for "HR Head" when scoped to the Human Resources department, and for the Approver stage of Office 365 / Mobile Phone follow-on requests when scoped to IS &amp; IT / Admin Services respectively. Also reviews that department's Forecast submission and Manpower Budget submission.</w:t>
            </w:r>
          </w:p>
        </w:tc>
      </w:tr>
      <w:tr>
        <w:tc>
          <w:tcPr>
            <w:tcW w:type="dxa" w:w="2600"/>
            <w:tcMar>
              <w:top w:type="dxa" w:w="80"/>
              <w:left w:type="dxa" w:w="100"/>
              <w:bottom w:type="dxa" w:w="80"/>
              <w:right w:type="dxa" w:w="100"/>
            </w:tcMar>
          </w:tcPr>
          <w:p>
            <w:r>
              <w:rPr>
                <w:b w:val="false"/>
                <w:bCs w:val="false"/>
                <w:color w:val="000000"/>
                <w:sz w:val="20"/>
                <w:szCs w:val="20"/>
              </w:rPr>
              <w:t xml:space="preserve">Centralized Budget Preparer</w:t>
            </w:r>
          </w:p>
        </w:tc>
        <w:tc>
          <w:tcPr>
            <w:tcW w:type="dxa" w:w="2200"/>
            <w:tcMar>
              <w:top w:type="dxa" w:w="80"/>
              <w:left w:type="dxa" w:w="100"/>
              <w:bottom w:type="dxa" w:w="80"/>
              <w:right w:type="dxa" w:w="100"/>
            </w:tcMar>
          </w:tcPr>
          <w:p>
            <w:r>
              <w:rPr>
                <w:b w:val="false"/>
                <w:bCs w:val="false"/>
                <w:color w:val="000000"/>
                <w:sz w:val="20"/>
                <w:szCs w:val="20"/>
              </w:rPr>
              <w:t xml:space="preserve">A centralized department</w:t>
            </w:r>
          </w:p>
        </w:tc>
        <w:tc>
          <w:tcPr>
            <w:tcW w:type="dxa" w:w="4700"/>
            <w:tcMar>
              <w:top w:type="dxa" w:w="80"/>
              <w:left w:type="dxa" w:w="100"/>
              <w:bottom w:type="dxa" w:w="80"/>
              <w:right w:type="dxa" w:w="100"/>
            </w:tcMar>
          </w:tcPr>
          <w:p>
            <w:r>
              <w:rPr>
                <w:b w:val="false"/>
                <w:bCs w:val="false"/>
                <w:color w:val="000000"/>
                <w:sz w:val="20"/>
                <w:szCs w:val="20"/>
              </w:rPr>
              <w:t xml:space="preserve">Reserved for future use, same status as Department Preparer.</w:t>
            </w:r>
          </w:p>
        </w:tc>
      </w:tr>
      <w:tr>
        <w:tc>
          <w:tcPr>
            <w:tcW w:type="dxa" w:w="2600"/>
            <w:tcMar>
              <w:top w:type="dxa" w:w="80"/>
              <w:left w:type="dxa" w:w="100"/>
              <w:bottom w:type="dxa" w:w="80"/>
              <w:right w:type="dxa" w:w="100"/>
            </w:tcMar>
          </w:tcPr>
          <w:p>
            <w:r>
              <w:rPr>
                <w:b w:val="false"/>
                <w:bCs w:val="false"/>
                <w:color w:val="000000"/>
                <w:sz w:val="20"/>
                <w:szCs w:val="20"/>
              </w:rPr>
              <w:t xml:space="preserve">BC&amp;A Head</w:t>
            </w:r>
          </w:p>
        </w:tc>
        <w:tc>
          <w:tcPr>
            <w:tcW w:type="dxa" w:w="2200"/>
            <w:tcMar>
              <w:top w:type="dxa" w:w="80"/>
              <w:left w:type="dxa" w:w="100"/>
              <w:bottom w:type="dxa" w:w="80"/>
              <w:right w:type="dxa" w:w="100"/>
            </w:tcMar>
          </w:tcPr>
          <w:p>
            <w:r>
              <w:rPr>
                <w:b w:val="false"/>
                <w:bCs w:val="false"/>
                <w:color w:val="000000"/>
                <w:sz w:val="20"/>
                <w:szCs w:val="20"/>
              </w:rPr>
              <w:t xml:space="preserve">System-wide</w:t>
            </w:r>
          </w:p>
        </w:tc>
        <w:tc>
          <w:tcPr>
            <w:tcW w:type="dxa" w:w="4700"/>
            <w:tcMar>
              <w:top w:type="dxa" w:w="80"/>
              <w:left w:type="dxa" w:w="100"/>
              <w:bottom w:type="dxa" w:w="80"/>
              <w:right w:type="dxa" w:w="100"/>
            </w:tcMar>
          </w:tcPr>
          <w:p>
            <w:r>
              <w:rPr>
                <w:b w:val="false"/>
                <w:bCs w:val="false"/>
                <w:color w:val="000000"/>
                <w:sz w:val="20"/>
                <w:szCs w:val="20"/>
              </w:rPr>
              <w:t xml:space="preserve">Reviews requests above the ₱1,000,000 threshold (Step 4). Can also edit the Departmental Growth Rate Exception Table.</w:t>
            </w:r>
          </w:p>
        </w:tc>
      </w:tr>
      <w:tr>
        <w:tc>
          <w:tcPr>
            <w:tcW w:type="dxa" w:w="2600"/>
            <w:tcMar>
              <w:top w:type="dxa" w:w="80"/>
              <w:left w:type="dxa" w:w="100"/>
              <w:bottom w:type="dxa" w:w="80"/>
              <w:right w:type="dxa" w:w="100"/>
            </w:tcMar>
          </w:tcPr>
          <w:p>
            <w:r>
              <w:rPr>
                <w:b w:val="false"/>
                <w:bCs w:val="false"/>
                <w:color w:val="000000"/>
                <w:sz w:val="20"/>
                <w:szCs w:val="20"/>
              </w:rPr>
              <w:t xml:space="preserve">Budget Officer</w:t>
            </w:r>
          </w:p>
        </w:tc>
        <w:tc>
          <w:tcPr>
            <w:tcW w:type="dxa" w:w="2200"/>
            <w:tcMar>
              <w:top w:type="dxa" w:w="80"/>
              <w:left w:type="dxa" w:w="100"/>
              <w:bottom w:type="dxa" w:w="80"/>
              <w:right w:type="dxa" w:w="100"/>
            </w:tcMar>
          </w:tcPr>
          <w:p>
            <w:r>
              <w:rPr>
                <w:b w:val="false"/>
                <w:bCs w:val="false"/>
                <w:color w:val="000000"/>
                <w:sz w:val="20"/>
                <w:szCs w:val="20"/>
              </w:rPr>
              <w:t xml:space="preserve">System-wide</w:t>
            </w:r>
          </w:p>
        </w:tc>
        <w:tc>
          <w:tcPr>
            <w:tcW w:type="dxa" w:w="4700"/>
            <w:tcMar>
              <w:top w:type="dxa" w:w="80"/>
              <w:left w:type="dxa" w:w="100"/>
              <w:bottom w:type="dxa" w:w="80"/>
              <w:right w:type="dxa" w:w="100"/>
            </w:tcMar>
          </w:tcPr>
          <w:p>
            <w:r>
              <w:rPr>
                <w:b w:val="false"/>
                <w:bCs w:val="false"/>
                <w:color w:val="000000"/>
                <w:sz w:val="20"/>
                <w:szCs w:val="20"/>
              </w:rPr>
              <w:t xml:space="preserve">Owns the Admin Console, Step 5 finalization, SAP upload triggers, and most global configuration. The single most powerful role in the system.</w:t>
            </w:r>
          </w:p>
        </w:tc>
      </w:tr>
      <w:tr>
        <w:tc>
          <w:tcPr>
            <w:tcW w:type="dxa" w:w="2600"/>
            <w:tcMar>
              <w:top w:type="dxa" w:w="80"/>
              <w:left w:type="dxa" w:w="100"/>
              <w:bottom w:type="dxa" w:w="80"/>
              <w:right w:type="dxa" w:w="100"/>
            </w:tcMar>
          </w:tcPr>
          <w:p>
            <w:r>
              <w:rPr>
                <w:b w:val="false"/>
                <w:bCs w:val="false"/>
                <w:color w:val="000000"/>
                <w:sz w:val="20"/>
                <w:szCs w:val="20"/>
              </w:rPr>
              <w:t xml:space="preserve">HR Analyst</w:t>
            </w:r>
          </w:p>
        </w:tc>
        <w:tc>
          <w:tcPr>
            <w:tcW w:type="dxa" w:w="2200"/>
            <w:tcMar>
              <w:top w:type="dxa" w:w="80"/>
              <w:left w:type="dxa" w:w="100"/>
              <w:bottom w:type="dxa" w:w="80"/>
              <w:right w:type="dxa" w:w="100"/>
            </w:tcMar>
          </w:tcPr>
          <w:p>
            <w:r>
              <w:rPr>
                <w:b w:val="false"/>
                <w:bCs w:val="false"/>
                <w:color w:val="000000"/>
                <w:sz w:val="20"/>
                <w:szCs w:val="20"/>
              </w:rPr>
              <w:t xml:space="preserve">System-wide</w:t>
            </w:r>
          </w:p>
        </w:tc>
        <w:tc>
          <w:tcPr>
            <w:tcW w:type="dxa" w:w="4700"/>
            <w:tcMar>
              <w:top w:type="dxa" w:w="80"/>
              <w:left w:type="dxa" w:w="100"/>
              <w:bottom w:type="dxa" w:w="80"/>
              <w:right w:type="dxa" w:w="100"/>
            </w:tcMar>
          </w:tcPr>
          <w:p>
            <w:r>
              <w:rPr>
                <w:b w:val="false"/>
                <w:bCs w:val="false"/>
                <w:color w:val="000000"/>
                <w:sz w:val="20"/>
                <w:szCs w:val="20"/>
              </w:rPr>
              <w:t xml:space="preserve">Owns the Manpower Budgeting module exclusively.</w:t>
            </w:r>
          </w:p>
        </w:tc>
      </w:tr>
      <w:tr>
        <w:tc>
          <w:tcPr>
            <w:tcW w:type="dxa" w:w="2600"/>
            <w:tcMar>
              <w:top w:type="dxa" w:w="80"/>
              <w:left w:type="dxa" w:w="100"/>
              <w:bottom w:type="dxa" w:w="80"/>
              <w:right w:type="dxa" w:w="100"/>
            </w:tcMar>
          </w:tcPr>
          <w:p>
            <w:r>
              <w:rPr>
                <w:b w:val="false"/>
                <w:bCs w:val="false"/>
                <w:color w:val="000000"/>
                <w:sz w:val="20"/>
                <w:szCs w:val="20"/>
              </w:rPr>
              <w:t xml:space="preserve">CFO</w:t>
            </w:r>
          </w:p>
        </w:tc>
        <w:tc>
          <w:tcPr>
            <w:tcW w:type="dxa" w:w="2200"/>
            <w:tcMar>
              <w:top w:type="dxa" w:w="80"/>
              <w:left w:type="dxa" w:w="100"/>
              <w:bottom w:type="dxa" w:w="80"/>
              <w:right w:type="dxa" w:w="100"/>
            </w:tcMar>
          </w:tcPr>
          <w:p>
            <w:r>
              <w:rPr>
                <w:b w:val="false"/>
                <w:bCs w:val="false"/>
                <w:color w:val="000000"/>
                <w:sz w:val="20"/>
                <w:szCs w:val="20"/>
              </w:rPr>
              <w:t xml:space="preserve">System-wide</w:t>
            </w:r>
          </w:p>
        </w:tc>
        <w:tc>
          <w:tcPr>
            <w:tcW w:type="dxa" w:w="4700"/>
            <w:tcMar>
              <w:top w:type="dxa" w:w="80"/>
              <w:left w:type="dxa" w:w="100"/>
              <w:bottom w:type="dxa" w:w="80"/>
              <w:right w:type="dxa" w:w="100"/>
            </w:tcMar>
          </w:tcPr>
          <w:p>
            <w:r>
              <w:rPr>
                <w:b w:val="false"/>
                <w:bCs w:val="false"/>
                <w:color w:val="000000"/>
                <w:sz w:val="20"/>
                <w:szCs w:val="20"/>
              </w:rPr>
              <w:t xml:space="preserve">Approves budget requests that require CFO sign-off (currently only over-limit Mobile Phone requests) and the Office 365 / Mobile Phone follow-on Approver stage is separate — see §10.3.</w:t>
            </w:r>
          </w:p>
        </w:tc>
      </w:tr>
    </w:tbl>
    <w:p>
      <w:pPr>
        <w:pBdr>
          <w:left w:val="single" w:color="10B981" w:sz="12" w:space="8"/>
        </w:pBdr>
        <w:spacing w:after="200" w:before="80"/>
        <w:ind w:left="360"/>
      </w:pPr>
      <w:r>
        <w:rPr>
          <w:i/>
          <w:iCs/>
          <w:color w:val="444444"/>
        </w:rPr>
        <w:t xml:space="preserve">Role assignment is managed by the Budget Officer in the Admin Console (§14.5) and is independent of a user's home department — someone can be granted a reviewing role for a department they don't personally belong to, which is how one person can approve on behalf of multiple departments.</w:t>
      </w:r>
    </w:p>
    <w:p>
      <w:pPr>
        <w:pStyle w:val="Heading1"/>
        <w:spacing w:after="200" w:before="400"/>
      </w:pPr>
      <w:r>
        <w:t xml:space="preserve">4. Organizational Model</w:t>
      </w:r>
    </w:p>
    <w:p>
      <w:pPr>
        <w:pStyle w:val="Heading2"/>
        <w:spacing w:after="150" w:before="300"/>
      </w:pPr>
      <w:r>
        <w:t xml:space="preserve">4.1 Departments</w:t>
      </w:r>
    </w:p>
    <w:p>
      <w:pPr>
        <w:spacing w:after="160" w:line="276"/>
      </w:pPr>
      <w:r>
        <w:t xml:space="preserve">Departments are typed as either Requesting or Centralized:</w:t>
      </w:r>
    </w:p>
    <w:p>
      <w:pPr>
        <w:pStyle w:val="ListParagraph"/>
        <w:numPr>
          <w:ilvl w:val="0"/>
          <w:numId w:val="2"/>
        </w:numPr>
        <w:spacing w:after="80"/>
      </w:pPr>
      <w:r>
        <w:t xml:space="preserve">A Requesting department originates budget requests. Every request's Originating Department is read-only and defaults from the Requestor's own login — it is never chosen manually.</w:t>
      </w:r>
    </w:p>
    <w:p>
      <w:pPr>
        <w:pStyle w:val="ListParagraph"/>
        <w:numPr>
          <w:ilvl w:val="0"/>
          <w:numId w:val="2"/>
        </w:numPr>
        <w:spacing w:after="80"/>
      </w:pPr>
      <w:r>
        <w:t xml:space="preserve">A Centralized department owns specific GL accounts / cost centers and reviews requests charged against them, regardless of which department originated the request. For example, a Sales request for "Cloud Internet Security" is originated by Sales but routes to IS &amp; IT for review and draws down IS &amp; IT's budget pool.</w:t>
      </w:r>
    </w:p>
    <w:p>
      <w:pPr>
        <w:spacing w:after="160" w:line="276"/>
      </w:pPr>
      <w:r>
        <w:t xml:space="preserve">The system also distinguishes a small, curated set of "core" centralized departments (Admin Services, IS &amp; IT, Human Resources, Corporate Marketing, Legal, Corporate Finance, Tax, OMD Operations) from roughly sixty additional departments of type Centralized that exist only because they were imported from the real employee directory for role- and department-tracking purposes. Only the core list is eligible to show Cap &amp; Pool figures on the Home dashboard and to use the Forecast feature — the rest have no forecast or cap/pool of their own.</w:t>
      </w:r>
    </w:p>
    <w:p>
      <w:pPr>
        <w:pStyle w:val="Heading2"/>
        <w:spacing w:after="150" w:before="300"/>
      </w:pPr>
      <w:r>
        <w:t xml:space="preserve">4.2 Companies (business units)</w:t>
      </w:r>
    </w:p>
    <w:p>
      <w:pPr>
        <w:spacing w:after="160" w:line="276"/>
      </w:pPr>
      <w:r>
        <w:t xml:space="preserve">Six "Company" records represent Ortigas Group legal entities / business units, used throughout expense line items, headcount, and manpower budgeting:</w:t>
      </w:r>
    </w:p>
    <w:p>
      <w:pPr>
        <w:pStyle w:val="ListParagraph"/>
        <w:numPr>
          <w:ilvl w:val="0"/>
          <w:numId w:val="2"/>
        </w:numPr>
        <w:spacing w:after="80"/>
      </w:pPr>
      <w:r>
        <w:t xml:space="preserve">OCC, OCLP, OLC — the three main entities (Ortigas &amp; Company, Ortigas &amp; Company Limited Partnership, Ortigas Land Corporation).</w:t>
      </w:r>
    </w:p>
    <w:p>
      <w:pPr>
        <w:pStyle w:val="ListParagraph"/>
        <w:numPr>
          <w:ilvl w:val="0"/>
          <w:numId w:val="2"/>
        </w:numPr>
        <w:spacing w:after="80"/>
      </w:pPr>
      <w:r>
        <w:t xml:space="preserve">OCLP Project, OLC Project — project-scoped variants of two of the above.</w:t>
      </w:r>
    </w:p>
    <w:p>
      <w:pPr>
        <w:pStyle w:val="ListParagraph"/>
        <w:numPr>
          <w:ilvl w:val="0"/>
          <w:numId w:val="2"/>
        </w:numPr>
        <w:spacing w:after="80"/>
      </w:pPr>
      <w:r>
        <w:t xml:space="preserve">Outsourced — outsourced/contracted headcount.</w:t>
      </w:r>
    </w:p>
    <w:p>
      <w:pPr>
        <w:pStyle w:val="Heading2"/>
        <w:spacing w:after="150" w:before="300"/>
      </w:pPr>
      <w:r>
        <w:t xml:space="preserve">4.3 Strategic Business Units (SBUs)</w:t>
      </w:r>
    </w:p>
    <w:p>
      <w:pPr>
        <w:spacing w:after="160" w:line="276"/>
      </w:pPr>
      <w:r>
        <w:t xml:space="preserve">Five SBUs — Residential, Malls, Offices, Estates, Leisure — are used to tag Direct Operating Expenses (DOE) requests and the Board-Approved Budget figures at Step 5. General &amp; Administrative Expenses (GAE) requests carry no SBU.</w:t>
      </w:r>
    </w:p>
    <w:p>
      <w:pPr>
        <w:pStyle w:val="Heading1"/>
        <w:spacing w:after="200" w:before="400"/>
      </w:pPr>
      <w:r>
        <w:t xml:space="preserve">5. Request Categories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500"/>
      </w:tblGrid>
      <w:tr>
        <w:trPr>
          <w:tblHeader/>
        </w:trPr>
        <w:tc>
          <w:tcPr>
            <w:tcW w:type="dxa" w:w="3200"/>
            <w:shd w:fill="10B981" w:color="auto" w:val="clear"/>
            <w:tcMar>
              <w:top w:type="dxa" w:w="80"/>
              <w:left w:type="dxa" w:w="100"/>
              <w:bottom w:type="dxa" w:w="80"/>
              <w:right w:type="dxa" w:w="100"/>
            </w:tcMar>
          </w:tcPr>
          <w:p>
            <w:r>
              <w:rPr>
                <w:b/>
                <w:bCs/>
                <w:color w:val="FFFFFF"/>
                <w:sz w:val="20"/>
                <w:szCs w:val="20"/>
              </w:rPr>
              <w:t xml:space="preserve">Category</w:t>
            </w:r>
          </w:p>
        </w:tc>
        <w:tc>
          <w:tcPr>
            <w:tcW w:type="dxa" w:w="1800"/>
            <w:shd w:fill="10B981" w:color="auto" w:val="clear"/>
            <w:tcMar>
              <w:top w:type="dxa" w:w="80"/>
              <w:left w:type="dxa" w:w="100"/>
              <w:bottom w:type="dxa" w:w="80"/>
              <w:right w:type="dxa" w:w="100"/>
            </w:tcMar>
          </w:tcPr>
          <w:p>
            <w:r>
              <w:rPr>
                <w:b/>
                <w:bCs/>
                <w:color w:val="FFFFFF"/>
                <w:sz w:val="20"/>
                <w:szCs w:val="20"/>
              </w:rPr>
              <w:t xml:space="preserve">Status</w:t>
            </w:r>
          </w:p>
        </w:tc>
        <w:tc>
          <w:tcPr>
            <w:tcW w:type="dxa" w:w="4500"/>
            <w:shd w:fill="10B981" w:color="auto" w:val="clear"/>
            <w:tcMar>
              <w:top w:type="dxa" w:w="80"/>
              <w:left w:type="dxa" w:w="100"/>
              <w:bottom w:type="dxa" w:w="80"/>
              <w:right w:type="dxa" w:w="100"/>
            </w:tcMar>
          </w:tcPr>
          <w:p>
            <w:r>
              <w:rPr>
                <w:b/>
                <w:bCs/>
                <w:color w:val="FFFFFF"/>
                <w:sz w:val="20"/>
                <w:szCs w:val="20"/>
              </w:rPr>
              <w:t xml:space="preserve">Notes</w:t>
            </w:r>
          </w:p>
        </w:tc>
      </w:tr>
      <w:tr>
        <w:tc>
          <w:tcPr>
            <w:tcW w:type="dxa" w:w="3200"/>
            <w:tcMar>
              <w:top w:type="dxa" w:w="80"/>
              <w:left w:type="dxa" w:w="100"/>
              <w:bottom w:type="dxa" w:w="80"/>
              <w:right w:type="dxa" w:w="100"/>
            </w:tcMar>
          </w:tcPr>
          <w:p>
            <w:r>
              <w:rPr>
                <w:b w:val="false"/>
                <w:bCs w:val="false"/>
                <w:color w:val="000000"/>
                <w:sz w:val="20"/>
                <w:szCs w:val="20"/>
              </w:rPr>
              <w:t xml:space="preserve">General &amp; Administrative Expenses (GAE)</w:t>
            </w:r>
          </w:p>
        </w:tc>
        <w:tc>
          <w:tcPr>
            <w:tcW w:type="dxa" w:w="1800"/>
            <w:tcMar>
              <w:top w:type="dxa" w:w="80"/>
              <w:left w:type="dxa" w:w="100"/>
              <w:bottom w:type="dxa" w:w="80"/>
              <w:right w:type="dxa" w:w="100"/>
            </w:tcMar>
          </w:tcPr>
          <w:p>
            <w:r>
              <w:rPr>
                <w:b w:val="false"/>
                <w:bCs w:val="false"/>
                <w:color w:val="000000"/>
                <w:sz w:val="20"/>
                <w:szCs w:val="20"/>
              </w:rPr>
              <w:t xml:space="preserve">Fully built</w:t>
            </w:r>
          </w:p>
        </w:tc>
        <w:tc>
          <w:tcPr>
            <w:tcW w:type="dxa" w:w="4500"/>
            <w:tcMar>
              <w:top w:type="dxa" w:w="80"/>
              <w:left w:type="dxa" w:w="100"/>
              <w:bottom w:type="dxa" w:w="80"/>
              <w:right w:type="dxa" w:w="100"/>
            </w:tcMar>
          </w:tcPr>
          <w:p>
            <w:r>
              <w:rPr>
                <w:b w:val="false"/>
                <w:bCs w:val="false"/>
                <w:color w:val="000000"/>
                <w:sz w:val="20"/>
                <w:szCs w:val="20"/>
              </w:rPr>
              <w:t xml:space="preserve">The original request form. No SBU.</w:t>
            </w:r>
          </w:p>
        </w:tc>
      </w:tr>
      <w:tr>
        <w:tc>
          <w:tcPr>
            <w:tcW w:type="dxa" w:w="3200"/>
            <w:tcMar>
              <w:top w:type="dxa" w:w="80"/>
              <w:left w:type="dxa" w:w="100"/>
              <w:bottom w:type="dxa" w:w="80"/>
              <w:right w:type="dxa" w:w="100"/>
            </w:tcMar>
          </w:tcPr>
          <w:p>
            <w:r>
              <w:rPr>
                <w:b w:val="false"/>
                <w:bCs w:val="false"/>
                <w:color w:val="000000"/>
                <w:sz w:val="20"/>
                <w:szCs w:val="20"/>
              </w:rPr>
              <w:t xml:space="preserve">Direct Operating Expenses (DOE)</w:t>
            </w:r>
          </w:p>
        </w:tc>
        <w:tc>
          <w:tcPr>
            <w:tcW w:type="dxa" w:w="1800"/>
            <w:tcMar>
              <w:top w:type="dxa" w:w="80"/>
              <w:left w:type="dxa" w:w="100"/>
              <w:bottom w:type="dxa" w:w="80"/>
              <w:right w:type="dxa" w:w="100"/>
            </w:tcMar>
          </w:tcPr>
          <w:p>
            <w:r>
              <w:rPr>
                <w:b w:val="false"/>
                <w:bCs w:val="false"/>
                <w:color w:val="000000"/>
                <w:sz w:val="20"/>
                <w:szCs w:val="20"/>
              </w:rPr>
              <w:t xml:space="preserve">Fully built</w:t>
            </w:r>
          </w:p>
        </w:tc>
        <w:tc>
          <w:tcPr>
            <w:tcW w:type="dxa" w:w="4500"/>
            <w:tcMar>
              <w:top w:type="dxa" w:w="80"/>
              <w:left w:type="dxa" w:w="100"/>
              <w:bottom w:type="dxa" w:w="80"/>
              <w:right w:type="dxa" w:w="100"/>
            </w:tcMar>
          </w:tcPr>
          <w:p>
            <w:r>
              <w:rPr>
                <w:b w:val="false"/>
                <w:bCs w:val="false"/>
                <w:color w:val="000000"/>
                <w:sz w:val="20"/>
                <w:szCs w:val="20"/>
              </w:rPr>
              <w:t xml:space="preserve">Identical form to GAE, but requires selecting one of the five SBUs.</w:t>
            </w:r>
          </w:p>
        </w:tc>
      </w:tr>
      <w:tr>
        <w:tc>
          <w:tcPr>
            <w:tcW w:type="dxa" w:w="3200"/>
            <w:tcMar>
              <w:top w:type="dxa" w:w="80"/>
              <w:left w:type="dxa" w:w="100"/>
              <w:bottom w:type="dxa" w:w="80"/>
              <w:right w:type="dxa" w:w="100"/>
            </w:tcMar>
          </w:tcPr>
          <w:p>
            <w:r>
              <w:rPr>
                <w:b w:val="false"/>
                <w:bCs w:val="false"/>
                <w:color w:val="000000"/>
                <w:sz w:val="20"/>
                <w:szCs w:val="20"/>
              </w:rPr>
              <w:t xml:space="preserve">Additional Manpower</w:t>
            </w:r>
          </w:p>
        </w:tc>
        <w:tc>
          <w:tcPr>
            <w:tcW w:type="dxa" w:w="1800"/>
            <w:tcMar>
              <w:top w:type="dxa" w:w="80"/>
              <w:left w:type="dxa" w:w="100"/>
              <w:bottom w:type="dxa" w:w="80"/>
              <w:right w:type="dxa" w:w="100"/>
            </w:tcMar>
          </w:tcPr>
          <w:p>
            <w:r>
              <w:rPr>
                <w:b w:val="false"/>
                <w:bCs w:val="false"/>
                <w:color w:val="000000"/>
                <w:sz w:val="20"/>
                <w:szCs w:val="20"/>
              </w:rPr>
              <w:t xml:space="preserve">Fully built</w:t>
            </w:r>
          </w:p>
        </w:tc>
        <w:tc>
          <w:tcPr>
            <w:tcW w:type="dxa" w:w="4500"/>
            <w:tcMar>
              <w:top w:type="dxa" w:w="80"/>
              <w:left w:type="dxa" w:w="100"/>
              <w:bottom w:type="dxa" w:w="80"/>
              <w:right w:type="dxa" w:w="100"/>
            </w:tcMar>
          </w:tcPr>
          <w:p>
            <w:r>
              <w:rPr>
                <w:b w:val="false"/>
                <w:bCs w:val="false"/>
                <w:color w:val="000000"/>
                <w:sz w:val="20"/>
                <w:szCs w:val="20"/>
              </w:rPr>
              <w:t xml:space="preserve">A separate mini-workflow — see §10.</w:t>
            </w:r>
          </w:p>
        </w:tc>
      </w:tr>
      <w:tr>
        <w:tc>
          <w:tcPr>
            <w:tcW w:type="dxa" w:w="3200"/>
            <w:tcMar>
              <w:top w:type="dxa" w:w="80"/>
              <w:left w:type="dxa" w:w="100"/>
              <w:bottom w:type="dxa" w:w="80"/>
              <w:right w:type="dxa" w:w="100"/>
            </w:tcMar>
          </w:tcPr>
          <w:p>
            <w:r>
              <w:rPr>
                <w:b w:val="false"/>
                <w:bCs w:val="false"/>
                <w:color w:val="000000"/>
                <w:sz w:val="20"/>
                <w:szCs w:val="20"/>
              </w:rPr>
              <w:t xml:space="preserve">Non-Project Capex (NPC)</w:t>
            </w:r>
          </w:p>
        </w:tc>
        <w:tc>
          <w:tcPr>
            <w:tcW w:type="dxa" w:w="1800"/>
            <w:tcMar>
              <w:top w:type="dxa" w:w="80"/>
              <w:left w:type="dxa" w:w="100"/>
              <w:bottom w:type="dxa" w:w="80"/>
              <w:right w:type="dxa" w:w="100"/>
            </w:tcMar>
          </w:tcPr>
          <w:p>
            <w:r>
              <w:rPr>
                <w:b w:val="false"/>
                <w:bCs w:val="false"/>
                <w:color w:val="000000"/>
                <w:sz w:val="20"/>
                <w:szCs w:val="20"/>
              </w:rPr>
              <w:t xml:space="preserve">Placeholder only</w:t>
            </w:r>
          </w:p>
        </w:tc>
        <w:tc>
          <w:tcPr>
            <w:tcW w:type="dxa" w:w="4500"/>
            <w:tcMar>
              <w:top w:type="dxa" w:w="80"/>
              <w:left w:type="dxa" w:w="100"/>
              <w:bottom w:type="dxa" w:w="80"/>
              <w:right w:type="dxa" w:w="100"/>
            </w:tcMar>
          </w:tcPr>
          <w:p>
            <w:r>
              <w:rPr>
                <w:b w:val="false"/>
                <w:bCs w:val="false"/>
                <w:color w:val="000000"/>
                <w:sz w:val="20"/>
                <w:szCs w:val="20"/>
              </w:rPr>
              <w:t xml:space="preserve">Menu entry exists; shows a "coming soon" message with a disabled SBU selector. No submission form or workflow is implemented.</w:t>
            </w:r>
          </w:p>
        </w:tc>
      </w:tr>
      <w:tr>
        <w:tc>
          <w:tcPr>
            <w:tcW w:type="dxa" w:w="3200"/>
            <w:tcMar>
              <w:top w:type="dxa" w:w="80"/>
              <w:left w:type="dxa" w:w="100"/>
              <w:bottom w:type="dxa" w:w="80"/>
              <w:right w:type="dxa" w:w="100"/>
            </w:tcMar>
          </w:tcPr>
          <w:p>
            <w:r>
              <w:rPr>
                <w:b w:val="false"/>
                <w:bCs w:val="false"/>
                <w:color w:val="000000"/>
                <w:sz w:val="20"/>
                <w:szCs w:val="20"/>
              </w:rPr>
              <w:t xml:space="preserve">Revenue</w:t>
            </w:r>
          </w:p>
        </w:tc>
        <w:tc>
          <w:tcPr>
            <w:tcW w:type="dxa" w:w="1800"/>
            <w:tcMar>
              <w:top w:type="dxa" w:w="80"/>
              <w:left w:type="dxa" w:w="100"/>
              <w:bottom w:type="dxa" w:w="80"/>
              <w:right w:type="dxa" w:w="100"/>
            </w:tcMar>
          </w:tcPr>
          <w:p>
            <w:r>
              <w:rPr>
                <w:b w:val="false"/>
                <w:bCs w:val="false"/>
                <w:color w:val="000000"/>
                <w:sz w:val="20"/>
                <w:szCs w:val="20"/>
              </w:rPr>
              <w:t xml:space="preserve">Placeholder only</w:t>
            </w:r>
          </w:p>
        </w:tc>
        <w:tc>
          <w:tcPr>
            <w:tcW w:type="dxa" w:w="4500"/>
            <w:tcMar>
              <w:top w:type="dxa" w:w="80"/>
              <w:left w:type="dxa" w:w="100"/>
              <w:bottom w:type="dxa" w:w="80"/>
              <w:right w:type="dxa" w:w="100"/>
            </w:tcMar>
          </w:tcPr>
          <w:p>
            <w:r>
              <w:rPr>
                <w:b w:val="false"/>
                <w:bCs w:val="false"/>
                <w:color w:val="000000"/>
                <w:sz w:val="20"/>
                <w:szCs w:val="20"/>
              </w:rPr>
              <w:t xml:space="preserve">Same as NPC — reserved menu entry, not implemented.</w:t>
            </w:r>
          </w:p>
        </w:tc>
      </w:tr>
    </w:tbl>
    <w:p>
      <w:pPr>
        <w:pStyle w:val="Heading1"/>
        <w:spacing w:after="200" w:before="400"/>
      </w:pPr>
      <w:r>
        <w:t xml:space="preserve">6. Expense Line Item Catalog</w:t>
      </w:r>
    </w:p>
    <w:p>
      <w:pPr>
        <w:spacing w:after="160" w:line="276"/>
      </w:pPr>
      <w:r>
        <w:t xml:space="preserve">The catalog is the master list of roughly 230 standard expense line items a Requestor can choose from when creating a Standard/DOE request. Each catalog entry defines:</w:t>
      </w:r>
    </w:p>
    <w:p>
      <w:pPr>
        <w:pStyle w:val="ListParagraph"/>
        <w:numPr>
          <w:ilvl w:val="0"/>
          <w:numId w:val="2"/>
        </w:numPr>
        <w:spacing w:after="80"/>
      </w:pPr>
      <w:r>
        <w:t xml:space="preserve">Expense Category and Expense Line Item name (organized as a two-level picker — category first, then item).</w:t>
      </w:r>
    </w:p>
    <w:p>
      <w:pPr>
        <w:pStyle w:val="ListParagraph"/>
        <w:numPr>
          <w:ilvl w:val="0"/>
          <w:numId w:val="2"/>
        </w:numPr>
        <w:spacing w:after="80"/>
      </w:pPr>
      <w:r>
        <w:t xml:space="preserve">Owning (centralized) department — determines who reviews requests against this item and whose budget pool it draws from.</w:t>
      </w:r>
    </w:p>
    <w:p>
      <w:pPr>
        <w:pStyle w:val="ListParagraph"/>
        <w:numPr>
          <w:ilvl w:val="0"/>
          <w:numId w:val="2"/>
        </w:numPr>
        <w:spacing w:after="80"/>
      </w:pPr>
      <w:r>
        <w:t xml:space="preserve">GL Account and Cost Center — the accounting codes the request will ultimately post to.</w:t>
      </w:r>
    </w:p>
    <w:p>
      <w:pPr>
        <w:pStyle w:val="ListParagraph"/>
        <w:numPr>
          <w:ilvl w:val="0"/>
          <w:numId w:val="2"/>
        </w:numPr>
        <w:spacing w:after="80"/>
      </w:pPr>
      <w:r>
        <w:t xml:space="preserve">An optional Company — set only for items that are company-specific GL/CC variants of an otherwise identical line item (mostly payroll-adjacent items); company-agnostic items leave this blank.</w:t>
      </w:r>
    </w:p>
    <w:p>
      <w:pPr>
        <w:pStyle w:val="ListParagraph"/>
        <w:numPr>
          <w:ilvl w:val="0"/>
          <w:numId w:val="2"/>
        </w:numPr>
        <w:spacing w:after="80"/>
      </w:pPr>
      <w:r>
        <w:t xml:space="preserve">A free-text Description and Sample Charges (e.g., "plates, air fryer") shown to the Requestor for guidance.</w:t>
      </w:r>
    </w:p>
    <w:p>
      <w:pPr>
        <w:pStyle w:val="ListParagraph"/>
        <w:numPr>
          <w:ilvl w:val="0"/>
          <w:numId w:val="2"/>
        </w:numPr>
        <w:spacing w:after="80"/>
      </w:pPr>
      <w:r>
        <w:t xml:space="preserve">An optional Spend Grid Computation formula and Spend Grid Frequency (e.g., "Headcount × Rate per Month (w/ OT)", "Monthly") — when present, the Monthly Spend Grid on the request form is computed automatically from the item's Additional Fields and cannot be hand-edited (see §7.3).</w:t>
      </w:r>
    </w:p>
    <w:p>
      <w:pPr>
        <w:pStyle w:val="ListParagraph"/>
        <w:numPr>
          <w:ilvl w:val="0"/>
          <w:numId w:val="2"/>
        </w:numPr>
        <w:spacing w:after="80"/>
      </w:pPr>
      <w:r>
        <w:t xml:space="preserve">Zero or more configurable Additional Fields (text, number, or dropdown — dropdowns can be single- or multi-select), each optionally required, used to capture information the request needs beyond the standard fields (e.g., Rank, Plan, Employee Name, Month Start).</w:t>
      </w:r>
    </w:p>
    <w:p>
      <w:pPr>
        <w:pStyle w:val="ListParagraph"/>
        <w:numPr>
          <w:ilvl w:val="0"/>
          <w:numId w:val="2"/>
        </w:numPr>
        <w:spacing w:after="80"/>
      </w:pPr>
      <w:r>
        <w:t xml:space="preserve">An optional visibility restriction to a single department — when set, only Requestors from that department can select the item on the New Request picker (the Budget department is exempt and always sees everything, and the Admin Console's catalog table always shows every row regardless, since that is a management view rather than the picker).</w:t>
      </w:r>
    </w:p>
    <w:p>
      <w:pPr>
        <w:pStyle w:val="ListParagraph"/>
        <w:numPr>
          <w:ilvl w:val="0"/>
          <w:numId w:val="2"/>
        </w:numPr>
        <w:spacing w:after="80"/>
      </w:pPr>
      <w:r>
        <w:t xml:space="preserve">A flag marking the item as requiring the Mobile Phone rank-based policy sub-form (see §11).</w:t>
      </w:r>
    </w:p>
    <w:p>
      <w:pPr>
        <w:pStyle w:val="Heading2"/>
        <w:spacing w:after="150" w:before="300"/>
      </w:pPr>
      <w:r>
        <w:t xml:space="preserve">6.1 Custom / unlisted expenses</w:t>
      </w:r>
    </w:p>
    <w:p>
      <w:pPr>
        <w:spacing w:after="160" w:line="276"/>
      </w:pPr>
      <w:r>
        <w:t xml:space="preserve">A Requestor who cannot find a matching catalog item can check "This expense isn't in the standard list" and type a free-text description instead. This creates a catalog row with placeholder GL Account/Cost Center ("PENDING") and a status of Pending Refinement, parked under the Requestor's own department. The Budget Officer later assigns it a real name, GL Account, and Cost Center from the Admin Console (§14.1), at which point it becomes a normal Standard catalog item.</w:t>
      </w:r>
    </w:p>
    <w:p>
      <w:pPr>
        <w:pStyle w:val="Heading2"/>
        <w:spacing w:after="150" w:before="300"/>
      </w:pPr>
      <w:r>
        <w:t xml:space="preserve">6.2 Catalog maintenance</w:t>
      </w:r>
    </w:p>
    <w:p>
      <w:pPr>
        <w:spacing w:after="160" w:line="276"/>
      </w:pPr>
      <w:r>
        <w:t xml:space="preserve">The Budget Officer can add, edit, or remove individual catalog items from the Admin Console, or replace the entire standard catalog in one operation by uploading a spreadsheet ("Upload Template"). The upload is an override: every row in the file is created or updated, and any existing standard item missing from the file is removed — unless it is still referenced by an existing budget request, in which case the system tries to re-map those requests onto a same-name/same-company row elsewhere in the new file (e.g., if an item moved to a different category) and only falls back to leaving the old row in place if no match is found. Both outcomes are reported back to the Budget Officer after upload.</w:t>
      </w:r>
    </w:p>
    <w:p>
      <w:pPr>
        <w:pStyle w:val="Heading1"/>
        <w:spacing w:after="200" w:before="400"/>
      </w:pPr>
      <w:r>
        <w:t xml:space="preserve">7. Creating a Standard / DOE Request</w:t>
      </w:r>
    </w:p>
    <w:p>
      <w:pPr>
        <w:spacing w:after="160" w:line="276"/>
      </w:pPr>
      <w:r>
        <w:t xml:space="preserve">The New Request → Standard (or Direct Operating Expenses) form walks a Requestor through:</w:t>
      </w:r>
    </w:p>
    <w:p>
      <w:pPr>
        <w:pStyle w:val="Heading2"/>
        <w:spacing w:after="150" w:before="300"/>
      </w:pPr>
      <w:r>
        <w:t xml:space="preserve">7.1 Header fields</w:t>
      </w:r>
    </w:p>
    <w:p>
      <w:pPr>
        <w:pStyle w:val="ListParagraph"/>
        <w:numPr>
          <w:ilvl w:val="0"/>
          <w:numId w:val="2"/>
        </w:numPr>
        <w:spacing w:after="80"/>
      </w:pPr>
      <w:r>
        <w:t xml:space="preserve">Originating Department — read-only, defaults to the Requestor's own department.</w:t>
      </w:r>
    </w:p>
    <w:p>
      <w:pPr>
        <w:pStyle w:val="ListParagraph"/>
        <w:numPr>
          <w:ilvl w:val="0"/>
          <w:numId w:val="2"/>
        </w:numPr>
        <w:spacing w:after="80"/>
      </w:pPr>
      <w:r>
        <w:t xml:space="preserve">Target Calendar Year — fixed to the current planning year (2027).</w:t>
      </w:r>
    </w:p>
    <w:p>
      <w:pPr>
        <w:pStyle w:val="ListParagraph"/>
        <w:numPr>
          <w:ilvl w:val="0"/>
          <w:numId w:val="2"/>
        </w:numPr>
        <w:spacing w:after="80"/>
      </w:pPr>
      <w:r>
        <w:t xml:space="preserve">Strategic Business Unit — required only for DOE requests.</w:t>
      </w:r>
    </w:p>
    <w:p>
      <w:pPr>
        <w:pStyle w:val="Heading2"/>
        <w:spacing w:after="150" w:before="300"/>
      </w:pPr>
      <w:r>
        <w:t xml:space="preserve">7.2 Expense selection</w:t>
      </w:r>
    </w:p>
    <w:p>
      <w:pPr>
        <w:spacing w:after="160" w:line="276"/>
      </w:pPr>
      <w:r>
        <w:t xml:space="preserve">The Requestor searches by Expense Category, then Expense Line Item, from the catalog (filtered to items visible to their department per §6), or opts into a custom/unlisted expense (§6.1).</w:t>
      </w:r>
    </w:p>
    <w:p>
      <w:pPr>
        <w:pStyle w:val="Heading2"/>
        <w:spacing w:after="150" w:before="300"/>
      </w:pPr>
      <w:r>
        <w:t xml:space="preserve">7.3 Monthly Spend Grid</w:t>
      </w:r>
    </w:p>
    <w:p>
      <w:pPr>
        <w:spacing w:after="160" w:line="276"/>
      </w:pPr>
      <w:r>
        <w:t xml:space="preserve">A twelve-month (January–December) amount grid drives the request's Proposed Amount (the sum of all twelve months). Depending on the selected item, the grid behaves in one of four ways:</w:t>
      </w:r>
    </w:p>
    <w:p>
      <w:pPr>
        <w:pStyle w:val="ListParagraph"/>
        <w:numPr>
          <w:ilvl w:val="0"/>
          <w:numId w:val="2"/>
        </w:numPr>
        <w:spacing w:after="80"/>
      </w:pPr>
      <w:r>
        <w:t xml:space="preserve">Manual entry — the default. The Requestor can type each month individually, paste a row of twelve values copied from Excel or Word directly into any box, type one amount and use "Fill all months" to apply it to every month, or "Clear all".</w:t>
      </w:r>
    </w:p>
    <w:p>
      <w:pPr>
        <w:pStyle w:val="ListParagraph"/>
        <w:numPr>
          <w:ilvl w:val="0"/>
          <w:numId w:val="2"/>
        </w:numPr>
        <w:spacing w:after="80"/>
      </w:pPr>
      <w:r>
        <w:t xml:space="preserve">Formula-computed and locked — when the item has a Spend Grid Computation formula, the grid is derived automatically from the item's Additional Fields and cannot be typed into directly. If the item also has a "User to select which month" frequency, the computed total is placed only in the month(s) the Requestor picks (multiple months can be selected) rather than spread automatically.</w:t>
      </w:r>
    </w:p>
    <w:p>
      <w:pPr>
        <w:pStyle w:val="ListParagraph"/>
        <w:numPr>
          <w:ilvl w:val="0"/>
          <w:numId w:val="2"/>
        </w:numPr>
        <w:spacing w:after="80"/>
      </w:pPr>
      <w:r>
        <w:t xml:space="preserve">Headcount &amp; Rate table — for items whose Additional Fields are a Headcount/Rate pair (e.g., Driver, Messenger, Operator, Drivers' Meal Allowance), a repeatable table lets the Requestor model several hiring batches at once (e.g., 3 headcount starting January, 2 more starting July), each row contributing its own computed monthly amount from its own start month through December.</w:t>
      </w:r>
    </w:p>
    <w:p>
      <w:pPr>
        <w:pStyle w:val="ListParagraph"/>
        <w:numPr>
          <w:ilvl w:val="0"/>
          <w:numId w:val="2"/>
        </w:numPr>
        <w:spacing w:after="80"/>
      </w:pPr>
      <w:r>
        <w:t xml:space="preserve">Mobile Phone rank table — for the Mobile Phone line item specifically: the Requestor picks their Rank and a Month Start; the amount is set automatically to that rank's policy budget limit (§11) and repeats from the chosen month through December. It cannot be edited.</w:t>
      </w:r>
    </w:p>
    <w:p>
      <w:pPr>
        <w:pStyle w:val="Heading2"/>
        <w:spacing w:after="150" w:before="300"/>
      </w:pPr>
      <w:r>
        <w:t xml:space="preserve">7.4 Additional Fields</w:t>
      </w:r>
    </w:p>
    <w:p>
      <w:pPr>
        <w:spacing w:after="160" w:line="276"/>
      </w:pPr>
      <w:r>
        <w:t xml:space="preserve">Any Additional Fields configured on the selected catalog item render above the Business Justification. Two labels are special-cased: an "Employee Name" field renders as a searchable picker drawing from both real employees and pending (not-yet-hired) Additional Headcount Requests — identified by their generated reference code — so a phone or account can be budgeted for an incoming hire before they formally exist in the roster; a paired "Department" field is then read-only, auto-derived from whichever employee was picked.</w:t>
      </w:r>
    </w:p>
    <w:p>
      <w:pPr>
        <w:pStyle w:val="Heading2"/>
        <w:spacing w:after="150" w:before="300"/>
      </w:pPr>
      <w:r>
        <w:t xml:space="preserve">7.5 Business Justification and attachments</w:t>
      </w:r>
    </w:p>
    <w:p>
      <w:pPr>
        <w:spacing w:after="160" w:line="276"/>
      </w:pPr>
      <w:r>
        <w:t xml:space="preserve">A free-text Business Justification is mandatory to submit. If the Proposed Amount exceeds the Documentation Threshold (an amount the Budget Officer configures — see §14.2), at least one supporting attachment is also mandatory before the request can be submitted.</w:t>
      </w:r>
    </w:p>
    <w:p>
      <w:pPr>
        <w:pStyle w:val="Heading2"/>
        <w:spacing w:after="150" w:before="300"/>
      </w:pPr>
      <w:r>
        <w:t xml:space="preserve">7.6 Draft, submit, cancel, edit</w:t>
      </w:r>
    </w:p>
    <w:p>
      <w:pPr>
        <w:spacing w:after="160" w:line="276"/>
      </w:pPr>
      <w:r>
        <w:t xml:space="preserve">Saving creates a Draft. From the draft confirmation screen the Requestor can attach files, then Submit for Approval. Submission validates: Proposed Amount greater than zero, a non-blank Business Justification, every required Additional Field filled in, and the attachment rule above; it also determines whether the request will require CFO approval (over-limit Mobile Phone requests — §11.2) before it enters the workflow.</w:t>
      </w:r>
    </w:p>
    <w:p>
      <w:pPr>
        <w:spacing w:after="160" w:line="276"/>
      </w:pPr>
      <w:r>
        <w:t xml:space="preserve">A Requestor may edit their own request only while it is still a Draft, and may Cancel it any time before the Department Head has acted (i.e., while Draft or at Department Head Review) — once a Department Head has approved it, it can no longer be withdrawn.</w:t>
      </w:r>
    </w:p>
    <w:p>
      <w:pPr>
        <w:pStyle w:val="Heading1"/>
        <w:spacing w:after="200" w:before="400"/>
      </w:pPr>
      <w:r>
        <w:t xml:space="preserve">8. Bulk Upload</w:t>
      </w:r>
    </w:p>
    <w:p>
      <w:pPr>
        <w:spacing w:after="160" w:line="276"/>
      </w:pPr>
      <w:r>
        <w:t xml:space="preserve">As an alternative to the form, a Requestor can download a pre-built Excel template (one row per request, a dropdown of valid standard catalog names driven by a hidden reference sheet) and upload it back with many requests at once.</w:t>
      </w:r>
    </w:p>
    <w:p>
      <w:pPr>
        <w:spacing w:after="160" w:line="276"/>
      </w:pPr>
      <w:r>
        <w:t xml:space="preserve">Each row is validated independently:</w:t>
      </w:r>
    </w:p>
    <w:p>
      <w:pPr>
        <w:pStyle w:val="ListParagraph"/>
        <w:numPr>
          <w:ilvl w:val="0"/>
          <w:numId w:val="2"/>
        </w:numPr>
        <w:spacing w:after="80"/>
      </w:pPr>
      <w:r>
        <w:t xml:space="preserve">The Expense Line Item name must exactly match a standard catalog item.</w:t>
      </w:r>
    </w:p>
    <w:p>
      <w:pPr>
        <w:pStyle w:val="ListParagraph"/>
        <w:numPr>
          <w:ilvl w:val="0"/>
          <w:numId w:val="2"/>
        </w:numPr>
        <w:spacing w:after="80"/>
      </w:pPr>
      <w:r>
        <w:t xml:space="preserve">All twelve monthly amounts must be non-negative numbers, and their sum must be greater than zero.</w:t>
      </w:r>
    </w:p>
    <w:p>
      <w:pPr>
        <w:pStyle w:val="ListParagraph"/>
        <w:numPr>
          <w:ilvl w:val="0"/>
          <w:numId w:val="2"/>
        </w:numPr>
        <w:spacing w:after="80"/>
      </w:pPr>
      <w:r>
        <w:t xml:space="preserve">Business Justification is mandatory.</w:t>
      </w:r>
    </w:p>
    <w:p>
      <w:pPr>
        <w:pStyle w:val="ListParagraph"/>
        <w:numPr>
          <w:ilvl w:val="0"/>
          <w:numId w:val="2"/>
        </w:numPr>
        <w:spacing w:after="80"/>
      </w:pPr>
      <w:r>
        <w:t xml:space="preserve">An optional JSON column supplies Additional Field values; every field the matched catalog item marks required must be present.</w:t>
      </w:r>
    </w:p>
    <w:p>
      <w:pPr>
        <w:spacing w:after="160" w:line="276"/>
      </w:pPr>
      <w:r>
        <w:t xml:space="preserve">Valid rows are created and the system attempts to submit each one automatically; a row that fails only because it needs a supporting attachment (which a spreadsheet cannot carry) is left as a Draft for the Requestor to finish manually rather than failing the whole row. Invalid rows are rejected individually with a row-specific error message — they do not block the rest of the batch. The batch as a whole is reported back as Completed, Completed with Errors, or Failed.</w:t>
      </w:r>
    </w:p>
    <w:p>
      <w:pPr>
        <w:pStyle w:val="Heading1"/>
        <w:spacing w:after="200" w:before="400"/>
      </w:pPr>
      <w:r>
        <w:t xml:space="preserve">9. Standard / DOE Request Approval Workflow</w:t>
      </w:r>
    </w:p>
    <w:p>
      <w:pPr>
        <w:spacing w:after="160" w:line="276"/>
      </w:pPr>
      <w:r>
        <w:t xml:space="preserve">Once submitted, a request moves through a sequence of review stages. Every decision (Approve / Reject / Return) is permanently logged with the decider, an optional comment, and a timestamp, and is visible on the request's Review History.</w:t>
      </w:r>
    </w:p>
    <w:p>
      <w:pPr>
        <w:pStyle w:val="Heading2"/>
        <w:spacing w:after="150" w:before="300"/>
      </w:pPr>
      <w:r>
        <w:t xml:space="preserve">9.1 Stage sequence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600"/>
        <w:gridCol w:w="2100"/>
        <w:gridCol w:w="1700"/>
      </w:tblGrid>
      <w:tr>
        <w:trPr>
          <w:tblHeader/>
        </w:trPr>
        <w:tc>
          <w:tcPr>
            <w:tcW w:type="dxa" w:w="500"/>
            <w:shd w:fill="10B981" w:color="auto" w:val="clear"/>
            <w:tcMar>
              <w:top w:type="dxa" w:w="80"/>
              <w:left w:type="dxa" w:w="100"/>
              <w:bottom w:type="dxa" w:w="80"/>
              <w:right w:type="dxa" w:w="100"/>
            </w:tcMar>
          </w:tcPr>
          <w:p>
            <w:r>
              <w:rPr>
                <w:b/>
                <w:bCs/>
                <w:color w:val="FFFFFF"/>
                <w:sz w:val="20"/>
                <w:szCs w:val="20"/>
              </w:rPr>
              <w:t xml:space="preserve">#</w:t>
            </w:r>
          </w:p>
        </w:tc>
        <w:tc>
          <w:tcPr>
            <w:tcW w:type="dxa" w:w="2600"/>
            <w:shd w:fill="10B981" w:color="auto" w:val="clear"/>
            <w:tcMar>
              <w:top w:type="dxa" w:w="80"/>
              <w:left w:type="dxa" w:w="100"/>
              <w:bottom w:type="dxa" w:w="80"/>
              <w:right w:type="dxa" w:w="100"/>
            </w:tcMar>
          </w:tcPr>
          <w:p>
            <w:r>
              <w:rPr>
                <w:b/>
                <w:bCs/>
                <w:color w:val="FFFFFF"/>
                <w:sz w:val="20"/>
                <w:szCs w:val="20"/>
              </w:rPr>
              <w:t xml:space="preserve">Stage</w:t>
            </w:r>
          </w:p>
        </w:tc>
        <w:tc>
          <w:tcPr>
            <w:tcW w:type="dxa" w:w="2600"/>
            <w:shd w:fill="10B981" w:color="auto" w:val="clear"/>
            <w:tcMar>
              <w:top w:type="dxa" w:w="80"/>
              <w:left w:type="dxa" w:w="100"/>
              <w:bottom w:type="dxa" w:w="80"/>
              <w:right w:type="dxa" w:w="100"/>
            </w:tcMar>
          </w:tcPr>
          <w:p>
            <w:r>
              <w:rPr>
                <w:b/>
                <w:bCs/>
                <w:color w:val="FFFFFF"/>
                <w:sz w:val="20"/>
                <w:szCs w:val="20"/>
              </w:rPr>
              <w:t xml:space="preserve">Decided by</w:t>
            </w:r>
          </w:p>
        </w:tc>
        <w:tc>
          <w:tcPr>
            <w:tcW w:type="dxa" w:w="2100"/>
            <w:shd w:fill="10B981" w:color="auto" w:val="clear"/>
            <w:tcMar>
              <w:top w:type="dxa" w:w="80"/>
              <w:left w:type="dxa" w:w="100"/>
              <w:bottom w:type="dxa" w:w="80"/>
              <w:right w:type="dxa" w:w="100"/>
            </w:tcMar>
          </w:tcPr>
          <w:p>
            <w:r>
              <w:rPr>
                <w:b/>
                <w:bCs/>
                <w:color w:val="FFFFFF"/>
                <w:sz w:val="20"/>
                <w:szCs w:val="20"/>
              </w:rPr>
              <w:t xml:space="preserve">On Approve</w:t>
            </w:r>
          </w:p>
        </w:tc>
        <w:tc>
          <w:tcPr>
            <w:tcW w:type="dxa" w:w="1700"/>
            <w:shd w:fill="10B981" w:color="auto" w:val="clear"/>
            <w:tcMar>
              <w:top w:type="dxa" w:w="80"/>
              <w:left w:type="dxa" w:w="100"/>
              <w:bottom w:type="dxa" w:w="80"/>
              <w:right w:type="dxa" w:w="100"/>
            </w:tcMar>
          </w:tcPr>
          <w:p>
            <w:r>
              <w:rPr>
                <w:b/>
                <w:bCs/>
                <w:color w:val="FFFFFF"/>
                <w:sz w:val="20"/>
                <w:szCs w:val="20"/>
              </w:rPr>
              <w:t xml:space="preserve">On Return / Reject</w:t>
            </w:r>
          </w:p>
        </w:tc>
      </w:tr>
      <w:tr>
        <w:tc>
          <w:tcPr>
            <w:tcW w:type="dxa" w:w="500"/>
            <w:tcMar>
              <w:top w:type="dxa" w:w="80"/>
              <w:left w:type="dxa" w:w="100"/>
              <w:bottom w:type="dxa" w:w="80"/>
              <w:right w:type="dxa" w:w="100"/>
            </w:tcMar>
          </w:tcPr>
          <w:p>
            <w:r>
              <w:rPr>
                <w:b w:val="false"/>
                <w:bCs w:val="false"/>
                <w:color w:val="000000"/>
                <w:sz w:val="20"/>
                <w:szCs w:val="20"/>
              </w:rPr>
              <w:t xml:space="preserve">1</w:t>
            </w:r>
          </w:p>
        </w:tc>
        <w:tc>
          <w:tcPr>
            <w:tcW w:type="dxa" w:w="2600"/>
            <w:tcMar>
              <w:top w:type="dxa" w:w="80"/>
              <w:left w:type="dxa" w:w="100"/>
              <w:bottom w:type="dxa" w:w="80"/>
              <w:right w:type="dxa" w:w="100"/>
            </w:tcMar>
          </w:tcPr>
          <w:p>
            <w:r>
              <w:rPr>
                <w:b w:val="false"/>
                <w:bCs w:val="false"/>
                <w:color w:val="000000"/>
                <w:sz w:val="20"/>
                <w:szCs w:val="20"/>
              </w:rPr>
              <w:t xml:space="preserve">Draft</w:t>
            </w:r>
          </w:p>
        </w:tc>
        <w:tc>
          <w:tcPr>
            <w:tcW w:type="dxa" w:w="2600"/>
            <w:tcMar>
              <w:top w:type="dxa" w:w="80"/>
              <w:left w:type="dxa" w:w="100"/>
              <w:bottom w:type="dxa" w:w="80"/>
              <w:right w:type="dxa" w:w="100"/>
            </w:tcMar>
          </w:tcPr>
          <w:p>
            <w:r>
              <w:rPr>
                <w:b w:val="false"/>
                <w:bCs w:val="false"/>
                <w:color w:val="000000"/>
                <w:sz w:val="20"/>
                <w:szCs w:val="20"/>
              </w:rPr>
              <w:t xml:space="preserve">Requestor</w:t>
            </w:r>
          </w:p>
        </w:tc>
        <w:tc>
          <w:tcPr>
            <w:tcW w:type="dxa" w:w="2100"/>
            <w:tcMar>
              <w:top w:type="dxa" w:w="80"/>
              <w:left w:type="dxa" w:w="100"/>
              <w:bottom w:type="dxa" w:w="80"/>
              <w:right w:type="dxa" w:w="100"/>
            </w:tcMar>
          </w:tcPr>
          <w:p>
            <w:r>
              <w:rPr>
                <w:b w:val="false"/>
                <w:bCs w:val="false"/>
                <w:color w:val="000000"/>
                <w:sz w:val="20"/>
                <w:szCs w:val="20"/>
              </w:rPr>
              <w:t xml:space="preserve">Submit → Department Head Review</w:t>
            </w:r>
          </w:p>
        </w:tc>
        <w:tc>
          <w:tcPr>
            <w:tcW w:type="dxa" w:w="1700"/>
            <w:tcMar>
              <w:top w:type="dxa" w:w="80"/>
              <w:left w:type="dxa" w:w="100"/>
              <w:bottom w:type="dxa" w:w="80"/>
              <w:right w:type="dxa" w:w="100"/>
            </w:tcMar>
          </w:tcPr>
          <w:p>
            <w:r>
              <w:rPr>
                <w:b w:val="false"/>
                <w:bCs w:val="false"/>
                <w:color w:val="000000"/>
                <w:sz w:val="20"/>
                <w:szCs w:val="20"/>
              </w:rPr>
              <w:t xml:space="preserve">—</w:t>
            </w:r>
          </w:p>
        </w:tc>
      </w:tr>
      <w:tr>
        <w:tc>
          <w:tcPr>
            <w:tcW w:type="dxa" w:w="500"/>
            <w:tcMar>
              <w:top w:type="dxa" w:w="80"/>
              <w:left w:type="dxa" w:w="100"/>
              <w:bottom w:type="dxa" w:w="80"/>
              <w:right w:type="dxa" w:w="100"/>
            </w:tcMar>
          </w:tcPr>
          <w:p>
            <w:r>
              <w:rPr>
                <w:b w:val="false"/>
                <w:bCs w:val="false"/>
                <w:color w:val="000000"/>
                <w:sz w:val="20"/>
                <w:szCs w:val="20"/>
              </w:rPr>
              <w:t xml:space="preserve">2</w:t>
            </w:r>
          </w:p>
        </w:tc>
        <w:tc>
          <w:tcPr>
            <w:tcW w:type="dxa" w:w="2600"/>
            <w:tcMar>
              <w:top w:type="dxa" w:w="80"/>
              <w:left w:type="dxa" w:w="100"/>
              <w:bottom w:type="dxa" w:w="80"/>
              <w:right w:type="dxa" w:w="100"/>
            </w:tcMar>
          </w:tcPr>
          <w:p>
            <w:r>
              <w:rPr>
                <w:b w:val="false"/>
                <w:bCs w:val="false"/>
                <w:color w:val="000000"/>
                <w:sz w:val="20"/>
                <w:szCs w:val="20"/>
              </w:rPr>
              <w:t xml:space="preserve">Department Head Review</w:t>
            </w:r>
          </w:p>
        </w:tc>
        <w:tc>
          <w:tcPr>
            <w:tcW w:type="dxa" w:w="2600"/>
            <w:tcMar>
              <w:top w:type="dxa" w:w="80"/>
              <w:left w:type="dxa" w:w="100"/>
              <w:bottom w:type="dxa" w:w="80"/>
              <w:right w:type="dxa" w:w="100"/>
            </w:tcMar>
          </w:tcPr>
          <w:p>
            <w:r>
              <w:rPr>
                <w:b w:val="false"/>
                <w:bCs w:val="false"/>
                <w:color w:val="000000"/>
                <w:sz w:val="20"/>
                <w:szCs w:val="20"/>
              </w:rPr>
              <w:t xml:space="preserve">Department Head (originating department)</w:t>
            </w:r>
          </w:p>
        </w:tc>
        <w:tc>
          <w:tcPr>
            <w:tcW w:type="dxa" w:w="2100"/>
            <w:tcMar>
              <w:top w:type="dxa" w:w="80"/>
              <w:left w:type="dxa" w:w="100"/>
              <w:bottom w:type="dxa" w:w="80"/>
              <w:right w:type="dxa" w:w="100"/>
            </w:tcMar>
          </w:tcPr>
          <w:p>
            <w:r>
              <w:rPr>
                <w:b w:val="false"/>
                <w:bCs w:val="false"/>
                <w:color w:val="000000"/>
                <w:sz w:val="20"/>
                <w:szCs w:val="20"/>
              </w:rPr>
              <w:t xml:space="preserve">→ CFO Approval if this is an over-limit Mobile Phone request, otherwise → Centralized First-Level Review</w:t>
            </w:r>
          </w:p>
        </w:tc>
        <w:tc>
          <w:tcPr>
            <w:tcW w:type="dxa" w:w="1700"/>
            <w:tcMar>
              <w:top w:type="dxa" w:w="80"/>
              <w:left w:type="dxa" w:w="100"/>
              <w:bottom w:type="dxa" w:w="80"/>
              <w:right w:type="dxa" w:w="100"/>
            </w:tcMar>
          </w:tcPr>
          <w:p>
            <w:r>
              <w:rPr>
                <w:b w:val="false"/>
                <w:bCs w:val="false"/>
                <w:color w:val="000000"/>
                <w:sz w:val="20"/>
                <w:szCs w:val="20"/>
              </w:rPr>
              <w:t xml:space="preserve">Back to Draft (comment required)</w:t>
            </w:r>
          </w:p>
        </w:tc>
      </w:tr>
      <w:tr>
        <w:tc>
          <w:tcPr>
            <w:tcW w:type="dxa" w:w="500"/>
            <w:tcMar>
              <w:top w:type="dxa" w:w="80"/>
              <w:left w:type="dxa" w:w="100"/>
              <w:bottom w:type="dxa" w:w="80"/>
              <w:right w:type="dxa" w:w="100"/>
            </w:tcMar>
          </w:tcPr>
          <w:p>
            <w:r>
              <w:rPr>
                <w:b w:val="false"/>
                <w:bCs w:val="false"/>
                <w:color w:val="000000"/>
                <w:sz w:val="20"/>
                <w:szCs w:val="20"/>
              </w:rPr>
              <w:t xml:space="preserve">3</w:t>
            </w:r>
          </w:p>
        </w:tc>
        <w:tc>
          <w:tcPr>
            <w:tcW w:type="dxa" w:w="2600"/>
            <w:tcMar>
              <w:top w:type="dxa" w:w="80"/>
              <w:left w:type="dxa" w:w="100"/>
              <w:bottom w:type="dxa" w:w="80"/>
              <w:right w:type="dxa" w:w="100"/>
            </w:tcMar>
          </w:tcPr>
          <w:p>
            <w:r>
              <w:rPr>
                <w:b w:val="false"/>
                <w:bCs w:val="false"/>
                <w:color w:val="000000"/>
                <w:sz w:val="20"/>
                <w:szCs w:val="20"/>
              </w:rPr>
              <w:t xml:space="preserve">CFO Approval (conditional)</w:t>
            </w:r>
          </w:p>
        </w:tc>
        <w:tc>
          <w:tcPr>
            <w:tcW w:type="dxa" w:w="2600"/>
            <w:tcMar>
              <w:top w:type="dxa" w:w="80"/>
              <w:left w:type="dxa" w:w="100"/>
              <w:bottom w:type="dxa" w:w="80"/>
              <w:right w:type="dxa" w:w="100"/>
            </w:tcMar>
          </w:tcPr>
          <w:p>
            <w:r>
              <w:rPr>
                <w:b w:val="false"/>
                <w:bCs w:val="false"/>
                <w:color w:val="000000"/>
                <w:sz w:val="20"/>
                <w:szCs w:val="20"/>
              </w:rPr>
              <w:t xml:space="preserve">CFO</w:t>
            </w:r>
          </w:p>
        </w:tc>
        <w:tc>
          <w:tcPr>
            <w:tcW w:type="dxa" w:w="2100"/>
            <w:tcMar>
              <w:top w:type="dxa" w:w="80"/>
              <w:left w:type="dxa" w:w="100"/>
              <w:bottom w:type="dxa" w:w="80"/>
              <w:right w:type="dxa" w:w="100"/>
            </w:tcMar>
          </w:tcPr>
          <w:p>
            <w:r>
              <w:rPr>
                <w:b w:val="false"/>
                <w:bCs w:val="false"/>
                <w:color w:val="000000"/>
                <w:sz w:val="20"/>
                <w:szCs w:val="20"/>
              </w:rPr>
              <w:t xml:space="preserve">→ Centralized First-Level Review</w:t>
            </w:r>
          </w:p>
        </w:tc>
        <w:tc>
          <w:tcPr>
            <w:tcW w:type="dxa" w:w="1700"/>
            <w:tcMar>
              <w:top w:type="dxa" w:w="80"/>
              <w:left w:type="dxa" w:w="100"/>
              <w:bottom w:type="dxa" w:w="80"/>
              <w:right w:type="dxa" w:w="100"/>
            </w:tcMar>
          </w:tcPr>
          <w:p>
            <w:r>
              <w:rPr>
                <w:b w:val="false"/>
                <w:bCs w:val="false"/>
                <w:color w:val="000000"/>
                <w:sz w:val="20"/>
                <w:szCs w:val="20"/>
              </w:rPr>
              <w:t xml:space="preserve">Back to Department Head Review (comment required)</w:t>
            </w:r>
          </w:p>
        </w:tc>
      </w:tr>
      <w:tr>
        <w:tc>
          <w:tcPr>
            <w:tcW w:type="dxa" w:w="500"/>
            <w:tcMar>
              <w:top w:type="dxa" w:w="80"/>
              <w:left w:type="dxa" w:w="100"/>
              <w:bottom w:type="dxa" w:w="80"/>
              <w:right w:type="dxa" w:w="100"/>
            </w:tcMar>
          </w:tcPr>
          <w:p>
            <w:r>
              <w:rPr>
                <w:b w:val="false"/>
                <w:bCs w:val="false"/>
                <w:color w:val="000000"/>
                <w:sz w:val="20"/>
                <w:szCs w:val="20"/>
              </w:rPr>
              <w:t xml:space="preserve">4</w:t>
            </w:r>
          </w:p>
        </w:tc>
        <w:tc>
          <w:tcPr>
            <w:tcW w:type="dxa" w:w="2600"/>
            <w:tcMar>
              <w:top w:type="dxa" w:w="80"/>
              <w:left w:type="dxa" w:w="100"/>
              <w:bottom w:type="dxa" w:w="80"/>
              <w:right w:type="dxa" w:w="100"/>
            </w:tcMar>
          </w:tcPr>
          <w:p>
            <w:r>
              <w:rPr>
                <w:b w:val="false"/>
                <w:bCs w:val="false"/>
                <w:color w:val="000000"/>
                <w:sz w:val="20"/>
                <w:szCs w:val="20"/>
              </w:rPr>
              <w:t xml:space="preserve">Centralized First-Level Review</w:t>
            </w:r>
          </w:p>
        </w:tc>
        <w:tc>
          <w:tcPr>
            <w:tcW w:type="dxa" w:w="2600"/>
            <w:tcMar>
              <w:top w:type="dxa" w:w="80"/>
              <w:left w:type="dxa" w:w="100"/>
              <w:bottom w:type="dxa" w:w="80"/>
              <w:right w:type="dxa" w:w="100"/>
            </w:tcMar>
          </w:tcPr>
          <w:p>
            <w:r>
              <w:rPr>
                <w:b w:val="false"/>
                <w:bCs w:val="false"/>
                <w:color w:val="000000"/>
                <w:sz w:val="20"/>
                <w:szCs w:val="20"/>
              </w:rPr>
              <w:t xml:space="preserve">Centralized First-Level Reviewer (owning department)</w:t>
            </w:r>
          </w:p>
        </w:tc>
        <w:tc>
          <w:tcPr>
            <w:tcW w:type="dxa" w:w="2100"/>
            <w:tcMar>
              <w:top w:type="dxa" w:w="80"/>
              <w:left w:type="dxa" w:w="100"/>
              <w:bottom w:type="dxa" w:w="80"/>
              <w:right w:type="dxa" w:w="100"/>
            </w:tcMar>
          </w:tcPr>
          <w:p>
            <w:r>
              <w:rPr>
                <w:b w:val="false"/>
                <w:bCs w:val="false"/>
                <w:color w:val="000000"/>
                <w:sz w:val="20"/>
                <w:szCs w:val="20"/>
              </w:rPr>
              <w:t xml:space="preserve">→ Centralized Department Head Review</w:t>
            </w:r>
          </w:p>
        </w:tc>
        <w:tc>
          <w:tcPr>
            <w:tcW w:type="dxa" w:w="1700"/>
            <w:tcMar>
              <w:top w:type="dxa" w:w="80"/>
              <w:left w:type="dxa" w:w="100"/>
              <w:bottom w:type="dxa" w:w="80"/>
              <w:right w:type="dxa" w:w="100"/>
            </w:tcMar>
          </w:tcPr>
          <w:p>
            <w:r>
              <w:rPr>
                <w:b w:val="false"/>
                <w:bCs w:val="false"/>
                <w:color w:val="000000"/>
                <w:sz w:val="20"/>
                <w:szCs w:val="20"/>
              </w:rPr>
              <w:t xml:space="preserve">Rejected — terminal (no comment required, but the owning department's forecast must already be complete or this stage is blocked entirely — see §9.3)</w:t>
            </w:r>
          </w:p>
        </w:tc>
      </w:tr>
      <w:tr>
        <w:tc>
          <w:tcPr>
            <w:tcW w:type="dxa" w:w="500"/>
            <w:tcMar>
              <w:top w:type="dxa" w:w="80"/>
              <w:left w:type="dxa" w:w="100"/>
              <w:bottom w:type="dxa" w:w="80"/>
              <w:right w:type="dxa" w:w="100"/>
            </w:tcMar>
          </w:tcPr>
          <w:p>
            <w:r>
              <w:rPr>
                <w:b w:val="false"/>
                <w:bCs w:val="false"/>
                <w:color w:val="000000"/>
                <w:sz w:val="20"/>
                <w:szCs w:val="20"/>
              </w:rPr>
              <w:t xml:space="preserve">5</w:t>
            </w:r>
          </w:p>
        </w:tc>
        <w:tc>
          <w:tcPr>
            <w:tcW w:type="dxa" w:w="2600"/>
            <w:tcMar>
              <w:top w:type="dxa" w:w="80"/>
              <w:left w:type="dxa" w:w="100"/>
              <w:bottom w:type="dxa" w:w="80"/>
              <w:right w:type="dxa" w:w="100"/>
            </w:tcMar>
          </w:tcPr>
          <w:p>
            <w:r>
              <w:rPr>
                <w:b w:val="false"/>
                <w:bCs w:val="false"/>
                <w:color w:val="000000"/>
                <w:sz w:val="20"/>
                <w:szCs w:val="20"/>
              </w:rPr>
              <w:t xml:space="preserve">Centralized Department Head Review</w:t>
            </w:r>
          </w:p>
        </w:tc>
        <w:tc>
          <w:tcPr>
            <w:tcW w:type="dxa" w:w="2600"/>
            <w:tcMar>
              <w:top w:type="dxa" w:w="80"/>
              <w:left w:type="dxa" w:w="100"/>
              <w:bottom w:type="dxa" w:w="80"/>
              <w:right w:type="dxa" w:w="100"/>
            </w:tcMar>
          </w:tcPr>
          <w:p>
            <w:r>
              <w:rPr>
                <w:b w:val="false"/>
                <w:bCs w:val="false"/>
                <w:color w:val="000000"/>
                <w:sz w:val="20"/>
                <w:szCs w:val="20"/>
              </w:rPr>
              <w:t xml:space="preserve">Centralized Department Head (owning department)</w:t>
            </w:r>
          </w:p>
        </w:tc>
        <w:tc>
          <w:tcPr>
            <w:tcW w:type="dxa" w:w="2100"/>
            <w:tcMar>
              <w:top w:type="dxa" w:w="80"/>
              <w:left w:type="dxa" w:w="100"/>
              <w:bottom w:type="dxa" w:w="80"/>
              <w:right w:type="dxa" w:w="100"/>
            </w:tcMar>
          </w:tcPr>
          <w:p>
            <w:r>
              <w:rPr>
                <w:b w:val="false"/>
                <w:bCs w:val="false"/>
                <w:color w:val="000000"/>
                <w:sz w:val="20"/>
                <w:szCs w:val="20"/>
              </w:rPr>
              <w:t xml:space="preserve">→ BC&amp;A Head Review if Proposed Amount exceeds ₱1,000,000, otherwise → Budget Officer Review</w:t>
            </w:r>
          </w:p>
        </w:tc>
        <w:tc>
          <w:tcPr>
            <w:tcW w:type="dxa" w:w="1700"/>
            <w:tcMar>
              <w:top w:type="dxa" w:w="80"/>
              <w:left w:type="dxa" w:w="100"/>
              <w:bottom w:type="dxa" w:w="80"/>
              <w:right w:type="dxa" w:w="100"/>
            </w:tcMar>
          </w:tcPr>
          <w:p>
            <w:r>
              <w:rPr>
                <w:b w:val="false"/>
                <w:bCs w:val="false"/>
                <w:color w:val="000000"/>
                <w:sz w:val="20"/>
                <w:szCs w:val="20"/>
              </w:rPr>
              <w:t xml:space="preserve">Back to Centralized First-Level Review (comment required)</w:t>
            </w:r>
          </w:p>
        </w:tc>
      </w:tr>
      <w:tr>
        <w:tc>
          <w:tcPr>
            <w:tcW w:type="dxa" w:w="500"/>
            <w:tcMar>
              <w:top w:type="dxa" w:w="80"/>
              <w:left w:type="dxa" w:w="100"/>
              <w:bottom w:type="dxa" w:w="80"/>
              <w:right w:type="dxa" w:w="100"/>
            </w:tcMar>
          </w:tcPr>
          <w:p>
            <w:r>
              <w:rPr>
                <w:b w:val="false"/>
                <w:bCs w:val="false"/>
                <w:color w:val="000000"/>
                <w:sz w:val="20"/>
                <w:szCs w:val="20"/>
              </w:rPr>
              <w:t xml:space="preserve">6</w:t>
            </w:r>
          </w:p>
        </w:tc>
        <w:tc>
          <w:tcPr>
            <w:tcW w:type="dxa" w:w="2600"/>
            <w:tcMar>
              <w:top w:type="dxa" w:w="80"/>
              <w:left w:type="dxa" w:w="100"/>
              <w:bottom w:type="dxa" w:w="80"/>
              <w:right w:type="dxa" w:w="100"/>
            </w:tcMar>
          </w:tcPr>
          <w:p>
            <w:r>
              <w:rPr>
                <w:b w:val="false"/>
                <w:bCs w:val="false"/>
                <w:color w:val="000000"/>
                <w:sz w:val="20"/>
                <w:szCs w:val="20"/>
              </w:rPr>
              <w:t xml:space="preserve">BC&amp;A Head Review (conditional, &gt;₱1,000,000)</w:t>
            </w:r>
          </w:p>
        </w:tc>
        <w:tc>
          <w:tcPr>
            <w:tcW w:type="dxa" w:w="2600"/>
            <w:tcMar>
              <w:top w:type="dxa" w:w="80"/>
              <w:left w:type="dxa" w:w="100"/>
              <w:bottom w:type="dxa" w:w="80"/>
              <w:right w:type="dxa" w:w="100"/>
            </w:tcMar>
          </w:tcPr>
          <w:p>
            <w:r>
              <w:rPr>
                <w:b w:val="false"/>
                <w:bCs w:val="false"/>
                <w:color w:val="000000"/>
                <w:sz w:val="20"/>
                <w:szCs w:val="20"/>
              </w:rPr>
              <w:t xml:space="preserve">BC&amp;A Head</w:t>
            </w:r>
          </w:p>
        </w:tc>
        <w:tc>
          <w:tcPr>
            <w:tcW w:type="dxa" w:w="2100"/>
            <w:tcMar>
              <w:top w:type="dxa" w:w="80"/>
              <w:left w:type="dxa" w:w="100"/>
              <w:bottom w:type="dxa" w:w="80"/>
              <w:right w:type="dxa" w:w="100"/>
            </w:tcMar>
          </w:tcPr>
          <w:p>
            <w:r>
              <w:rPr>
                <w:b w:val="false"/>
                <w:bCs w:val="false"/>
                <w:color w:val="000000"/>
                <w:sz w:val="20"/>
                <w:szCs w:val="20"/>
              </w:rPr>
              <w:t xml:space="preserve">→ Budget Officer Review</w:t>
            </w:r>
          </w:p>
        </w:tc>
        <w:tc>
          <w:tcPr>
            <w:tcW w:type="dxa" w:w="1700"/>
            <w:tcMar>
              <w:top w:type="dxa" w:w="80"/>
              <w:left w:type="dxa" w:w="100"/>
              <w:bottom w:type="dxa" w:w="80"/>
              <w:right w:type="dxa" w:w="100"/>
            </w:tcMar>
          </w:tcPr>
          <w:p>
            <w:r>
              <w:rPr>
                <w:b w:val="false"/>
                <w:bCs w:val="false"/>
                <w:color w:val="000000"/>
                <w:sz w:val="20"/>
                <w:szCs w:val="20"/>
              </w:rPr>
              <w:t xml:space="preserve">Back to Centralized Department Head Review (comment required)</w:t>
            </w:r>
          </w:p>
        </w:tc>
      </w:tr>
      <w:tr>
        <w:tc>
          <w:tcPr>
            <w:tcW w:type="dxa" w:w="500"/>
            <w:tcMar>
              <w:top w:type="dxa" w:w="80"/>
              <w:left w:type="dxa" w:w="100"/>
              <w:bottom w:type="dxa" w:w="80"/>
              <w:right w:type="dxa" w:w="100"/>
            </w:tcMar>
          </w:tcPr>
          <w:p>
            <w:r>
              <w:rPr>
                <w:b w:val="false"/>
                <w:bCs w:val="false"/>
                <w:color w:val="000000"/>
                <w:sz w:val="20"/>
                <w:szCs w:val="20"/>
              </w:rPr>
              <w:t xml:space="preserve">7</w:t>
            </w:r>
          </w:p>
        </w:tc>
        <w:tc>
          <w:tcPr>
            <w:tcW w:type="dxa" w:w="2600"/>
            <w:tcMar>
              <w:top w:type="dxa" w:w="80"/>
              <w:left w:type="dxa" w:w="100"/>
              <w:bottom w:type="dxa" w:w="80"/>
              <w:right w:type="dxa" w:w="100"/>
            </w:tcMar>
          </w:tcPr>
          <w:p>
            <w:r>
              <w:rPr>
                <w:b w:val="false"/>
                <w:bCs w:val="false"/>
                <w:color w:val="000000"/>
                <w:sz w:val="20"/>
                <w:szCs w:val="20"/>
              </w:rPr>
              <w:t xml:space="preserve">Budget Officer Review ("Step 5")</w:t>
            </w:r>
          </w:p>
        </w:tc>
        <w:tc>
          <w:tcPr>
            <w:tcW w:type="dxa" w:w="2600"/>
            <w:tcMar>
              <w:top w:type="dxa" w:w="80"/>
              <w:left w:type="dxa" w:w="100"/>
              <w:bottom w:type="dxa" w:w="80"/>
              <w:right w:type="dxa" w:w="100"/>
            </w:tcMar>
          </w:tcPr>
          <w:p>
            <w:r>
              <w:rPr>
                <w:b w:val="false"/>
                <w:bCs w:val="false"/>
                <w:color w:val="000000"/>
                <w:sz w:val="20"/>
                <w:szCs w:val="20"/>
              </w:rPr>
              <w:t xml:space="preserve">Budget Officer</w:t>
            </w:r>
          </w:p>
        </w:tc>
        <w:tc>
          <w:tcPr>
            <w:tcW w:type="dxa" w:w="2100"/>
            <w:tcMar>
              <w:top w:type="dxa" w:w="80"/>
              <w:left w:type="dxa" w:w="100"/>
              <w:bottom w:type="dxa" w:w="80"/>
              <w:right w:type="dxa" w:w="100"/>
            </w:tcMar>
          </w:tcPr>
          <w:p>
            <w:r>
              <w:rPr>
                <w:b w:val="false"/>
                <w:bCs w:val="false"/>
                <w:color w:val="000000"/>
                <w:sz w:val="20"/>
                <w:szCs w:val="20"/>
              </w:rPr>
              <w:t xml:space="preserve">Finalize → Approved</w:t>
            </w:r>
          </w:p>
        </w:tc>
        <w:tc>
          <w:tcPr>
            <w:tcW w:type="dxa" w:w="1700"/>
            <w:tcMar>
              <w:top w:type="dxa" w:w="80"/>
              <w:left w:type="dxa" w:w="100"/>
              <w:bottom w:type="dxa" w:w="80"/>
              <w:right w:type="dxa" w:w="100"/>
            </w:tcMar>
          </w:tcPr>
          <w:p>
            <w:r>
              <w:rPr>
                <w:b w:val="false"/>
                <w:bCs w:val="false"/>
                <w:color w:val="000000"/>
                <w:sz w:val="20"/>
                <w:szCs w:val="20"/>
              </w:rPr>
              <w:t xml:space="preserve">Return to any earlier named stage with a mandatory Reason Code — see §13</w:t>
            </w:r>
          </w:p>
        </w:tc>
      </w:tr>
      <w:tr>
        <w:tc>
          <w:tcPr>
            <w:tcW w:type="dxa" w:w="500"/>
            <w:tcMar>
              <w:top w:type="dxa" w:w="80"/>
              <w:left w:type="dxa" w:w="100"/>
              <w:bottom w:type="dxa" w:w="80"/>
              <w:right w:type="dxa" w:w="100"/>
            </w:tcMar>
          </w:tcPr>
          <w:p>
            <w:r>
              <w:rPr>
                <w:b w:val="false"/>
                <w:bCs w:val="false"/>
                <w:color w:val="000000"/>
                <w:sz w:val="20"/>
                <w:szCs w:val="20"/>
              </w:rPr>
              <w:t xml:space="preserve">8</w:t>
            </w:r>
          </w:p>
        </w:tc>
        <w:tc>
          <w:tcPr>
            <w:tcW w:type="dxa" w:w="2600"/>
            <w:tcMar>
              <w:top w:type="dxa" w:w="80"/>
              <w:left w:type="dxa" w:w="100"/>
              <w:bottom w:type="dxa" w:w="80"/>
              <w:right w:type="dxa" w:w="100"/>
            </w:tcMar>
          </w:tcPr>
          <w:p>
            <w:r>
              <w:rPr>
                <w:b w:val="false"/>
                <w:bCs w:val="false"/>
                <w:color w:val="000000"/>
                <w:sz w:val="20"/>
                <w:szCs w:val="20"/>
              </w:rPr>
              <w:t xml:space="preserve">Approved</w:t>
            </w:r>
          </w:p>
        </w:tc>
        <w:tc>
          <w:tcPr>
            <w:tcW w:type="dxa" w:w="2600"/>
            <w:tcMar>
              <w:top w:type="dxa" w:w="80"/>
              <w:left w:type="dxa" w:w="100"/>
              <w:bottom w:type="dxa" w:w="80"/>
              <w:right w:type="dxa" w:w="100"/>
            </w:tcMar>
          </w:tcPr>
          <w:p>
            <w:r>
              <w:rPr>
                <w:b w:val="false"/>
                <w:bCs w:val="false"/>
                <w:color w:val="000000"/>
                <w:sz w:val="20"/>
                <w:szCs w:val="20"/>
              </w:rPr>
              <w:t xml:space="preserve">—</w:t>
            </w:r>
          </w:p>
        </w:tc>
        <w:tc>
          <w:tcPr>
            <w:tcW w:type="dxa" w:w="2100"/>
            <w:tcMar>
              <w:top w:type="dxa" w:w="80"/>
              <w:left w:type="dxa" w:w="100"/>
              <w:bottom w:type="dxa" w:w="80"/>
              <w:right w:type="dxa" w:w="100"/>
            </w:tcMar>
          </w:tcPr>
          <w:p>
            <w:r>
              <w:rPr>
                <w:b w:val="false"/>
                <w:bCs w:val="false"/>
                <w:color w:val="000000"/>
                <w:sz w:val="20"/>
                <w:szCs w:val="20"/>
              </w:rPr>
              <w:t xml:space="preserve">Awaiting manual SAP upload (§9.5)</w:t>
            </w:r>
          </w:p>
        </w:tc>
        <w:tc>
          <w:tcPr>
            <w:tcW w:type="dxa" w:w="1700"/>
            <w:tcMar>
              <w:top w:type="dxa" w:w="80"/>
              <w:left w:type="dxa" w:w="100"/>
              <w:bottom w:type="dxa" w:w="80"/>
              <w:right w:type="dxa" w:w="100"/>
            </w:tcMar>
          </w:tcPr>
          <w:p>
            <w:r>
              <w:rPr>
                <w:b w:val="false"/>
                <w:bCs w:val="false"/>
                <w:color w:val="000000"/>
                <w:sz w:val="20"/>
                <w:szCs w:val="20"/>
              </w:rPr>
              <w:t xml:space="preserve">—</w:t>
            </w:r>
          </w:p>
        </w:tc>
      </w:tr>
    </w:tbl>
    <w:p>
      <w:pPr>
        <w:pStyle w:val="Heading2"/>
        <w:spacing w:after="150" w:before="300"/>
      </w:pPr>
      <w:r>
        <w:t xml:space="preserve">9.2 Conditional stages</w:t>
      </w:r>
    </w:p>
    <w:p>
      <w:pPr>
        <w:spacing w:after="160" w:line="276"/>
      </w:pPr>
      <w:r>
        <w:t xml:space="preserve">Two stages are inserted only when specific conditions are met at submission or approval time:</w:t>
      </w:r>
    </w:p>
    <w:p>
      <w:pPr>
        <w:pStyle w:val="ListParagraph"/>
        <w:numPr>
          <w:ilvl w:val="0"/>
          <w:numId w:val="2"/>
        </w:numPr>
        <w:spacing w:after="80"/>
      </w:pPr>
      <w:r>
        <w:t xml:space="preserve">CFO Approval — inserted immediately after Department Head approval when the request is an over-limit Mobile Phone request (§11.2).</w:t>
      </w:r>
    </w:p>
    <w:p>
      <w:pPr>
        <w:pStyle w:val="ListParagraph"/>
        <w:numPr>
          <w:ilvl w:val="0"/>
          <w:numId w:val="2"/>
        </w:numPr>
        <w:spacing w:after="80"/>
      </w:pPr>
      <w:r>
        <w:t xml:space="preserve">BC&amp;A Head Review — inserted after Centralized Department Head approval whenever the request's Proposed Amount exceeds ₱1,000,000.</w:t>
      </w:r>
    </w:p>
    <w:p>
      <w:pPr>
        <w:pStyle w:val="Heading2"/>
        <w:spacing w:after="150" w:before="300"/>
      </w:pPr>
      <w:r>
        <w:t xml:space="preserve">9.3 Forecast gate</w:t>
      </w:r>
    </w:p>
    <w:p>
      <w:pPr>
        <w:spacing w:after="160" w:line="276"/>
      </w:pPr>
      <w:r>
        <w:t xml:space="preserve">A request cannot clear Centralized First-Level Review until the owning (centralized) department's 2026 Remaining Months Forecast has been fully completed and approved (§ 10). If it has not, the reviewer's approve action is blocked with an explanatory error rather than silently allowed through.</w:t>
      </w:r>
    </w:p>
    <w:p>
      <w:pPr>
        <w:pStyle w:val="Heading2"/>
        <w:spacing w:after="150" w:before="300"/>
      </w:pPr>
      <w:r>
        <w:t xml:space="preserve">9.4 Due-date gate</w:t>
      </w:r>
    </w:p>
    <w:p>
      <w:pPr>
        <w:spacing w:after="160" w:line="276"/>
      </w:pPr>
      <w:r>
        <w:t xml:space="preserve">The Budget Officer can configure five global due dates, each covering a group of stages (see §14.6). Once a due date passes, every action tied to that stage is blocked — the corresponding user sees an error naming the stage and the date — until the Budget Officer moves the due date forward. This is enforced on every workflow-changing action, not just display.</w:t>
      </w:r>
    </w:p>
    <w:p>
      <w:pPr>
        <w:pStyle w:val="Heading2"/>
        <w:spacing w:after="150" w:before="300"/>
      </w:pPr>
      <w:r>
        <w:t xml:space="preserve">9.5 SAP upload</w:t>
      </w:r>
    </w:p>
    <w:p>
      <w:pPr>
        <w:spacing w:after="160" w:line="276"/>
      </w:pPr>
      <w:r>
        <w:t xml:space="preserve">Approved requests are not automatically pushed anywhere. The Budget Officer selects one or more Approved requests still missing a SAP document number on the Step 5 dashboard's "Ready for SAP Upload" list and triggers the upload manually. The system's SAP integration is entirely mocked: it generates a plausible-looking document number (transaction code KP06) and always succeeds, but is written behind a swappable adapter interface so a real SAP BAPI/RFC client can be substituted later without touching any calling code. On success, every selected request is stamped with the returned document number and moves to Uploaded to SAP status.</w:t>
      </w:r>
    </w:p>
    <w:p>
      <w:pPr>
        <w:pStyle w:val="Heading1"/>
        <w:spacing w:after="200" w:before="400"/>
      </w:pPr>
      <w:r>
        <w:t xml:space="preserve">10. Departmental Budget Cap, Pool, and Forecast</w:t>
      </w:r>
    </w:p>
    <w:p>
      <w:pPr>
        <w:pStyle w:val="Heading2"/>
        <w:spacing w:after="150" w:before="300"/>
      </w:pPr>
      <w:r>
        <w:t xml:space="preserve">10.1 Growth rate</w:t>
      </w:r>
    </w:p>
    <w:p>
      <w:pPr>
        <w:spacing w:after="160" w:line="276"/>
      </w:pPr>
      <w:r>
        <w:t xml:space="preserve">Every centralized department's budget cap is grown by a Growth Rate percentage: a single system-wide default (set by the Budget Officer) that any department can individually override (set by the BC&amp;A Head or the Budget Officer). Every change to either the default or an override requires a written reason and is permanently recorded in a Growth Rate Audit Log (old value, new value, department if applicable, reason, editor, timestamp).</w:t>
      </w:r>
    </w:p>
    <w:p>
      <w:pPr>
        <w:pStyle w:val="Heading2"/>
        <w:spacing w:after="150" w:before="300"/>
      </w:pPr>
      <w:r>
        <w:t xml:space="preserve">10.2 Departmental cap and remaining pool</w:t>
      </w:r>
    </w:p>
    <w:p>
      <w:pPr>
        <w:spacing w:after="160" w:line="276"/>
      </w:pPr>
      <w:r>
        <w:rPr>
          <w:b/>
          <w:bCs/>
        </w:rPr>
        <w:t xml:space="preserve">Departmental Cap</w:t>
      </w:r>
      <w:r>
        <w:t xml:space="preserve"> for a centralized department is computed as:</w:t>
      </w:r>
    </w:p>
    <w:p>
      <w:pPr>
        <w:spacing w:after="200"/>
        <w:ind w:left="360"/>
      </w:pPr>
      <w:r>
        <w:rPr>
          <w:i/>
          <w:iCs/>
          <w:sz w:val="22"/>
          <w:szCs w:val="22"/>
        </w:rPr>
        <w:t xml:space="preserve">(2026 YTD Actuals + 2026 Remaining Months Forecast) × (1 + Growth Rate%)</w:t>
      </w:r>
    </w:p>
    <w:p>
      <w:pPr>
        <w:spacing w:after="160" w:line="276"/>
      </w:pPr>
      <w:r>
        <w:t xml:space="preserve">summed across every GL/Cost Center row on the department's Historical Actuals reference data (§10.4). This figure is recomputed fresh on every read (not cached), so it always reflects the latest actuals, forecast, and growth rate.</w:t>
      </w:r>
    </w:p>
    <w:p>
      <w:pPr>
        <w:spacing w:after="160" w:line="276"/>
      </w:pPr>
      <w:r>
        <w:rPr>
          <w:b/>
          <w:bCs/>
        </w:rPr>
        <w:t xml:space="preserve">Remaining Pool</w:t>
      </w:r>
      <w:r>
        <w:t xml:space="preserve"> is the department's cap minus the net proposed amount of every request currently drawing against it — anything still moving through the workflow (Department Head Review onward) or already Approved, net of any Budget Cut applied at Step 5. Rejected, Returned-to-draft, and Cancelled requests do not consume the pool.</w:t>
      </w:r>
    </w:p>
    <w:p>
      <w:pPr>
        <w:spacing w:after="160" w:line="276"/>
      </w:pPr>
      <w:r>
        <w:t xml:space="preserve">Cap and Pool figures are shown on the Home dashboard for the current user's own department and for every centralized department where they hold a reviewing role, restricted to the curated "core" centralized department list (§4.1). A drill-down list shows exactly which requests make up the pool total.</w:t>
      </w:r>
    </w:p>
    <w:p>
      <w:pPr>
        <w:pStyle w:val="Heading2"/>
        <w:spacing w:after="150" w:before="300"/>
      </w:pPr>
      <w:r>
        <w:t xml:space="preserve">10.3 Historical Actuals reference data</w:t>
      </w:r>
    </w:p>
    <w:p>
      <w:pPr>
        <w:spacing w:after="160" w:line="276"/>
      </w:pPr>
      <w:r>
        <w:t xml:space="preserve">For each GL/Cost Center combination in a department, the system tracks 2025 Actuals, 2026 Approved Budget, and 2026 YTD Actuals — a stand-in for a live SAP pull that does not exist yet. This data is admin-editable and can also be bulk-uploaded by the Budget Officer from an Excel template matched to the standard catalog by item name (an ambiguous match — e.g., a name that resolves to more than one company-specific catalog variant — is rejected with an error rather than guessed at).</w:t>
      </w:r>
    </w:p>
    <w:p>
      <w:pPr>
        <w:pStyle w:val="Heading2"/>
        <w:spacing w:after="150" w:before="300"/>
      </w:pPr>
      <w:r>
        <w:t xml:space="preserve">10.4 Remaining Months Forecast</w:t>
      </w:r>
    </w:p>
    <w:p>
      <w:pPr>
        <w:spacing w:after="160" w:line="276"/>
      </w:pPr>
      <w:r>
        <w:t xml:space="preserve">For the curated "core" centralized departments only (Human Resources, Admin Services, Corporate Marketing, Legal, Corporate Finance, Tax, OMD Operations), each GL/Cost Center row also carries a Remaining Months Forecast: a per-month figure for every month after the configured "as-of" cutoff (a Budget-Officer-controlled setting — months up to and including the cutoff are already folded into YTD Actuals and are not separately editable). The screen also shows derived columns: Available Budget (Approved − YTD), Total Actual + Forecast, and Remaining Budget.</w:t>
      </w:r>
    </w:p>
    <w:p>
      <w:pPr>
        <w:spacing w:after="160" w:line="276"/>
      </w:pPr>
      <w:r>
        <w:t xml:space="preserve">Only the owning department's own users, or the Budget Officer, may view or edit a department's forecast — one centralized department cannot see another's.</w:t>
      </w:r>
    </w:p>
    <w:p>
      <w:pPr>
        <w:pStyle w:val="Heading2"/>
        <w:spacing w:after="150" w:before="300"/>
      </w:pPr>
      <w:r>
        <w:t xml:space="preserve">10.5 Forecast approval workflow</w:t>
      </w:r>
    </w:p>
    <w:p>
      <w:pPr>
        <w:spacing w:after="160" w:line="276"/>
      </w:pPr>
      <w:r>
        <w:t xml:space="preserve">A department's forecast moves through its own small workflow, separate from budget requests:</w:t>
      </w:r>
    </w:p>
    <w:p>
      <w:pPr>
        <w:pStyle w:val="ListParagraph"/>
        <w:numPr>
          <w:ilvl w:val="0"/>
          <w:numId w:val="3"/>
        </w:numPr>
        <w:spacing w:after="80"/>
      </w:pPr>
      <w:r>
        <w:t xml:space="preserve">Draft / Returned — editable by the owning department or the Budget Officer. Submission is blocked until every remaining month has a value for every row.</w:t>
      </w:r>
    </w:p>
    <w:p>
      <w:pPr>
        <w:pStyle w:val="ListParagraph"/>
        <w:numPr>
          <w:ilvl w:val="0"/>
          <w:numId w:val="3"/>
        </w:numPr>
        <w:spacing w:after="80"/>
      </w:pPr>
      <w:r>
        <w:t xml:space="preserve">Head Review — the department's own Centralized Department Head approves or returns (with a mandatory reason).</w:t>
      </w:r>
    </w:p>
    <w:p>
      <w:pPr>
        <w:pStyle w:val="ListParagraph"/>
        <w:numPr>
          <w:ilvl w:val="0"/>
          <w:numId w:val="3"/>
        </w:numPr>
        <w:spacing w:after="80"/>
      </w:pPr>
      <w:r>
        <w:t xml:space="preserve">Budget Officer Review — the Budget Officer approves or returns (with a mandatory reason).</w:t>
      </w:r>
    </w:p>
    <w:p>
      <w:pPr>
        <w:pStyle w:val="ListParagraph"/>
        <w:numPr>
          <w:ilvl w:val="0"/>
          <w:numId w:val="3"/>
        </w:numPr>
        <w:spacing w:after="80"/>
      </w:pPr>
      <w:r>
        <w:t xml:space="preserve">Approved — only Budget Officer approval marks every row's forecast as complete for that department, which is what unblocks Centralized First-Level Review for requests charged to it (§9.3).</w:t>
      </w:r>
    </w:p>
    <w:p>
      <w:pPr>
        <w:pStyle w:val="Heading1"/>
        <w:spacing w:after="200" w:before="400"/>
      </w:pPr>
      <w:r>
        <w:t xml:space="preserve">11. Additional Headcount Requests</w:t>
      </w:r>
    </w:p>
    <w:p>
      <w:pPr>
        <w:spacing w:after="160" w:line="276"/>
      </w:pPr>
      <w:r>
        <w:t xml:space="preserve">Additional Headcount Requests are a separate mini-workflow from Standard/DOE requests, used to ask for a new hire. A Requestor supplies: Position (searched from the real employee directory's position list), Rank (a labeled 1–12 scale from Project-Based/Outsourced through President), Company, Estimated Hire Date, and Justification. Rank 1 (Project-Based) can only target the two "…Project" companies; Rank 2 (Outsourced) is forced to the Outsourced company.</w:t>
      </w:r>
    </w:p>
    <w:p>
      <w:pPr>
        <w:spacing w:after="160" w:line="276"/>
      </w:pPr>
      <w:r>
        <w:t xml:space="preserve">Submitting assigns a sequential reference code (MR-YY-###, reset each calendar year) and starts a three-stage chain: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300"/>
      </w:tblGrid>
      <w:tr>
        <w:trPr>
          <w:tblHeader/>
        </w:trPr>
        <w:tc>
          <w:tcPr>
            <w:tcW w:type="dxa" w:w="3000"/>
            <w:shd w:fill="10B981" w:color="auto" w:val="clear"/>
            <w:tcMar>
              <w:top w:type="dxa" w:w="80"/>
              <w:left w:type="dxa" w:w="100"/>
              <w:bottom w:type="dxa" w:w="80"/>
              <w:right w:type="dxa" w:w="100"/>
            </w:tcMar>
          </w:tcPr>
          <w:p>
            <w:r>
              <w:rPr>
                <w:b/>
                <w:bCs/>
                <w:color w:val="FFFFFF"/>
                <w:sz w:val="20"/>
                <w:szCs w:val="20"/>
              </w:rPr>
              <w:t xml:space="preserve">Stage</w:t>
            </w:r>
          </w:p>
        </w:tc>
        <w:tc>
          <w:tcPr>
            <w:tcW w:type="dxa" w:w="3200"/>
            <w:shd w:fill="10B981" w:color="auto" w:val="clear"/>
            <w:tcMar>
              <w:top w:type="dxa" w:w="80"/>
              <w:left w:type="dxa" w:w="100"/>
              <w:bottom w:type="dxa" w:w="80"/>
              <w:right w:type="dxa" w:w="100"/>
            </w:tcMar>
          </w:tcPr>
          <w:p>
            <w:r>
              <w:rPr>
                <w:b/>
                <w:bCs/>
                <w:color w:val="FFFFFF"/>
                <w:sz w:val="20"/>
                <w:szCs w:val="20"/>
              </w:rPr>
              <w:t xml:space="preserve">Decided by</w:t>
            </w:r>
          </w:p>
        </w:tc>
        <w:tc>
          <w:tcPr>
            <w:tcW w:type="dxa" w:w="3300"/>
            <w:shd w:fill="10B981" w:color="auto" w:val="clear"/>
            <w:tcMar>
              <w:top w:type="dxa" w:w="80"/>
              <w:left w:type="dxa" w:w="100"/>
              <w:bottom w:type="dxa" w:w="80"/>
              <w:right w:type="dxa" w:w="100"/>
            </w:tcMar>
          </w:tcPr>
          <w:p>
            <w:r>
              <w:rPr>
                <w:b/>
                <w:bCs/>
                <w:color w:val="FFFFFF"/>
                <w:sz w:val="20"/>
                <w:szCs w:val="20"/>
              </w:rPr>
              <w:t xml:space="preserve">On Return</w:t>
            </w:r>
          </w:p>
        </w:tc>
      </w:tr>
      <w:tr>
        <w:tc>
          <w:tcPr>
            <w:tcW w:type="dxa" w:w="3000"/>
            <w:tcMar>
              <w:top w:type="dxa" w:w="80"/>
              <w:left w:type="dxa" w:w="100"/>
              <w:bottom w:type="dxa" w:w="80"/>
              <w:right w:type="dxa" w:w="100"/>
            </w:tcMar>
          </w:tcPr>
          <w:p>
            <w:r>
              <w:rPr>
                <w:b w:val="false"/>
                <w:bCs w:val="false"/>
                <w:color w:val="000000"/>
                <w:sz w:val="20"/>
                <w:szCs w:val="20"/>
              </w:rPr>
              <w:t xml:space="preserve">Department Head Review</w:t>
            </w:r>
          </w:p>
        </w:tc>
        <w:tc>
          <w:tcPr>
            <w:tcW w:type="dxa" w:w="3200"/>
            <w:tcMar>
              <w:top w:type="dxa" w:w="80"/>
              <w:left w:type="dxa" w:w="100"/>
              <w:bottom w:type="dxa" w:w="80"/>
              <w:right w:type="dxa" w:w="100"/>
            </w:tcMar>
          </w:tcPr>
          <w:p>
            <w:r>
              <w:rPr>
                <w:b w:val="false"/>
                <w:bCs w:val="false"/>
                <w:color w:val="000000"/>
                <w:sz w:val="20"/>
                <w:szCs w:val="20"/>
              </w:rPr>
              <w:t xml:space="preserve">Requestor's Department Head</w:t>
            </w:r>
          </w:p>
        </w:tc>
        <w:tc>
          <w:tcPr>
            <w:tcW w:type="dxa" w:w="3300"/>
            <w:tcMar>
              <w:top w:type="dxa" w:w="80"/>
              <w:left w:type="dxa" w:w="100"/>
              <w:bottom w:type="dxa" w:w="80"/>
              <w:right w:type="dxa" w:w="100"/>
            </w:tcMar>
          </w:tcPr>
          <w:p>
            <w:r>
              <w:rPr>
                <w:b w:val="false"/>
                <w:bCs w:val="false"/>
                <w:color w:val="000000"/>
                <w:sz w:val="20"/>
                <w:szCs w:val="20"/>
              </w:rPr>
              <w:t xml:space="preserve">Terminal — Returned (no draft state to resubmit from; a new request must be created)</w:t>
            </w:r>
          </w:p>
        </w:tc>
      </w:tr>
      <w:tr>
        <w:tc>
          <w:tcPr>
            <w:tcW w:type="dxa" w:w="3000"/>
            <w:tcMar>
              <w:top w:type="dxa" w:w="80"/>
              <w:left w:type="dxa" w:w="100"/>
              <w:bottom w:type="dxa" w:w="80"/>
              <w:right w:type="dxa" w:w="100"/>
            </w:tcMar>
          </w:tcPr>
          <w:p>
            <w:r>
              <w:rPr>
                <w:b w:val="false"/>
                <w:bCs w:val="false"/>
                <w:color w:val="000000"/>
                <w:sz w:val="20"/>
                <w:szCs w:val="20"/>
              </w:rPr>
              <w:t xml:space="preserve">HR Analyst Review</w:t>
            </w:r>
          </w:p>
        </w:tc>
        <w:tc>
          <w:tcPr>
            <w:tcW w:type="dxa" w:w="3200"/>
            <w:tcMar>
              <w:top w:type="dxa" w:w="80"/>
              <w:left w:type="dxa" w:w="100"/>
              <w:bottom w:type="dxa" w:w="80"/>
              <w:right w:type="dxa" w:w="100"/>
            </w:tcMar>
          </w:tcPr>
          <w:p>
            <w:r>
              <w:rPr>
                <w:b w:val="false"/>
                <w:bCs w:val="false"/>
                <w:color w:val="000000"/>
                <w:sz w:val="20"/>
                <w:szCs w:val="20"/>
              </w:rPr>
              <w:t xml:space="preserve">HR Analyst</w:t>
            </w:r>
          </w:p>
        </w:tc>
        <w:tc>
          <w:tcPr>
            <w:tcW w:type="dxa" w:w="3300"/>
            <w:tcMar>
              <w:top w:type="dxa" w:w="80"/>
              <w:left w:type="dxa" w:w="100"/>
              <w:bottom w:type="dxa" w:w="80"/>
              <w:right w:type="dxa" w:w="100"/>
            </w:tcMar>
          </w:tcPr>
          <w:p>
            <w:r>
              <w:rPr>
                <w:b w:val="false"/>
                <w:bCs w:val="false"/>
                <w:color w:val="000000"/>
                <w:sz w:val="20"/>
                <w:szCs w:val="20"/>
              </w:rPr>
              <w:t xml:space="preserve">Terminal — Returned</w:t>
            </w:r>
          </w:p>
        </w:tc>
      </w:tr>
      <w:tr>
        <w:tc>
          <w:tcPr>
            <w:tcW w:type="dxa" w:w="3000"/>
            <w:tcMar>
              <w:top w:type="dxa" w:w="80"/>
              <w:left w:type="dxa" w:w="100"/>
              <w:bottom w:type="dxa" w:w="80"/>
              <w:right w:type="dxa" w:w="100"/>
            </w:tcMar>
          </w:tcPr>
          <w:p>
            <w:r>
              <w:rPr>
                <w:b w:val="false"/>
                <w:bCs w:val="false"/>
                <w:color w:val="000000"/>
                <w:sz w:val="20"/>
                <w:szCs w:val="20"/>
              </w:rPr>
              <w:t xml:space="preserve">HR Head Review</w:t>
            </w:r>
          </w:p>
        </w:tc>
        <w:tc>
          <w:tcPr>
            <w:tcW w:type="dxa" w:w="3200"/>
            <w:tcMar>
              <w:top w:type="dxa" w:w="80"/>
              <w:left w:type="dxa" w:w="100"/>
              <w:bottom w:type="dxa" w:w="80"/>
              <w:right w:type="dxa" w:w="100"/>
            </w:tcMar>
          </w:tcPr>
          <w:p>
            <w:r>
              <w:rPr>
                <w:b w:val="false"/>
                <w:bCs w:val="false"/>
                <w:color w:val="000000"/>
                <w:sz w:val="20"/>
                <w:szCs w:val="20"/>
              </w:rPr>
              <w:t xml:space="preserve">Centralized Department Head, scoped to Human Resources</w:t>
            </w:r>
          </w:p>
        </w:tc>
        <w:tc>
          <w:tcPr>
            <w:tcW w:type="dxa" w:w="3300"/>
            <w:tcMar>
              <w:top w:type="dxa" w:w="80"/>
              <w:left w:type="dxa" w:w="100"/>
              <w:bottom w:type="dxa" w:w="80"/>
              <w:right w:type="dxa" w:w="100"/>
            </w:tcMar>
          </w:tcPr>
          <w:p>
            <w:r>
              <w:rPr>
                <w:b w:val="false"/>
                <w:bCs w:val="false"/>
                <w:color w:val="000000"/>
                <w:sz w:val="20"/>
                <w:szCs w:val="20"/>
              </w:rPr>
              <w:t xml:space="preserve">Terminal — Returned</w:t>
            </w:r>
          </w:p>
        </w:tc>
      </w:tr>
    </w:tbl>
    <w:p>
      <w:pPr>
        <w:spacing w:after="160" w:line="276"/>
      </w:pPr>
      <w:r>
        <w:t xml:space="preserve">Approval at every stage requires a comment only when returning, not when approving.</w:t>
      </w:r>
    </w:p>
    <w:p>
      <w:pPr>
        <w:pStyle w:val="Heading2"/>
        <w:spacing w:after="150" w:before="300"/>
      </w:pPr>
      <w:r>
        <w:t xml:space="preserve">11.1 Auto-generated follow-on requests</w:t>
      </w:r>
    </w:p>
    <w:p>
      <w:pPr>
        <w:spacing w:after="160" w:line="276"/>
      </w:pPr>
      <w:r>
        <w:t xml:space="preserve">The moment HR Head approval is granted, the hire is considered confirmed and two independent follow-on requests are created automatically:</w:t>
      </w:r>
    </w:p>
    <w:p>
      <w:pPr>
        <w:pStyle w:val="ListParagraph"/>
        <w:numPr>
          <w:ilvl w:val="0"/>
          <w:numId w:val="2"/>
        </w:numPr>
        <w:spacing w:after="80"/>
      </w:pPr>
      <w:r>
        <w:t xml:space="preserve">An Office 365 Account Request, reviewed by IS &amp; IT.</w:t>
      </w:r>
    </w:p>
    <w:p>
      <w:pPr>
        <w:pStyle w:val="ListParagraph"/>
        <w:numPr>
          <w:ilvl w:val="0"/>
          <w:numId w:val="2"/>
        </w:numPr>
        <w:spacing w:after="80"/>
      </w:pPr>
      <w:r>
        <w:t xml:space="preserve">A Mobile Phone Budget Request, reviewed by Admin Services.</w:t>
      </w:r>
    </w:p>
    <w:p>
      <w:pPr>
        <w:spacing w:after="160" w:line="276"/>
      </w:pPr>
      <w:r>
        <w:t xml:space="preserve">Both follow the same shape: a two-stage Reviewer → Approver chain within the reviewing department (a Centralized First-Level Reviewer decides first; only their Approve hands it to the Centralized Department Head/Approver for the final decision). A Reject at either stage is terminal for that follow-on request; it does not affect the headcount request itself, which is already fully approved by that point. These run independently of each other and of the headcount request — approving one has no effect on the others.</w:t>
      </w:r>
    </w:p>
    <w:p>
      <w:pPr>
        <w:spacing w:after="160" w:line="276"/>
      </w:pPr>
      <w:r>
        <w:t xml:space="preserve">Approved headcount requests feed the effective headcount shown in Manpower Budgeting (§12) and the automatic dollar attribution for salary-linked pay components there.</w:t>
      </w:r>
    </w:p>
    <w:p>
      <w:pPr>
        <w:pStyle w:val="Heading1"/>
        <w:spacing w:after="200" w:before="400"/>
      </w:pPr>
      <w:r>
        <w:t xml:space="preserve">12. Mobile Phone Policy</w:t>
      </w:r>
    </w:p>
    <w:p>
      <w:pPr>
        <w:spacing w:after="160" w:line="276"/>
      </w:pPr>
      <w:r>
        <w:t xml:space="preserve">A rank-tiered table (minimum rank, maximum rank, monthly budget limit), configured by the Budget Officer, governs mobile phone spend two ways:</w:t>
      </w:r>
    </w:p>
    <w:p>
      <w:pPr>
        <w:pStyle w:val="Heading2"/>
        <w:spacing w:after="150" w:before="300"/>
      </w:pPr>
      <w:r>
        <w:t xml:space="preserve">12.1 New applications via Standard Request</w:t>
      </w:r>
    </w:p>
    <w:p>
      <w:pPr>
        <w:spacing w:after="160" w:line="276"/>
      </w:pPr>
      <w:r>
        <w:t xml:space="preserve">When a Requestor selects the Mobile Phone catalog item on a Standard Request, the form switches to the Rank / Month Start sub-form described in §7.3: the monthly amount is fixed to the requestor's rank tier limit and cannot be typed over. An on-screen note clarifies this path is for new applications only — it should not be used for employees who already have a phone, and a new hire's phone should not be requested here at all, since it is generated automatically via the Additional Headcount flow instead (§11.1).</w:t>
      </w:r>
    </w:p>
    <w:p>
      <w:pPr>
        <w:pStyle w:val="Heading2"/>
        <w:spacing w:after="150" w:before="300"/>
      </w:pPr>
      <w:r>
        <w:t xml:space="preserve">12.2 Conditional CFO approval</w:t>
      </w:r>
    </w:p>
    <w:p>
      <w:pPr>
        <w:spacing w:after="160" w:line="276"/>
      </w:pPr>
      <w:r>
        <w:t xml:space="preserve">At submission time, the system checks whether the selected plan's value exceeds the requestor-entered rank's tier limit. If it does — or if the rank or plan cannot be resolved against the policy table at all (an unrecognized rank, or a non-standard "Others" plan whose value can't be verified) — the request is flagged as requiring CFO approval, and CFO Approval is inserted into the workflow immediately after Department Head approval (§9.2). Both failure modes fail safe toward requiring CFO review rather than silently skipping it.</w:t>
      </w:r>
    </w:p>
    <w:p>
      <w:pPr>
        <w:pStyle w:val="Heading1"/>
        <w:spacing w:after="200" w:before="400"/>
      </w:pPr>
      <w:r>
        <w:t xml:space="preserve">13. Manpower Budgeting</w:t>
      </w:r>
    </w:p>
    <w:p>
      <w:pPr>
        <w:spacing w:after="160" w:line="276"/>
      </w:pPr>
      <w:r>
        <w:t xml:space="preserve">Manpower Budgeting is a separate module, visible only to the HR Analyst (who owns it exclusively), the Human Resources Centralized Department Head ("HR Head", for approval), and the Budget Officer (for approval and final SAP upload). It budgets payroll-related spend across a fixed grid of pay components and the six companies (§4.2).</w:t>
      </w:r>
    </w:p>
    <w:p>
      <w:pPr>
        <w:pStyle w:val="Heading2"/>
        <w:spacing w:after="150" w:before="300"/>
      </w:pPr>
      <w:r>
        <w:t xml:space="preserve">13.1 Pay components</w:t>
      </w:r>
    </w:p>
    <w:p>
      <w:pPr>
        <w:spacing w:after="160" w:line="276"/>
      </w:pPr>
      <w:r>
        <w:t xml:space="preserve">Roughly nineteen fixed pay-component rows are tracked (Basic Pay, Guaranteed Bonus, three employer Government Contributions — SSS, Pag-Ibig, PhilHealth — plus around fourteen other components such as overtime, meal reimbursement, and other benefits). Five of these (Basic Pay, Guaranteed Bonus, and the three Government Contributions) are treated as the "Salary" section; the rest are "Other Manpower Benefits".</w:t>
      </w:r>
    </w:p>
    <w:p>
      <w:pPr>
        <w:pStyle w:val="Heading2"/>
        <w:spacing w:after="150" w:before="300"/>
      </w:pPr>
      <w:r>
        <w:t xml:space="preserve">13.2 Headcount &amp; Salary Template</w:t>
      </w:r>
    </w:p>
    <w:p>
      <w:pPr>
        <w:spacing w:after="160" w:line="276"/>
      </w:pPr>
      <w:r>
        <w:t xml:space="preserve">The HR Analyst uploads a two-sheet Excel workbook to establish headcount and salary data: an "Average Salary" sheet giving each Rank (1–12) its average salary and employer contribution rates, and a "Headcount per Company" sheet giving headcount by Rank for four of the six companies (the two "…Project" companies are excluded from this particular template). The upload is all-or-nothing — any required cell left blank rejects the entire file rather than partially applying it. A pre-filled version of the template (reflecting current values) can be downloaded first for convenience.</w:t>
      </w:r>
    </w:p>
    <w:p>
      <w:pPr>
        <w:pStyle w:val="Heading2"/>
        <w:spacing w:after="150" w:before="300"/>
      </w:pPr>
      <w:r>
        <w:t xml:space="preserve">13.3 Running the budget</w:t>
      </w:r>
    </w:p>
    <w:p>
      <w:pPr>
        <w:spacing w:after="160" w:line="276"/>
      </w:pPr>
      <w:r>
        <w:t xml:space="preserve">"Run Manpower Budget" pulls a mocked SAP year-to-date actuals figure for every (pay component, company) combination, then auto-fills the Remaining Forecast for the four roster-driven components from the uploaded roster: Basic Pay and the three Government Contributions are the monthly rate multiplied by the number of remaining months in the year, and Guaranteed Bonus is a flat two months of Basic Pay. Every other component/company cell remains manual — the HR Analyst enters its Remaining Forecast, month by month, directly in the grid.</w:t>
      </w:r>
    </w:p>
    <w:p>
      <w:pPr>
        <w:pStyle w:val="Heading2"/>
        <w:spacing w:after="150" w:before="300"/>
      </w:pPr>
      <w:r>
        <w:t xml:space="preserve">13.4 Merit Increase</w:t>
      </w:r>
    </w:p>
    <w:p>
      <w:pPr>
        <w:spacing w:after="160" w:line="276"/>
      </w:pPr>
      <w:r>
        <w:t xml:space="preserve">A single, editable Merit Increase Rate percentage applies per fiscal year (editable by the HR Analyst or Budget Officer). It is applied to every merit-eligible component (all Salary-section components except the Outsourced company, which is excluded) as (Actual + Forecast) × rate%.</w:t>
      </w:r>
    </w:p>
    <w:p>
      <w:pPr>
        <w:pStyle w:val="Heading2"/>
        <w:spacing w:after="150" w:before="300"/>
      </w:pPr>
      <w:r>
        <w:t xml:space="preserve">13.5 Additional Headcount attribution</w:t>
      </w:r>
    </w:p>
    <w:p>
      <w:pPr>
        <w:spacing w:after="160" w:line="276"/>
      </w:pPr>
      <w:r>
        <w:t xml:space="preserve">For the five salary-linked components, the dollar impact of every currently Approved Additional Headcount Request is computed automatically by looking up the request's Rank against the salary table from §13.2: Basic Pay and the three Government Contributions use a full twelve months (an approved headcount add is treated as a permanent annual budget change, not a remaining-months catch-up), and Guaranteed Bonus uses two months of that rank's basic pay, matching its flat treatment everywhere else. Every other pay component keeps a manual, HR-Analyst-entered dollar amount per company instead.</w:t>
      </w:r>
    </w:p>
    <w:p>
      <w:pPr>
        <w:pStyle w:val="Heading2"/>
        <w:spacing w:after="150" w:before="300"/>
      </w:pPr>
      <w:r>
        <w:t xml:space="preserve">13.6 Headcount Adjustment</w:t>
      </w:r>
    </w:p>
    <w:p>
      <w:pPr>
        <w:spacing w:after="160" w:line="276"/>
      </w:pPr>
      <w:r>
        <w:t xml:space="preserve">The Budget Officer can apply a manual add/deduct override per company (not tied to any specific rank) directly on the Headcount table. Its dollar effect on the budget is costed at that company's average per-head rate (its roster total divided by its headcount) rather than a rank-specific lookup, using the same twelve-month / two-month convention as §13.5.</w:t>
      </w:r>
    </w:p>
    <w:p>
      <w:pPr>
        <w:pStyle w:val="Heading2"/>
        <w:spacing w:after="150" w:before="300"/>
      </w:pPr>
      <w:r>
        <w:t xml:space="preserve">13.7 Headcount summary</w:t>
      </w:r>
    </w:p>
    <w:p>
      <w:pPr>
        <w:spacing w:after="160" w:line="276"/>
      </w:pPr>
      <w:r>
        <w:t xml:space="preserve">For each company, Total Headcount = Current Headcount (from the uploaded roster) + Additional Headcount (from approved headcount requests) + Headcount Adjustment (the Budget Officer's manual override).</w:t>
      </w:r>
    </w:p>
    <w:p>
      <w:pPr>
        <w:pStyle w:val="Heading2"/>
        <w:spacing w:after="150" w:before="300"/>
      </w:pPr>
      <w:r>
        <w:t xml:space="preserve">13.8 Dashboard Report and export</w:t>
      </w:r>
    </w:p>
    <w:p>
      <w:pPr>
        <w:spacing w:after="160" w:line="276"/>
      </w:pPr>
      <w:r>
        <w:t xml:space="preserve">A Dashboard Report shows the Salary and Other Manpower Benefits sections with the four headline metrics (Actual + Forecast, Proposed Budget, and the increase/decrease amount and percentage versus that baseline), filterable by company. A "View Full Report" action opens a detailed modal with all nine metric columns and frozen row/column headers for easier reading. For the Other Manpower Benefits section specifically, the reported Proposed Budget is not the usual formula — it instead sums real, currently-active Standard Requests submitted against the matching catalog item(s), since those components are funded through the ordinary request pipeline rather than this module's own calculation. The report can be exported to Excel in two tabs mirroring the source reporting workbook: a totals-only "Dashboard Report" tab and a per-company "Excel Report" tab.</w:t>
      </w:r>
    </w:p>
    <w:p>
      <w:pPr>
        <w:pStyle w:val="Heading2"/>
        <w:spacing w:after="150" w:before="300"/>
      </w:pPr>
      <w:r>
        <w:t xml:space="preserve">13.9 Approval chain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100"/>
        <w:gridCol w:w="2500"/>
      </w:tblGrid>
      <w:tr>
        <w:trPr>
          <w:tblHeader/>
        </w:trPr>
        <w:tc>
          <w:tcPr>
            <w:tcW w:type="dxa" w:w="2400"/>
            <w:shd w:fill="10B981" w:color="auto" w:val="clear"/>
            <w:tcMar>
              <w:top w:type="dxa" w:w="80"/>
              <w:left w:type="dxa" w:w="100"/>
              <w:bottom w:type="dxa" w:w="80"/>
              <w:right w:type="dxa" w:w="100"/>
            </w:tcMar>
          </w:tcPr>
          <w:p>
            <w:r>
              <w:rPr>
                <w:b/>
                <w:bCs/>
                <w:color w:val="FFFFFF"/>
                <w:sz w:val="20"/>
                <w:szCs w:val="20"/>
              </w:rPr>
              <w:t xml:space="preserve">Stage</w:t>
            </w:r>
          </w:p>
        </w:tc>
        <w:tc>
          <w:tcPr>
            <w:tcW w:type="dxa" w:w="2500"/>
            <w:shd w:fill="10B981" w:color="auto" w:val="clear"/>
            <w:tcMar>
              <w:top w:type="dxa" w:w="80"/>
              <w:left w:type="dxa" w:w="100"/>
              <w:bottom w:type="dxa" w:w="80"/>
              <w:right w:type="dxa" w:w="100"/>
            </w:tcMar>
          </w:tcPr>
          <w:p>
            <w:r>
              <w:rPr>
                <w:b/>
                <w:bCs/>
                <w:color w:val="FFFFFF"/>
                <w:sz w:val="20"/>
                <w:szCs w:val="20"/>
              </w:rPr>
              <w:t xml:space="preserve">Decided by</w:t>
            </w:r>
          </w:p>
        </w:tc>
        <w:tc>
          <w:tcPr>
            <w:tcW w:type="dxa" w:w="2100"/>
            <w:shd w:fill="10B981" w:color="auto" w:val="clear"/>
            <w:tcMar>
              <w:top w:type="dxa" w:w="80"/>
              <w:left w:type="dxa" w:w="100"/>
              <w:bottom w:type="dxa" w:w="80"/>
              <w:right w:type="dxa" w:w="100"/>
            </w:tcMar>
          </w:tcPr>
          <w:p>
            <w:r>
              <w:rPr>
                <w:b/>
                <w:bCs/>
                <w:color w:val="FFFFFF"/>
                <w:sz w:val="20"/>
                <w:szCs w:val="20"/>
              </w:rPr>
              <w:t xml:space="preserve">On Approve</w:t>
            </w:r>
          </w:p>
        </w:tc>
        <w:tc>
          <w:tcPr>
            <w:tcW w:type="dxa" w:w="2500"/>
            <w:shd w:fill="10B981" w:color="auto" w:val="clear"/>
            <w:tcMar>
              <w:top w:type="dxa" w:w="80"/>
              <w:left w:type="dxa" w:w="100"/>
              <w:bottom w:type="dxa" w:w="80"/>
              <w:right w:type="dxa" w:w="100"/>
            </w:tcMar>
          </w:tcPr>
          <w:p>
            <w:r>
              <w:rPr>
                <w:b/>
                <w:bCs/>
                <w:color w:val="FFFFFF"/>
                <w:sz w:val="20"/>
                <w:szCs w:val="20"/>
              </w:rPr>
              <w:t xml:space="preserve">On Return</w:t>
            </w:r>
          </w:p>
        </w:tc>
      </w:tr>
      <w:tr>
        <w:tc>
          <w:tcPr>
            <w:tcW w:type="dxa" w:w="2400"/>
            <w:tcMar>
              <w:top w:type="dxa" w:w="80"/>
              <w:left w:type="dxa" w:w="100"/>
              <w:bottom w:type="dxa" w:w="80"/>
              <w:right w:type="dxa" w:w="100"/>
            </w:tcMar>
          </w:tcPr>
          <w:p>
            <w:r>
              <w:rPr>
                <w:b w:val="false"/>
                <w:bCs w:val="false"/>
                <w:color w:val="000000"/>
                <w:sz w:val="20"/>
                <w:szCs w:val="20"/>
              </w:rPr>
              <w:t xml:space="preserve">HR Analyst Draft</w:t>
            </w:r>
          </w:p>
        </w:tc>
        <w:tc>
          <w:tcPr>
            <w:tcW w:type="dxa" w:w="2500"/>
            <w:tcMar>
              <w:top w:type="dxa" w:w="80"/>
              <w:left w:type="dxa" w:w="100"/>
              <w:bottom w:type="dxa" w:w="80"/>
              <w:right w:type="dxa" w:w="100"/>
            </w:tcMar>
          </w:tcPr>
          <w:p>
            <w:r>
              <w:rPr>
                <w:b w:val="false"/>
                <w:bCs w:val="false"/>
                <w:color w:val="000000"/>
                <w:sz w:val="20"/>
                <w:szCs w:val="20"/>
              </w:rPr>
              <w:t xml:space="preserve">HR Analyst (drafts and runs the recompute)</w:t>
            </w:r>
          </w:p>
        </w:tc>
        <w:tc>
          <w:tcPr>
            <w:tcW w:type="dxa" w:w="2100"/>
            <w:tcMar>
              <w:top w:type="dxa" w:w="80"/>
              <w:left w:type="dxa" w:w="100"/>
              <w:bottom w:type="dxa" w:w="80"/>
              <w:right w:type="dxa" w:w="100"/>
            </w:tcMar>
          </w:tcPr>
          <w:p>
            <w:r>
              <w:rPr>
                <w:b w:val="false"/>
                <w:bCs w:val="false"/>
                <w:color w:val="000000"/>
                <w:sz w:val="20"/>
                <w:szCs w:val="20"/>
              </w:rPr>
              <w:t xml:space="preserve">Submit → HR Head Review</w:t>
            </w:r>
          </w:p>
        </w:tc>
        <w:tc>
          <w:tcPr>
            <w:tcW w:type="dxa" w:w="2500"/>
            <w:tcMar>
              <w:top w:type="dxa" w:w="80"/>
              <w:left w:type="dxa" w:w="100"/>
              <w:bottom w:type="dxa" w:w="80"/>
              <w:right w:type="dxa" w:w="100"/>
            </w:tcMar>
          </w:tcPr>
          <w:p>
            <w:r>
              <w:rPr>
                <w:b w:val="false"/>
                <w:bCs w:val="false"/>
                <w:color w:val="000000"/>
                <w:sz w:val="20"/>
                <w:szCs w:val="20"/>
              </w:rPr>
              <w:t xml:space="preserve">—</w:t>
            </w:r>
          </w:p>
        </w:tc>
      </w:tr>
      <w:tr>
        <w:tc>
          <w:tcPr>
            <w:tcW w:type="dxa" w:w="2400"/>
            <w:tcMar>
              <w:top w:type="dxa" w:w="80"/>
              <w:left w:type="dxa" w:w="100"/>
              <w:bottom w:type="dxa" w:w="80"/>
              <w:right w:type="dxa" w:w="100"/>
            </w:tcMar>
          </w:tcPr>
          <w:p>
            <w:r>
              <w:rPr>
                <w:b w:val="false"/>
                <w:bCs w:val="false"/>
                <w:color w:val="000000"/>
                <w:sz w:val="20"/>
                <w:szCs w:val="20"/>
              </w:rPr>
              <w:t xml:space="preserve">HR Head Review</w:t>
            </w:r>
          </w:p>
        </w:tc>
        <w:tc>
          <w:tcPr>
            <w:tcW w:type="dxa" w:w="2500"/>
            <w:tcMar>
              <w:top w:type="dxa" w:w="80"/>
              <w:left w:type="dxa" w:w="100"/>
              <w:bottom w:type="dxa" w:w="80"/>
              <w:right w:type="dxa" w:w="100"/>
            </w:tcMar>
          </w:tcPr>
          <w:p>
            <w:r>
              <w:rPr>
                <w:b w:val="false"/>
                <w:bCs w:val="false"/>
                <w:color w:val="000000"/>
                <w:sz w:val="20"/>
                <w:szCs w:val="20"/>
              </w:rPr>
              <w:t xml:space="preserve">Centralized Department Head, scoped to Human Resources</w:t>
            </w:r>
          </w:p>
        </w:tc>
        <w:tc>
          <w:tcPr>
            <w:tcW w:type="dxa" w:w="2100"/>
            <w:tcMar>
              <w:top w:type="dxa" w:w="80"/>
              <w:left w:type="dxa" w:w="100"/>
              <w:bottom w:type="dxa" w:w="80"/>
              <w:right w:type="dxa" w:w="100"/>
            </w:tcMar>
          </w:tcPr>
          <w:p>
            <w:r>
              <w:rPr>
                <w:b w:val="false"/>
                <w:bCs w:val="false"/>
                <w:color w:val="000000"/>
                <w:sz w:val="20"/>
                <w:szCs w:val="20"/>
              </w:rPr>
              <w:t xml:space="preserve">→ Budget Officer Review</w:t>
            </w:r>
          </w:p>
        </w:tc>
        <w:tc>
          <w:tcPr>
            <w:tcW w:type="dxa" w:w="2500"/>
            <w:tcMar>
              <w:top w:type="dxa" w:w="80"/>
              <w:left w:type="dxa" w:w="100"/>
              <w:bottom w:type="dxa" w:w="80"/>
              <w:right w:type="dxa" w:w="100"/>
            </w:tcMar>
          </w:tcPr>
          <w:p>
            <w:r>
              <w:rPr>
                <w:b w:val="false"/>
                <w:bCs w:val="false"/>
                <w:color w:val="000000"/>
                <w:sz w:val="20"/>
                <w:szCs w:val="20"/>
              </w:rPr>
              <w:t xml:space="preserve">→ HR Analyst Draft</w:t>
            </w:r>
          </w:p>
        </w:tc>
      </w:tr>
      <w:tr>
        <w:tc>
          <w:tcPr>
            <w:tcW w:type="dxa" w:w="2400"/>
            <w:tcMar>
              <w:top w:type="dxa" w:w="80"/>
              <w:left w:type="dxa" w:w="100"/>
              <w:bottom w:type="dxa" w:w="80"/>
              <w:right w:type="dxa" w:w="100"/>
            </w:tcMar>
          </w:tcPr>
          <w:p>
            <w:r>
              <w:rPr>
                <w:b w:val="false"/>
                <w:bCs w:val="false"/>
                <w:color w:val="000000"/>
                <w:sz w:val="20"/>
                <w:szCs w:val="20"/>
              </w:rPr>
              <w:t xml:space="preserve">Budget Officer Review</w:t>
            </w:r>
          </w:p>
        </w:tc>
        <w:tc>
          <w:tcPr>
            <w:tcW w:type="dxa" w:w="2500"/>
            <w:tcMar>
              <w:top w:type="dxa" w:w="80"/>
              <w:left w:type="dxa" w:w="100"/>
              <w:bottom w:type="dxa" w:w="80"/>
              <w:right w:type="dxa" w:w="100"/>
            </w:tcMar>
          </w:tcPr>
          <w:p>
            <w:r>
              <w:rPr>
                <w:b w:val="false"/>
                <w:bCs w:val="false"/>
                <w:color w:val="000000"/>
                <w:sz w:val="20"/>
                <w:szCs w:val="20"/>
              </w:rPr>
              <w:t xml:space="preserve">Budget Officer</w:t>
            </w:r>
          </w:p>
        </w:tc>
        <w:tc>
          <w:tcPr>
            <w:tcW w:type="dxa" w:w="2100"/>
            <w:tcMar>
              <w:top w:type="dxa" w:w="80"/>
              <w:left w:type="dxa" w:w="100"/>
              <w:bottom w:type="dxa" w:w="80"/>
              <w:right w:type="dxa" w:w="100"/>
            </w:tcMar>
          </w:tcPr>
          <w:p>
            <w:r>
              <w:rPr>
                <w:b w:val="false"/>
                <w:bCs w:val="false"/>
                <w:color w:val="000000"/>
                <w:sz w:val="20"/>
                <w:szCs w:val="20"/>
              </w:rPr>
              <w:t xml:space="preserve">Upload to SAP → Uploaded to SAP (no separate "Approved" stage — approval and the SAP push happen in one action)</w:t>
            </w:r>
          </w:p>
        </w:tc>
        <w:tc>
          <w:tcPr>
            <w:tcW w:type="dxa" w:w="2500"/>
            <w:tcMar>
              <w:top w:type="dxa" w:w="80"/>
              <w:left w:type="dxa" w:w="100"/>
              <w:bottom w:type="dxa" w:w="80"/>
              <w:right w:type="dxa" w:w="100"/>
            </w:tcMar>
          </w:tcPr>
          <w:p>
            <w:r>
              <w:rPr>
                <w:b w:val="false"/>
                <w:bCs w:val="false"/>
                <w:color w:val="000000"/>
                <w:sz w:val="20"/>
                <w:szCs w:val="20"/>
              </w:rPr>
              <w:t xml:space="preserve">→ HR Analyst Draft</w:t>
            </w:r>
          </w:p>
        </w:tc>
      </w:tr>
    </w:tbl>
    <w:p>
      <w:pPr>
        <w:pStyle w:val="Heading1"/>
        <w:spacing w:after="200" w:before="400"/>
      </w:pPr>
      <w:r>
        <w:t xml:space="preserve">14. Finalization and SAP Upload ("Step 5")</w:t>
      </w:r>
    </w:p>
    <w:p>
      <w:pPr>
        <w:spacing w:after="160" w:line="276"/>
      </w:pPr>
      <w:r>
        <w:t xml:space="preserve">The Step 5 dashboard is the Budget Officer's queue of every request currently at Budget Officer Review, filterable by Request Category (GAE, DOE, or the NPC/Revenue placeholders) and, for DOE specifically, further by the five SBUs (or an "All" view showing a per-SBU breakdown table).</w:t>
      </w:r>
    </w:p>
    <w:p>
      <w:pPr>
        <w:pStyle w:val="Heading2"/>
        <w:spacing w:after="150" w:before="300"/>
      </w:pPr>
      <w:r>
        <w:t xml:space="preserve">14.1 Board-Approved Budget</w:t>
      </w:r>
    </w:p>
    <w:p>
      <w:pPr>
        <w:spacing w:after="160" w:line="276"/>
      </w:pPr>
      <w:r>
        <w:t xml:space="preserve">The Budget Officer manually records the Board-Approved Budget figure for the fiscal year — eleven independently tracked numbers in total (one for GAE, and one each for DOE and Revenue across the five SBUs). Board approval itself happens entirely outside the system; the Budget Officer simply enters the resulting figure, and each entry is kept as an append-only history (the latest entry for a given category/SBU always wins). The dashboard shows this figure against the current Total Proposed Budget for the same scope, with a Variance amount and percentage. This figure is a reference/variance comparison only — it is not enforced as a hard ceiling that blocks approvals.</w:t>
      </w:r>
    </w:p>
    <w:p>
      <w:pPr>
        <w:pStyle w:val="Heading2"/>
        <w:spacing w:after="150" w:before="300"/>
      </w:pPr>
      <w:r>
        <w:t xml:space="preserve">14.2 Per-request actions</w:t>
      </w:r>
    </w:p>
    <w:p>
      <w:pPr>
        <w:spacing w:after="160" w:line="276"/>
      </w:pPr>
      <w:r>
        <w:t xml:space="preserve">Requests are grouped by owning (centralized) department. For each request the Budget Officer can:</w:t>
      </w:r>
    </w:p>
    <w:p>
      <w:pPr>
        <w:pStyle w:val="ListParagraph"/>
        <w:numPr>
          <w:ilvl w:val="0"/>
          <w:numId w:val="2"/>
        </w:numPr>
        <w:spacing w:after="80"/>
      </w:pPr>
      <w:r>
        <w:t xml:space="preserve">Apply a Budget Cut — an amount subtracted from the Proposed Amount. If the resulting net amount still exceeds the owning department's cap, the request is flagged Over-budget / Requires Realignment.</w:t>
      </w:r>
    </w:p>
    <w:p>
      <w:pPr>
        <w:pStyle w:val="ListParagraph"/>
        <w:numPr>
          <w:ilvl w:val="0"/>
          <w:numId w:val="2"/>
        </w:numPr>
        <w:spacing w:after="80"/>
      </w:pPr>
      <w:r>
        <w:t xml:space="preserve">Finalize — moves the request to Approved.</w:t>
      </w:r>
    </w:p>
    <w:p>
      <w:pPr>
        <w:pStyle w:val="ListParagraph"/>
        <w:numPr>
          <w:ilvl w:val="0"/>
          <w:numId w:val="2"/>
        </w:numPr>
        <w:spacing w:after="80"/>
      </w:pPr>
      <w:r>
        <w:t xml:space="preserve">Return… — sends the request back to a specific earlier stage (Department Head, Centralized First-Level Reviewer, Centralized Department Head, or BC&amp;A Head), with a mandatory Reason Code selected from the admin-managed list (§14.4).</w:t>
      </w:r>
    </w:p>
    <w:p>
      <w:pPr>
        <w:pStyle w:val="Heading2"/>
        <w:spacing w:after="150" w:before="300"/>
      </w:pPr>
      <w:r>
        <w:t xml:space="preserve">14.3 SAP upload</w:t>
      </w:r>
    </w:p>
    <w:p>
      <w:pPr>
        <w:spacing w:after="160" w:line="276"/>
      </w:pPr>
      <w:r>
        <w:t xml:space="preserve">See §9.5 — the "Ready for SAP Upload" panel on this same page is where Approved requests are selected and pushed.</w:t>
      </w:r>
    </w:p>
    <w:p>
      <w:pPr>
        <w:pStyle w:val="Heading1"/>
        <w:spacing w:after="200" w:before="400"/>
      </w:pPr>
      <w:r>
        <w:t xml:space="preserve">15. Admin Console</w:t>
      </w:r>
    </w:p>
    <w:p>
      <w:pPr>
        <w:spacing w:after="160" w:line="276"/>
      </w:pPr>
      <w:r>
        <w:t xml:space="preserve">Visible only to the Budget Officer, organized into six tabs:</w:t>
      </w:r>
    </w:p>
    <w:p>
      <w:pPr>
        <w:pStyle w:val="Heading2"/>
        <w:spacing w:after="150" w:before="300"/>
      </w:pPr>
      <w:r>
        <w:t xml:space="preserve">15.1 Expense Line Items</w:t>
      </w:r>
    </w:p>
    <w:p>
      <w:pPr>
        <w:spacing w:after="160" w:line="276"/>
      </w:pPr>
      <w:r>
        <w:t xml:space="preserve">Full catalog management — see §6.2. Also surfaces the queue of custom/unlisted submissions awaiting refinement (§6.1); an item cannot be removed while any existing request still references it.</w:t>
      </w:r>
    </w:p>
    <w:p>
      <w:pPr>
        <w:pStyle w:val="Heading2"/>
        <w:spacing w:after="150" w:before="300"/>
      </w:pPr>
      <w:r>
        <w:t xml:space="preserve">15.2 Growth Rate</w:t>
      </w:r>
    </w:p>
    <w:p>
      <w:pPr>
        <w:spacing w:after="160" w:line="276"/>
      </w:pPr>
      <w:r>
        <w:t xml:space="preserve">The system default rate and the Departmental Exception Table of per-department overrides, plus the full audit log — see §10.1.</w:t>
      </w:r>
    </w:p>
    <w:p>
      <w:pPr>
        <w:pStyle w:val="Heading2"/>
        <w:spacing w:after="150" w:before="300"/>
      </w:pPr>
      <w:r>
        <w:t xml:space="preserve">15.3 Thresholds</w:t>
      </w:r>
    </w:p>
    <w:p>
      <w:pPr>
        <w:spacing w:after="160" w:line="276"/>
      </w:pPr>
      <w:r>
        <w:t xml:space="preserve">The Documentation Threshold — the Proposed Amount above which a supporting attachment becomes mandatory to submit (§7.5).</w:t>
      </w:r>
    </w:p>
    <w:p>
      <w:pPr>
        <w:pStyle w:val="Heading2"/>
        <w:spacing w:after="150" w:before="300"/>
      </w:pPr>
      <w:r>
        <w:t xml:space="preserve">15.4 Reason Codes</w:t>
      </w:r>
    </w:p>
    <w:p>
      <w:pPr>
        <w:spacing w:after="160" w:line="276"/>
      </w:pPr>
      <w:r>
        <w:t xml:space="preserve">The standardized list of reasons available when the Budget Officer returns a request at Step 5 (§14.2). Codes can be added or deactivated (soft-deleted, never hard-removed, so historical references remain intact).</w:t>
      </w:r>
    </w:p>
    <w:p>
      <w:pPr>
        <w:pStyle w:val="Heading2"/>
        <w:spacing w:after="150" w:before="300"/>
      </w:pPr>
      <w:r>
        <w:t xml:space="preserve">15.5 Role Assignments</w:t>
      </w:r>
    </w:p>
    <w:p>
      <w:pPr>
        <w:spacing w:after="160" w:line="276"/>
      </w:pPr>
      <w:r>
        <w:t xml:space="preserve">Assigns a Role × Department pair to any employee, searched from the full imported employee directory. The assignment's department is independently editable from the employee's own home department, which is what allows one person to hold a reviewing role for a department they don't personally belong to. Each user's login email can be corrected here as well. The directory itself can be refreshed in bulk via an "Upload Employee List" action, matched by employee ID number so existing logins are preserved across a refresh.</w:t>
      </w:r>
    </w:p>
    <w:p>
      <w:pPr>
        <w:pStyle w:val="Heading2"/>
        <w:spacing w:after="150" w:before="300"/>
      </w:pPr>
      <w:r>
        <w:t xml:space="preserve">15.6 Stage Due Dates</w:t>
      </w:r>
    </w:p>
    <w:p>
      <w:pPr>
        <w:spacing w:after="160" w:line="276"/>
      </w:pPr>
      <w:r>
        <w:t xml:space="preserve">The five global due dates referenced in §9.4: Finalize Forecast; Departmental Request Creation &amp; Authorization (covers Draft submission and Department Head Review); Centralized First-Level Review; Centralized Department Head Review; and BC&amp;A Head Approval &amp; Finalization (covers BC&amp;A Review and Step 5). Each is a single date applied to every department — there is no per-department due date. A past-due date is visually flagged and blocks the corresponding action until moved.</w:t>
      </w:r>
    </w:p>
    <w:p>
      <w:pPr>
        <w:pStyle w:val="Heading2"/>
        <w:spacing w:after="150" w:before="300"/>
      </w:pPr>
      <w:r>
        <w:t xml:space="preserve">15.7 Configuration living elsewhere</w:t>
      </w:r>
    </w:p>
    <w:p>
      <w:pPr>
        <w:spacing w:after="160" w:line="276"/>
      </w:pPr>
      <w:r>
        <w:t xml:space="preserve">A few additional Budget-Officer/HR-gated settings live on the pages they most directly affect, rather than in the Admin Console tab bar:</w:t>
      </w:r>
    </w:p>
    <w:p>
      <w:pPr>
        <w:pStyle w:val="ListParagraph"/>
        <w:numPr>
          <w:ilvl w:val="0"/>
          <w:numId w:val="2"/>
        </w:numPr>
        <w:spacing w:after="80"/>
      </w:pPr>
      <w:r>
        <w:t xml:space="preserve">The Fiscal Cycle "as-of month" cutoff and the Historical Actuals bulk upload/manual edit — on the Forecast page.</w:t>
      </w:r>
    </w:p>
    <w:p>
      <w:pPr>
        <w:pStyle w:val="ListParagraph"/>
        <w:numPr>
          <w:ilvl w:val="0"/>
          <w:numId w:val="2"/>
        </w:numPr>
        <w:spacing w:after="80"/>
      </w:pPr>
      <w:r>
        <w:t xml:space="preserve">Mobile Phone Policy Tiers — referenced from the Mobile Phone sub-form (§12); managed via the same admin API.</w:t>
      </w:r>
    </w:p>
    <w:p>
      <w:pPr>
        <w:pStyle w:val="ListParagraph"/>
        <w:numPr>
          <w:ilvl w:val="0"/>
          <w:numId w:val="2"/>
        </w:numPr>
        <w:spacing w:after="80"/>
      </w:pPr>
      <w:r>
        <w:t xml:space="preserve">Board-Approved Budget entry — on the Step 5 page (§14.1).</w:t>
      </w:r>
    </w:p>
    <w:p>
      <w:pPr>
        <w:pStyle w:val="ListParagraph"/>
        <w:numPr>
          <w:ilvl w:val="0"/>
          <w:numId w:val="2"/>
        </w:numPr>
        <w:spacing w:after="80"/>
      </w:pPr>
      <w:r>
        <w:t xml:space="preserve">Merit Increase Rate and Headcount Adjustment — on the Manpower Budgeting page (§13.4, §13.6).</w:t>
      </w:r>
    </w:p>
    <w:p>
      <w:pPr>
        <w:pStyle w:val="Heading1"/>
        <w:spacing w:after="200" w:before="400"/>
      </w:pPr>
      <w:r>
        <w:t xml:space="preserve">16. Cross-Cutting Features</w:t>
      </w:r>
    </w:p>
    <w:p>
      <w:pPr>
        <w:pStyle w:val="Heading2"/>
        <w:spacing w:after="150" w:before="300"/>
      </w:pPr>
      <w:r>
        <w:t xml:space="preserve">16.1 Authentication</w:t>
      </w:r>
    </w:p>
    <w:p>
      <w:pPr>
        <w:spacing w:after="160" w:line="276"/>
      </w:pPr>
      <w:r>
        <w:t xml:space="preserve">Users sign in with an email address and password. Every seeded and imported user (397 real employees plus demo accounts) shares a single bcrypt-hashed testing password, matching an explicit instruction that this is not meant to be production-secure. There is no session/token mechanism — the client stores the identifier returned at login and sends it on every subsequent request. This is adequate for the current internal testing/demo purpose but would need to be replaced before any production exposure.</w:t>
      </w:r>
    </w:p>
    <w:p>
      <w:pPr>
        <w:pStyle w:val="Heading2"/>
        <w:spacing w:after="150" w:before="300"/>
      </w:pPr>
      <w:r>
        <w:t xml:space="preserve">16.2 Inbox</w:t>
      </w:r>
    </w:p>
    <w:p>
      <w:pPr>
        <w:spacing w:after="160" w:line="276"/>
      </w:pPr>
      <w:r>
        <w:t xml:space="preserve">A single screen aggregates everything currently waiting on the logged-in user's action, across every workflow in the system: Standard/DOE budget requests, Additional Headcount Requests, Office 365 Account requests, Mobile Phone Budget requests, and Forecast approvals — each scoped by the user's roles and department(s). Every item shows its own approval history inline, and (for budget requests) a preview of where the item goes next if approved. A collapsed "Review History" section further down recalls everything the user has personally decided on across all five categories, since an actioned item otherwise disappears from view once it moves past the user's stage.</w:t>
      </w:r>
    </w:p>
    <w:p>
      <w:pPr>
        <w:pStyle w:val="Heading2"/>
        <w:spacing w:after="150" w:before="300"/>
      </w:pPr>
      <w:r>
        <w:t xml:space="preserve">16.3 My Requests</w:t>
      </w:r>
    </w:p>
    <w:p>
      <w:pPr>
        <w:spacing w:after="160" w:line="276"/>
      </w:pPr>
      <w:r>
        <w:t xml:space="preserve">Combines the current user's own Standard/DOE budget requests and Additional Headcount Requests into one list (sorted by creation date), showing each item's stage, amount, budget cut, and SAP document number where applicable. A headcount request's auto-generated Office 365 and Mobile Phone follow-on requests are shown nested underneath it, since they only exist because of it.</w:t>
      </w:r>
    </w:p>
    <w:p>
      <w:pPr>
        <w:pStyle w:val="Heading1"/>
        <w:spacing w:after="200" w:before="400"/>
      </w:pPr>
      <w:r>
        <w:t xml:space="preserve">17. Non-Functional Notes and Known Limitations</w:t>
      </w:r>
    </w:p>
    <w:p>
      <w:pPr>
        <w:spacing w:after="160" w:line="276"/>
      </w:pPr>
      <w:r>
        <w:t xml:space="preserve">The following are explicit, documented simplifications in the current build rather than oversights:</w:t>
      </w:r>
    </w:p>
    <w:p>
      <w:pPr>
        <w:pStyle w:val="ListParagraph"/>
        <w:numPr>
          <w:ilvl w:val="0"/>
          <w:numId w:val="2"/>
        </w:numPr>
        <w:spacing w:after="80"/>
      </w:pPr>
      <w:r>
        <w:t xml:space="preserve">Only Phase 1 (Annual Budget Setting) of the original four-phase roadmap is implemented. Utilization Tracking, Transfer &amp; Reallocation, and Reporting &amp; Analysis (Phases 2–4) do not exist in this system.</w:t>
      </w:r>
    </w:p>
    <w:p>
      <w:pPr>
        <w:pStyle w:val="ListParagraph"/>
        <w:numPr>
          <w:ilvl w:val="0"/>
          <w:numId w:val="2"/>
        </w:numPr>
        <w:spacing w:after="80"/>
      </w:pPr>
      <w:r>
        <w:t xml:space="preserve">Authentication is demo-grade — a single shared testing password across every account, no sessions, tokens, or SSO (§16.1).</w:t>
      </w:r>
    </w:p>
    <w:p>
      <w:pPr>
        <w:pStyle w:val="ListParagraph"/>
        <w:numPr>
          <w:ilvl w:val="0"/>
          <w:numId w:val="2"/>
        </w:numPr>
        <w:spacing w:after="80"/>
      </w:pPr>
      <w:r>
        <w:t xml:space="preserve">SAP integration is entirely mocked. Both the Cost Center Planning upload (§9.5) and the Manpower actuals pull (§13.3) are stand-ins behind a swappable interface, ready to be replaced by a real BAPI/RFC client without changing any calling code.</w:t>
      </w:r>
    </w:p>
    <w:p>
      <w:pPr>
        <w:pStyle w:val="ListParagraph"/>
        <w:numPr>
          <w:ilvl w:val="0"/>
          <w:numId w:val="2"/>
        </w:numPr>
        <w:spacing w:after="80"/>
      </w:pPr>
      <w:r>
        <w:t xml:space="preserve">"Real-time" cap/pool figures are implemented as always-current-on-read, not a live push/websocket mechanism — a page simply recomputes the figures fresh whenever it loads or refetches.</w:t>
      </w:r>
    </w:p>
    <w:p>
      <w:pPr>
        <w:pStyle w:val="ListParagraph"/>
        <w:numPr>
          <w:ilvl w:val="0"/>
          <w:numId w:val="2"/>
        </w:numPr>
        <w:spacing w:after="80"/>
      </w:pPr>
      <w:r>
        <w:t xml:space="preserve">No internal departmental budget realignment exists — at Step 5 the Budget Officer can only apply a cut or return a request; there is no mechanism to move budget from one department to another within the system.</w:t>
      </w:r>
    </w:p>
    <w:p>
      <w:pPr>
        <w:pStyle w:val="ListParagraph"/>
        <w:numPr>
          <w:ilvl w:val="0"/>
          <w:numId w:val="2"/>
        </w:numPr>
        <w:spacing w:after="80"/>
      </w:pPr>
      <w:r>
        <w:t xml:space="preserve">The original Variance Threshold requirement (mandatory justification for over-cap requests at Centralized First-Level Review) was built and later removed entirely — model, routes, and UI — per a later round of change requests.</w:t>
      </w:r>
    </w:p>
    <w:p>
      <w:pPr>
        <w:pStyle w:val="ListParagraph"/>
        <w:numPr>
          <w:ilvl w:val="0"/>
          <w:numId w:val="2"/>
        </w:numPr>
        <w:spacing w:after="80"/>
      </w:pPr>
      <w:r>
        <w:t xml:space="preserve">The Board-Approved Budget figure (§14.1) is a reference and variance-comparison figure only; it is never enforced as a hard ceiling that blocks approvals.</w:t>
      </w:r>
    </w:p>
    <w:p>
      <w:pPr>
        <w:pStyle w:val="ListParagraph"/>
        <w:numPr>
          <w:ilvl w:val="0"/>
          <w:numId w:val="2"/>
        </w:numPr>
        <w:spacing w:after="80"/>
      </w:pPr>
      <w:r>
        <w:t xml:space="preserve">Missed due dates (§9.4) hard-block the relevant action; there is no automated escalation or notification beyond the on-screen error.</w:t>
      </w:r>
    </w:p>
    <w:p>
      <w:pPr>
        <w:pStyle w:val="ListParagraph"/>
        <w:numPr>
          <w:ilvl w:val="0"/>
          <w:numId w:val="2"/>
        </w:numPr>
        <w:spacing w:after="80"/>
      </w:pPr>
      <w:r>
        <w:t xml:space="preserve">No automated test suite exists for this codebase; the application has been verified through manual end-to-end testing via both the API and the UI.</w:t>
      </w:r>
    </w:p>
    <w:p>
      <w:pPr>
        <w:pStyle w:val="ListParagraph"/>
        <w:numPr>
          <w:ilvl w:val="0"/>
          <w:numId w:val="2"/>
        </w:numPr>
        <w:spacing w:after="80"/>
      </w:pPr>
      <w:r>
        <w:t xml:space="preserve">Imported employees carry no system department mapping by default (the real organization's ~56 department names don't map cleanly onto this system's smaller, curated department set) — they can still be assigned any role at any department through Role Assignments regardless.</w:t>
      </w:r>
    </w:p>
    <w:p>
      <w:r>
        <w:br w:type="page"/>
      </w:r>
    </w:p>
    <w:p>
      <w:pPr>
        <w:pStyle w:val="Heading1"/>
        <w:spacing w:after="200" w:before="400"/>
      </w:pPr>
      <w:r>
        <w:t xml:space="preserve">Appendix A — Full Workflow Stage Reference</w:t>
      </w:r>
    </w:p>
    <w:p>
      <w:pPr>
        <w:pStyle w:val="Heading2"/>
        <w:spacing w:after="150" w:before="300"/>
      </w:pPr>
      <w:r>
        <w:t xml:space="preserve">A.1 Standard / DOE Budget Request</w:t>
      </w:r>
    </w:p>
    <w:p>
      <w:pPr>
        <w:spacing w:after="160" w:line="276"/>
      </w:pPr>
      <w:r>
        <w:t xml:space="preserve">Draft → Department Head Review → [CFO Approval, conditional] → Centralized First-Level Review → Centralized Department Head Review → [BC&amp;A Head Review, conditional if &gt; ₱1,000,000] → Budget Officer Review → Approved → Uploaded to SAP.</w:t>
      </w:r>
    </w:p>
    <w:p>
      <w:pPr>
        <w:spacing w:after="160" w:line="276"/>
      </w:pPr>
      <w:r>
        <w:t xml:space="preserve">Terminal off-ramps: Rejected (only possible at Centralized First-Level Review), Cancelled (Requestor, only while Draft or Department Head Review).</w:t>
      </w:r>
    </w:p>
    <w:p>
      <w:pPr>
        <w:pStyle w:val="Heading2"/>
        <w:spacing w:after="150" w:before="300"/>
      </w:pPr>
      <w:r>
        <w:t xml:space="preserve">A.2 Additional Headcount Request</w:t>
      </w:r>
    </w:p>
    <w:p>
      <w:pPr>
        <w:spacing w:after="160" w:line="276"/>
      </w:pPr>
      <w:r>
        <w:t xml:space="preserve">Department Head Review → HR Analyst Review → HR Head Review → Approved (auto-creates the two follow-ons below), or Returned (terminal) at any stage.</w:t>
      </w:r>
    </w:p>
    <w:p>
      <w:pPr>
        <w:pStyle w:val="Heading2"/>
        <w:spacing w:after="150" w:before="300"/>
      </w:pPr>
      <w:r>
        <w:t xml:space="preserve">A.3 Office 365 Account Request / Mobile Phone Budget Request (identical shape)</w:t>
      </w:r>
    </w:p>
    <w:p>
      <w:pPr>
        <w:spacing w:after="160" w:line="276"/>
      </w:pPr>
      <w:r>
        <w:t xml:space="preserve">Reviewer Review → Approver Review → Approved, or Rejected (terminal) at either stage.</w:t>
      </w:r>
    </w:p>
    <w:p>
      <w:pPr>
        <w:pStyle w:val="Heading2"/>
        <w:spacing w:after="150" w:before="300"/>
      </w:pPr>
      <w:r>
        <w:t xml:space="preserve">A.4 Forecast Submission</w:t>
      </w:r>
    </w:p>
    <w:p>
      <w:pPr>
        <w:spacing w:after="160" w:line="276"/>
      </w:pPr>
      <w:r>
        <w:t xml:space="preserve">Draft → Head Review → Budget Officer Review → Approved, or Returned (back to Draft) at either review stage.</w:t>
      </w:r>
    </w:p>
    <w:p>
      <w:pPr>
        <w:pStyle w:val="Heading2"/>
        <w:spacing w:after="150" w:before="300"/>
      </w:pPr>
      <w:r>
        <w:t xml:space="preserve">A.5 Manpower Budget Submission</w:t>
      </w:r>
    </w:p>
    <w:p>
      <w:pPr>
        <w:spacing w:after="160" w:line="276"/>
      </w:pPr>
      <w:r>
        <w:t xml:space="preserve">HR Analyst Draft → HR Head Review → Budget Officer Review → Uploaded to SAP, or Returned to HR Analyst Draft at either review stage.</w:t>
      </w:r>
    </w:p>
    <w:p>
      <w:pPr>
        <w:pStyle w:val="Heading1"/>
        <w:spacing w:after="200" w:before="400"/>
      </w:pPr>
      <w:r>
        <w:t xml:space="preserve">Appendix B — Role-to-Stage Mapping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4800"/>
      </w:tblGrid>
      <w:tr>
        <w:trPr>
          <w:tblHeader/>
        </w:trPr>
        <w:tc>
          <w:tcPr>
            <w:tcW w:type="dxa" w:w="4700"/>
            <w:shd w:fill="10B981" w:color="auto" w:val="clear"/>
            <w:tcMar>
              <w:top w:type="dxa" w:w="80"/>
              <w:left w:type="dxa" w:w="100"/>
              <w:bottom w:type="dxa" w:w="80"/>
              <w:right w:type="dxa" w:w="100"/>
            </w:tcMar>
          </w:tcPr>
          <w:p>
            <w:r>
              <w:rPr>
                <w:b/>
                <w:bCs/>
                <w:color w:val="FFFFFF"/>
                <w:sz w:val="20"/>
                <w:szCs w:val="20"/>
              </w:rPr>
              <w:t xml:space="preserve">Workflow stage</w:t>
            </w:r>
          </w:p>
        </w:tc>
        <w:tc>
          <w:tcPr>
            <w:tcW w:type="dxa" w:w="4800"/>
            <w:shd w:fill="10B981" w:color="auto" w:val="clear"/>
            <w:tcMar>
              <w:top w:type="dxa" w:w="80"/>
              <w:left w:type="dxa" w:w="100"/>
              <w:bottom w:type="dxa" w:w="80"/>
              <w:right w:type="dxa" w:w="100"/>
            </w:tcMar>
          </w:tcPr>
          <w:p>
            <w:r>
              <w:rPr>
                <w:b/>
                <w:bCs/>
                <w:color w:val="FFFFFF"/>
                <w:sz w:val="20"/>
                <w:szCs w:val="20"/>
              </w:rPr>
              <w:t xml:space="preserve">Role required</w:t>
            </w:r>
          </w:p>
        </w:tc>
      </w:tr>
      <w:tr>
        <w:tc>
          <w:tcPr>
            <w:tcW w:type="dxa" w:w="4700"/>
            <w:tcMar>
              <w:top w:type="dxa" w:w="80"/>
              <w:left w:type="dxa" w:w="100"/>
              <w:bottom w:type="dxa" w:w="80"/>
              <w:right w:type="dxa" w:w="100"/>
            </w:tcMar>
          </w:tcPr>
          <w:p>
            <w:r>
              <w:rPr>
                <w:b w:val="false"/>
                <w:bCs w:val="false"/>
                <w:color w:val="000000"/>
                <w:sz w:val="20"/>
                <w:szCs w:val="20"/>
              </w:rPr>
              <w:t xml:space="preserve">Budget Request — Department Head Review</w:t>
            </w:r>
          </w:p>
        </w:tc>
        <w:tc>
          <w:tcPr>
            <w:tcW w:type="dxa" w:w="4800"/>
            <w:tcMar>
              <w:top w:type="dxa" w:w="80"/>
              <w:left w:type="dxa" w:w="100"/>
              <w:bottom w:type="dxa" w:w="80"/>
              <w:right w:type="dxa" w:w="100"/>
            </w:tcMar>
          </w:tcPr>
          <w:p>
            <w:r>
              <w:rPr>
                <w:b w:val="false"/>
                <w:bCs w:val="false"/>
                <w:color w:val="000000"/>
                <w:sz w:val="20"/>
                <w:szCs w:val="20"/>
              </w:rPr>
              <w:t xml:space="preserve">Department Head (originating department)</w:t>
            </w:r>
          </w:p>
        </w:tc>
      </w:tr>
      <w:tr>
        <w:tc>
          <w:tcPr>
            <w:tcW w:type="dxa" w:w="4700"/>
            <w:tcMar>
              <w:top w:type="dxa" w:w="80"/>
              <w:left w:type="dxa" w:w="100"/>
              <w:bottom w:type="dxa" w:w="80"/>
              <w:right w:type="dxa" w:w="100"/>
            </w:tcMar>
          </w:tcPr>
          <w:p>
            <w:r>
              <w:rPr>
                <w:b w:val="false"/>
                <w:bCs w:val="false"/>
                <w:color w:val="000000"/>
                <w:sz w:val="20"/>
                <w:szCs w:val="20"/>
              </w:rPr>
              <w:t xml:space="preserve">Budget Request — CFO Approval</w:t>
            </w:r>
          </w:p>
        </w:tc>
        <w:tc>
          <w:tcPr>
            <w:tcW w:type="dxa" w:w="4800"/>
            <w:tcMar>
              <w:top w:type="dxa" w:w="80"/>
              <w:left w:type="dxa" w:w="100"/>
              <w:bottom w:type="dxa" w:w="80"/>
              <w:right w:type="dxa" w:w="100"/>
            </w:tcMar>
          </w:tcPr>
          <w:p>
            <w:r>
              <w:rPr>
                <w:b w:val="false"/>
                <w:bCs w:val="false"/>
                <w:color w:val="000000"/>
                <w:sz w:val="20"/>
                <w:szCs w:val="20"/>
              </w:rPr>
              <w:t xml:space="preserve">CFO</w:t>
            </w:r>
          </w:p>
        </w:tc>
      </w:tr>
      <w:tr>
        <w:tc>
          <w:tcPr>
            <w:tcW w:type="dxa" w:w="4700"/>
            <w:tcMar>
              <w:top w:type="dxa" w:w="80"/>
              <w:left w:type="dxa" w:w="100"/>
              <w:bottom w:type="dxa" w:w="80"/>
              <w:right w:type="dxa" w:w="100"/>
            </w:tcMar>
          </w:tcPr>
          <w:p>
            <w:r>
              <w:rPr>
                <w:b w:val="false"/>
                <w:bCs w:val="false"/>
                <w:color w:val="000000"/>
                <w:sz w:val="20"/>
                <w:szCs w:val="20"/>
              </w:rPr>
              <w:t xml:space="preserve">Budget Request — Centralized First-Level Review</w:t>
            </w:r>
          </w:p>
        </w:tc>
        <w:tc>
          <w:tcPr>
            <w:tcW w:type="dxa" w:w="4800"/>
            <w:tcMar>
              <w:top w:type="dxa" w:w="80"/>
              <w:left w:type="dxa" w:w="100"/>
              <w:bottom w:type="dxa" w:w="80"/>
              <w:right w:type="dxa" w:w="100"/>
            </w:tcMar>
          </w:tcPr>
          <w:p>
            <w:r>
              <w:rPr>
                <w:b w:val="false"/>
                <w:bCs w:val="false"/>
                <w:color w:val="000000"/>
                <w:sz w:val="20"/>
                <w:szCs w:val="20"/>
              </w:rPr>
              <w:t xml:space="preserve">Centralized First-Level Reviewer (owning department)</w:t>
            </w:r>
          </w:p>
        </w:tc>
      </w:tr>
      <w:tr>
        <w:tc>
          <w:tcPr>
            <w:tcW w:type="dxa" w:w="4700"/>
            <w:tcMar>
              <w:top w:type="dxa" w:w="80"/>
              <w:left w:type="dxa" w:w="100"/>
              <w:bottom w:type="dxa" w:w="80"/>
              <w:right w:type="dxa" w:w="100"/>
            </w:tcMar>
          </w:tcPr>
          <w:p>
            <w:r>
              <w:rPr>
                <w:b w:val="false"/>
                <w:bCs w:val="false"/>
                <w:color w:val="000000"/>
                <w:sz w:val="20"/>
                <w:szCs w:val="20"/>
              </w:rPr>
              <w:t xml:space="preserve">Budget Request — Centralized Department Head Review</w:t>
            </w:r>
          </w:p>
        </w:tc>
        <w:tc>
          <w:tcPr>
            <w:tcW w:type="dxa" w:w="4800"/>
            <w:tcMar>
              <w:top w:type="dxa" w:w="80"/>
              <w:left w:type="dxa" w:w="100"/>
              <w:bottom w:type="dxa" w:w="80"/>
              <w:right w:type="dxa" w:w="100"/>
            </w:tcMar>
          </w:tcPr>
          <w:p>
            <w:r>
              <w:rPr>
                <w:b w:val="false"/>
                <w:bCs w:val="false"/>
                <w:color w:val="000000"/>
                <w:sz w:val="20"/>
                <w:szCs w:val="20"/>
              </w:rPr>
              <w:t xml:space="preserve">Centralized Department Head (owning department)</w:t>
            </w:r>
          </w:p>
        </w:tc>
      </w:tr>
      <w:tr>
        <w:tc>
          <w:tcPr>
            <w:tcW w:type="dxa" w:w="4700"/>
            <w:tcMar>
              <w:top w:type="dxa" w:w="80"/>
              <w:left w:type="dxa" w:w="100"/>
              <w:bottom w:type="dxa" w:w="80"/>
              <w:right w:type="dxa" w:w="100"/>
            </w:tcMar>
          </w:tcPr>
          <w:p>
            <w:r>
              <w:rPr>
                <w:b w:val="false"/>
                <w:bCs w:val="false"/>
                <w:color w:val="000000"/>
                <w:sz w:val="20"/>
                <w:szCs w:val="20"/>
              </w:rPr>
              <w:t xml:space="preserve">Budget Request — BC&amp;A Head Review</w:t>
            </w:r>
          </w:p>
        </w:tc>
        <w:tc>
          <w:tcPr>
            <w:tcW w:type="dxa" w:w="4800"/>
            <w:tcMar>
              <w:top w:type="dxa" w:w="80"/>
              <w:left w:type="dxa" w:w="100"/>
              <w:bottom w:type="dxa" w:w="80"/>
              <w:right w:type="dxa" w:w="100"/>
            </w:tcMar>
          </w:tcPr>
          <w:p>
            <w:r>
              <w:rPr>
                <w:b w:val="false"/>
                <w:bCs w:val="false"/>
                <w:color w:val="000000"/>
                <w:sz w:val="20"/>
                <w:szCs w:val="20"/>
              </w:rPr>
              <w:t xml:space="preserve">BC&amp;A Head</w:t>
            </w:r>
          </w:p>
        </w:tc>
      </w:tr>
      <w:tr>
        <w:tc>
          <w:tcPr>
            <w:tcW w:type="dxa" w:w="4700"/>
            <w:tcMar>
              <w:top w:type="dxa" w:w="80"/>
              <w:left w:type="dxa" w:w="100"/>
              <w:bottom w:type="dxa" w:w="80"/>
              <w:right w:type="dxa" w:w="100"/>
            </w:tcMar>
          </w:tcPr>
          <w:p>
            <w:r>
              <w:rPr>
                <w:b w:val="false"/>
                <w:bCs w:val="false"/>
                <w:color w:val="000000"/>
                <w:sz w:val="20"/>
                <w:szCs w:val="20"/>
              </w:rPr>
              <w:t xml:space="preserve">Budget Request — Budget Officer Review / Step 5</w:t>
            </w:r>
          </w:p>
        </w:tc>
        <w:tc>
          <w:tcPr>
            <w:tcW w:type="dxa" w:w="4800"/>
            <w:tcMar>
              <w:top w:type="dxa" w:w="80"/>
              <w:left w:type="dxa" w:w="100"/>
              <w:bottom w:type="dxa" w:w="80"/>
              <w:right w:type="dxa" w:w="100"/>
            </w:tcMar>
          </w:tcPr>
          <w:p>
            <w:r>
              <w:rPr>
                <w:b w:val="false"/>
                <w:bCs w:val="false"/>
                <w:color w:val="000000"/>
                <w:sz w:val="20"/>
                <w:szCs w:val="20"/>
              </w:rPr>
              <w:t xml:space="preserve">Budget Officer</w:t>
            </w:r>
          </w:p>
        </w:tc>
      </w:tr>
      <w:tr>
        <w:tc>
          <w:tcPr>
            <w:tcW w:type="dxa" w:w="4700"/>
            <w:tcMar>
              <w:top w:type="dxa" w:w="80"/>
              <w:left w:type="dxa" w:w="100"/>
              <w:bottom w:type="dxa" w:w="80"/>
              <w:right w:type="dxa" w:w="100"/>
            </w:tcMar>
          </w:tcPr>
          <w:p>
            <w:r>
              <w:rPr>
                <w:b w:val="false"/>
                <w:bCs w:val="false"/>
                <w:color w:val="000000"/>
                <w:sz w:val="20"/>
                <w:szCs w:val="20"/>
              </w:rPr>
              <w:t xml:space="preserve">Headcount — Department Head Review</w:t>
            </w:r>
          </w:p>
        </w:tc>
        <w:tc>
          <w:tcPr>
            <w:tcW w:type="dxa" w:w="4800"/>
            <w:tcMar>
              <w:top w:type="dxa" w:w="80"/>
              <w:left w:type="dxa" w:w="100"/>
              <w:bottom w:type="dxa" w:w="80"/>
              <w:right w:type="dxa" w:w="100"/>
            </w:tcMar>
          </w:tcPr>
          <w:p>
            <w:r>
              <w:rPr>
                <w:b w:val="false"/>
                <w:bCs w:val="false"/>
                <w:color w:val="000000"/>
                <w:sz w:val="20"/>
                <w:szCs w:val="20"/>
              </w:rPr>
              <w:t xml:space="preserve">Department Head (originating department)</w:t>
            </w:r>
          </w:p>
        </w:tc>
      </w:tr>
      <w:tr>
        <w:tc>
          <w:tcPr>
            <w:tcW w:type="dxa" w:w="4700"/>
            <w:tcMar>
              <w:top w:type="dxa" w:w="80"/>
              <w:left w:type="dxa" w:w="100"/>
              <w:bottom w:type="dxa" w:w="80"/>
              <w:right w:type="dxa" w:w="100"/>
            </w:tcMar>
          </w:tcPr>
          <w:p>
            <w:r>
              <w:rPr>
                <w:b w:val="false"/>
                <w:bCs w:val="false"/>
                <w:color w:val="000000"/>
                <w:sz w:val="20"/>
                <w:szCs w:val="20"/>
              </w:rPr>
              <w:t xml:space="preserve">Headcount — HR Analyst Review</w:t>
            </w:r>
          </w:p>
        </w:tc>
        <w:tc>
          <w:tcPr>
            <w:tcW w:type="dxa" w:w="4800"/>
            <w:tcMar>
              <w:top w:type="dxa" w:w="80"/>
              <w:left w:type="dxa" w:w="100"/>
              <w:bottom w:type="dxa" w:w="80"/>
              <w:right w:type="dxa" w:w="100"/>
            </w:tcMar>
          </w:tcPr>
          <w:p>
            <w:r>
              <w:rPr>
                <w:b w:val="false"/>
                <w:bCs w:val="false"/>
                <w:color w:val="000000"/>
                <w:sz w:val="20"/>
                <w:szCs w:val="20"/>
              </w:rPr>
              <w:t xml:space="preserve">HR Analyst</w:t>
            </w:r>
          </w:p>
        </w:tc>
      </w:tr>
      <w:tr>
        <w:tc>
          <w:tcPr>
            <w:tcW w:type="dxa" w:w="4700"/>
            <w:tcMar>
              <w:top w:type="dxa" w:w="80"/>
              <w:left w:type="dxa" w:w="100"/>
              <w:bottom w:type="dxa" w:w="80"/>
              <w:right w:type="dxa" w:w="100"/>
            </w:tcMar>
          </w:tcPr>
          <w:p>
            <w:r>
              <w:rPr>
                <w:b w:val="false"/>
                <w:bCs w:val="false"/>
                <w:color w:val="000000"/>
                <w:sz w:val="20"/>
                <w:szCs w:val="20"/>
              </w:rPr>
              <w:t xml:space="preserve">Headcount — HR Head Review</w:t>
            </w:r>
          </w:p>
        </w:tc>
        <w:tc>
          <w:tcPr>
            <w:tcW w:type="dxa" w:w="4800"/>
            <w:tcMar>
              <w:top w:type="dxa" w:w="80"/>
              <w:left w:type="dxa" w:w="100"/>
              <w:bottom w:type="dxa" w:w="80"/>
              <w:right w:type="dxa" w:w="100"/>
            </w:tcMar>
          </w:tcPr>
          <w:p>
            <w:r>
              <w:rPr>
                <w:b w:val="false"/>
                <w:bCs w:val="false"/>
                <w:color w:val="000000"/>
                <w:sz w:val="20"/>
                <w:szCs w:val="20"/>
              </w:rPr>
              <w:t xml:space="preserve">Centralized Department Head (Human Resources)</w:t>
            </w:r>
          </w:p>
        </w:tc>
      </w:tr>
      <w:tr>
        <w:tc>
          <w:tcPr>
            <w:tcW w:type="dxa" w:w="4700"/>
            <w:tcMar>
              <w:top w:type="dxa" w:w="80"/>
              <w:left w:type="dxa" w:w="100"/>
              <w:bottom w:type="dxa" w:w="80"/>
              <w:right w:type="dxa" w:w="100"/>
            </w:tcMar>
          </w:tcPr>
          <w:p>
            <w:r>
              <w:rPr>
                <w:b w:val="false"/>
                <w:bCs w:val="false"/>
                <w:color w:val="000000"/>
                <w:sz w:val="20"/>
                <w:szCs w:val="20"/>
              </w:rPr>
              <w:t xml:space="preserve">Office 365 — Reviewer / Approver</w:t>
            </w:r>
          </w:p>
        </w:tc>
        <w:tc>
          <w:tcPr>
            <w:tcW w:type="dxa" w:w="4800"/>
            <w:tcMar>
              <w:top w:type="dxa" w:w="80"/>
              <w:left w:type="dxa" w:w="100"/>
              <w:bottom w:type="dxa" w:w="80"/>
              <w:right w:type="dxa" w:w="100"/>
            </w:tcMar>
          </w:tcPr>
          <w:p>
            <w:r>
              <w:rPr>
                <w:b w:val="false"/>
                <w:bCs w:val="false"/>
                <w:color w:val="000000"/>
                <w:sz w:val="20"/>
                <w:szCs w:val="20"/>
              </w:rPr>
              <w:t xml:space="preserve">Centralized First-Level Reviewer / Centralized Department Head (IS &amp; IT)</w:t>
            </w:r>
          </w:p>
        </w:tc>
      </w:tr>
      <w:tr>
        <w:tc>
          <w:tcPr>
            <w:tcW w:type="dxa" w:w="4700"/>
            <w:tcMar>
              <w:top w:type="dxa" w:w="80"/>
              <w:left w:type="dxa" w:w="100"/>
              <w:bottom w:type="dxa" w:w="80"/>
              <w:right w:type="dxa" w:w="100"/>
            </w:tcMar>
          </w:tcPr>
          <w:p>
            <w:r>
              <w:rPr>
                <w:b w:val="false"/>
                <w:bCs w:val="false"/>
                <w:color w:val="000000"/>
                <w:sz w:val="20"/>
                <w:szCs w:val="20"/>
              </w:rPr>
              <w:t xml:space="preserve">Mobile Phone Budget — Reviewer / Approver</w:t>
            </w:r>
          </w:p>
        </w:tc>
        <w:tc>
          <w:tcPr>
            <w:tcW w:type="dxa" w:w="4800"/>
            <w:tcMar>
              <w:top w:type="dxa" w:w="80"/>
              <w:left w:type="dxa" w:w="100"/>
              <w:bottom w:type="dxa" w:w="80"/>
              <w:right w:type="dxa" w:w="100"/>
            </w:tcMar>
          </w:tcPr>
          <w:p>
            <w:r>
              <w:rPr>
                <w:b w:val="false"/>
                <w:bCs w:val="false"/>
                <w:color w:val="000000"/>
                <w:sz w:val="20"/>
                <w:szCs w:val="20"/>
              </w:rPr>
              <w:t xml:space="preserve">Centralized First-Level Reviewer / Centralized Department Head (Admin Services)</w:t>
            </w:r>
          </w:p>
        </w:tc>
      </w:tr>
      <w:tr>
        <w:tc>
          <w:tcPr>
            <w:tcW w:type="dxa" w:w="4700"/>
            <w:tcMar>
              <w:top w:type="dxa" w:w="80"/>
              <w:left w:type="dxa" w:w="100"/>
              <w:bottom w:type="dxa" w:w="80"/>
              <w:right w:type="dxa" w:w="100"/>
            </w:tcMar>
          </w:tcPr>
          <w:p>
            <w:r>
              <w:rPr>
                <w:b w:val="false"/>
                <w:bCs w:val="false"/>
                <w:color w:val="000000"/>
                <w:sz w:val="20"/>
                <w:szCs w:val="20"/>
              </w:rPr>
              <w:t xml:space="preserve">Forecast — Head Review</w:t>
            </w:r>
          </w:p>
        </w:tc>
        <w:tc>
          <w:tcPr>
            <w:tcW w:type="dxa" w:w="4800"/>
            <w:tcMar>
              <w:top w:type="dxa" w:w="80"/>
              <w:left w:type="dxa" w:w="100"/>
              <w:bottom w:type="dxa" w:w="80"/>
              <w:right w:type="dxa" w:w="100"/>
            </w:tcMar>
          </w:tcPr>
          <w:p>
            <w:r>
              <w:rPr>
                <w:b w:val="false"/>
                <w:bCs w:val="false"/>
                <w:color w:val="000000"/>
                <w:sz w:val="20"/>
                <w:szCs w:val="20"/>
              </w:rPr>
              <w:t xml:space="preserve">Centralized Department Head (owning department)</w:t>
            </w:r>
          </w:p>
        </w:tc>
      </w:tr>
      <w:tr>
        <w:tc>
          <w:tcPr>
            <w:tcW w:type="dxa" w:w="4700"/>
            <w:tcMar>
              <w:top w:type="dxa" w:w="80"/>
              <w:left w:type="dxa" w:w="100"/>
              <w:bottom w:type="dxa" w:w="80"/>
              <w:right w:type="dxa" w:w="100"/>
            </w:tcMar>
          </w:tcPr>
          <w:p>
            <w:r>
              <w:rPr>
                <w:b w:val="false"/>
                <w:bCs w:val="false"/>
                <w:color w:val="000000"/>
                <w:sz w:val="20"/>
                <w:szCs w:val="20"/>
              </w:rPr>
              <w:t xml:space="preserve">Forecast — Budget Officer Review</w:t>
            </w:r>
          </w:p>
        </w:tc>
        <w:tc>
          <w:tcPr>
            <w:tcW w:type="dxa" w:w="4800"/>
            <w:tcMar>
              <w:top w:type="dxa" w:w="80"/>
              <w:left w:type="dxa" w:w="100"/>
              <w:bottom w:type="dxa" w:w="80"/>
              <w:right w:type="dxa" w:w="100"/>
            </w:tcMar>
          </w:tcPr>
          <w:p>
            <w:r>
              <w:rPr>
                <w:b w:val="false"/>
                <w:bCs w:val="false"/>
                <w:color w:val="000000"/>
                <w:sz w:val="20"/>
                <w:szCs w:val="20"/>
              </w:rPr>
              <w:t xml:space="preserve">Budget Officer</w:t>
            </w:r>
          </w:p>
        </w:tc>
      </w:tr>
      <w:tr>
        <w:tc>
          <w:tcPr>
            <w:tcW w:type="dxa" w:w="4700"/>
            <w:tcMar>
              <w:top w:type="dxa" w:w="80"/>
              <w:left w:type="dxa" w:w="100"/>
              <w:bottom w:type="dxa" w:w="80"/>
              <w:right w:type="dxa" w:w="100"/>
            </w:tcMar>
          </w:tcPr>
          <w:p>
            <w:r>
              <w:rPr>
                <w:b w:val="false"/>
                <w:bCs w:val="false"/>
                <w:color w:val="000000"/>
                <w:sz w:val="20"/>
                <w:szCs w:val="20"/>
              </w:rPr>
              <w:t xml:space="preserve">Manpower — HR Analyst Draft</w:t>
            </w:r>
          </w:p>
        </w:tc>
        <w:tc>
          <w:tcPr>
            <w:tcW w:type="dxa" w:w="4800"/>
            <w:tcMar>
              <w:top w:type="dxa" w:w="80"/>
              <w:left w:type="dxa" w:w="100"/>
              <w:bottom w:type="dxa" w:w="80"/>
              <w:right w:type="dxa" w:w="100"/>
            </w:tcMar>
          </w:tcPr>
          <w:p>
            <w:r>
              <w:rPr>
                <w:b w:val="false"/>
                <w:bCs w:val="false"/>
                <w:color w:val="000000"/>
                <w:sz w:val="20"/>
                <w:szCs w:val="20"/>
              </w:rPr>
              <w:t xml:space="preserve">HR Analyst</w:t>
            </w:r>
          </w:p>
        </w:tc>
      </w:tr>
      <w:tr>
        <w:tc>
          <w:tcPr>
            <w:tcW w:type="dxa" w:w="4700"/>
            <w:tcMar>
              <w:top w:type="dxa" w:w="80"/>
              <w:left w:type="dxa" w:w="100"/>
              <w:bottom w:type="dxa" w:w="80"/>
              <w:right w:type="dxa" w:w="100"/>
            </w:tcMar>
          </w:tcPr>
          <w:p>
            <w:r>
              <w:rPr>
                <w:b w:val="false"/>
                <w:bCs w:val="false"/>
                <w:color w:val="000000"/>
                <w:sz w:val="20"/>
                <w:szCs w:val="20"/>
              </w:rPr>
              <w:t xml:space="preserve">Manpower — HR Head Review</w:t>
            </w:r>
          </w:p>
        </w:tc>
        <w:tc>
          <w:tcPr>
            <w:tcW w:type="dxa" w:w="4800"/>
            <w:tcMar>
              <w:top w:type="dxa" w:w="80"/>
              <w:left w:type="dxa" w:w="100"/>
              <w:bottom w:type="dxa" w:w="80"/>
              <w:right w:type="dxa" w:w="100"/>
            </w:tcMar>
          </w:tcPr>
          <w:p>
            <w:r>
              <w:rPr>
                <w:b w:val="false"/>
                <w:bCs w:val="false"/>
                <w:color w:val="000000"/>
                <w:sz w:val="20"/>
                <w:szCs w:val="20"/>
              </w:rPr>
              <w:t xml:space="preserve">Centralized Department Head (Human Resources)</w:t>
            </w:r>
          </w:p>
        </w:tc>
      </w:tr>
      <w:tr>
        <w:tc>
          <w:tcPr>
            <w:tcW w:type="dxa" w:w="4700"/>
            <w:tcMar>
              <w:top w:type="dxa" w:w="80"/>
              <w:left w:type="dxa" w:w="100"/>
              <w:bottom w:type="dxa" w:w="80"/>
              <w:right w:type="dxa" w:w="100"/>
            </w:tcMar>
          </w:tcPr>
          <w:p>
            <w:r>
              <w:rPr>
                <w:b w:val="false"/>
                <w:bCs w:val="false"/>
                <w:color w:val="000000"/>
                <w:sz w:val="20"/>
                <w:szCs w:val="20"/>
              </w:rPr>
              <w:t xml:space="preserve">Manpower — Budget Officer Review</w:t>
            </w:r>
          </w:p>
        </w:tc>
        <w:tc>
          <w:tcPr>
            <w:tcW w:type="dxa" w:w="4800"/>
            <w:tcMar>
              <w:top w:type="dxa" w:w="80"/>
              <w:left w:type="dxa" w:w="100"/>
              <w:bottom w:type="dxa" w:w="80"/>
              <w:right w:type="dxa" w:w="100"/>
            </w:tcMar>
          </w:tcPr>
          <w:p>
            <w:r>
              <w:rPr>
                <w:b w:val="false"/>
                <w:bCs w:val="false"/>
                <w:color w:val="000000"/>
                <w:sz w:val="20"/>
                <w:szCs w:val="20"/>
              </w:rPr>
              <w:t xml:space="preserve">Budget Officer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Budgeting System — Functional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0B981" w:sz="6" w:space="4"/>
      </w:pBdr>
      <w:spacing w:after="200" w:before="400"/>
    </w:pPr>
    <w:rPr>
      <w:rFonts w:ascii="Calibri" w:cs="Calibri" w:eastAsia="Calibri" w:hAnsi="Calibri"/>
      <w:b/>
      <w:bCs/>
      <w:color w:val="047857"/>
      <w:sz w:val="32"/>
      <w:szCs w:val="32"/>
    </w:rPr>
  </w:style>
  <w:style w:type="paragraph" w:styleId="Heading2">
    <w:name w:val="Heading 2"/>
    <w:basedOn w:val="Normal"/>
    <w:next w:val="Normal"/>
    <w:qFormat/>
    <w:pPr>
      <w:spacing w:after="150" w:before="300"/>
    </w:pPr>
    <w:rPr>
      <w:rFonts w:ascii="Calibri" w:cs="Calibri" w:eastAsia="Calibri" w:hAnsi="Calibri"/>
      <w:b/>
      <w:bCs/>
      <w:color w:val="065F46"/>
      <w:sz w:val="26"/>
      <w:szCs w:val="26"/>
    </w:rPr>
  </w:style>
  <w:style w:type="paragraph" w:styleId="Heading3">
    <w:name w:val="Heading 3"/>
    <w:basedOn w:val="Normal"/>
    <w:next w:val="Normal"/>
    <w:qFormat/>
    <w:pPr>
      <w:spacing w:after="100" w:before="200"/>
    </w:pPr>
    <w:rPr>
      <w:rFonts w:ascii="Calibri" w:cs="Calibri" w:eastAsia="Calibri" w:hAnsi="Calibri"/>
      <w:b/>
      <w:bCs/>
      <w:i/>
      <w:i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2026-08-19T07:13:44.009Z</dcterms:created>
  <dcterms:modified xsi:type="dcterms:W3CDTF">2026-08-19T07:13:44.023Z</dcterms:modified>
</cp:coreProperties>
</file>

<file path=docProps/custom.xml><?xml version="1.0" encoding="utf-8"?>
<Properties xmlns="http://schemas.openxmlformats.org/officeDocument/2006/custom-properties" xmlns:vt="http://schemas.openxmlformats.org/officeDocument/2006/docPropsVTypes"/>
</file>