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5A5A5A"/>
          <w:sz w:val="20"/>
          <w:szCs w:val="20"/>
        </w:rPr>
        <w:t xml:space="preserve">Ortigas Group</w:t>
      </w:r>
    </w:p>
    <w:p>
      <w:pPr>
        <w:spacing w:after="60"/>
      </w:pPr>
      <w:r>
        <w:rPr>
          <w:rFonts w:ascii="Calibri" w:cs="Calibri" w:eastAsia="Calibri" w:hAnsi="Calibri"/>
          <w:b/>
          <w:bCs/>
          <w:color w:val="1B5E3A"/>
          <w:sz w:val="52"/>
          <w:szCs w:val="52"/>
        </w:rPr>
        <w:t xml:space="preserve">New Request User Guide</w:t>
      </w:r>
    </w:p>
    <w:p>
      <w:pPr>
        <w:spacing w:after="360"/>
      </w:pPr>
      <w:r>
        <w:rPr>
          <w:rFonts w:ascii="Calibri" w:cs="Calibri" w:eastAsia="Calibri" w:hAnsi="Calibri"/>
          <w:i/>
          <w:iCs/>
          <w:color w:val="5A5A5A"/>
          <w:sz w:val="22"/>
          <w:szCs w:val="22"/>
        </w:rPr>
        <w:t xml:space="preserve">General &amp; Administrative Expenses (GAE)  ·  Non-Project Capex (NPC)  ·  Additional Manpower</w:t>
      </w:r>
    </w:p>
    <w:p>
      <w:pPr>
        <w:pStyle w:val="Heading1"/>
        <w:pBdr>
          <w:bottom w:val="single" w:color="1B5E3A" w:sz="6" w:space="4"/>
        </w:pBdr>
        <w:spacing w:after="160" w:before="360"/>
      </w:pPr>
      <w:r>
        <w:rPr>
          <w:rFonts w:ascii="Calibri" w:cs="Calibri" w:eastAsia="Calibri" w:hAnsi="Calibri"/>
          <w:b/>
          <w:bCs/>
          <w:color w:val="1B5E3A"/>
          <w:sz w:val="32"/>
          <w:szCs w:val="32"/>
        </w:rPr>
        <w:t xml:space="preserve">1. Getting Started</w:t>
      </w:r>
    </w:p>
    <w:p>
      <w:pPr>
        <w:spacing w:after="140" w:line="276"/>
      </w:pPr>
      <w:r>
        <w:rPr>
          <w:rFonts w:ascii="Calibri" w:cs="Calibri" w:eastAsia="Calibri" w:hAnsi="Calibri"/>
          <w:i w:val="false"/>
          <w:iCs w:val="false"/>
          <w:color w:val="222222"/>
          <w:sz w:val="21"/>
          <w:szCs w:val="21"/>
        </w:rPr>
        <w:t xml:space="preserve">All three request types are started from the same place in the Budgeting System.</w:t>
      </w:r>
    </w:p>
    <w:p>
      <w:pPr>
        <w:spacing w:after="80" w:before="200"/>
      </w:pPr>
      <w:r>
        <w:rPr>
          <w:rFonts w:ascii="Calibri" w:cs="Calibri" w:eastAsia="Calibri" w:hAnsi="Calibri"/>
          <w:b/>
          <w:bCs/>
          <w:color w:val="222222"/>
          <w:sz w:val="21"/>
          <w:szCs w:val="21"/>
        </w:rPr>
        <w:t xml:space="preserve">Where to find New Request</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In the left sidebar, open the New Request menu.</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Choose the request type you need:</w:t>
      </w:r>
    </w:p>
    <w:p>
      <w:pPr>
        <w:pStyle w:val="ListParagraph"/>
        <w:numPr>
          <w:ilvl w:val="1"/>
          <w:numId w:val="2"/>
        </w:numPr>
        <w:spacing w:after="70" w:line="264"/>
      </w:pPr>
      <w:r>
        <w:rPr>
          <w:rFonts w:ascii="Calibri" w:cs="Calibri" w:eastAsia="Calibri" w:hAnsi="Calibri"/>
          <w:b w:val="false"/>
          <w:bCs w:val="false"/>
          <w:color w:val="222222"/>
          <w:sz w:val="21"/>
          <w:szCs w:val="21"/>
        </w:rPr>
        <w:t xml:space="preserve">General &amp; Administrative Expenses (GAE)</w:t>
      </w:r>
    </w:p>
    <w:p>
      <w:pPr>
        <w:pStyle w:val="ListParagraph"/>
        <w:numPr>
          <w:ilvl w:val="1"/>
          <w:numId w:val="2"/>
        </w:numPr>
        <w:spacing w:after="70" w:line="264"/>
      </w:pPr>
      <w:r>
        <w:rPr>
          <w:rFonts w:ascii="Calibri" w:cs="Calibri" w:eastAsia="Calibri" w:hAnsi="Calibri"/>
          <w:b w:val="false"/>
          <w:bCs w:val="false"/>
          <w:color w:val="222222"/>
          <w:sz w:val="21"/>
          <w:szCs w:val="21"/>
        </w:rPr>
        <w:t xml:space="preserve">Non-Project Capex (NPC)</w:t>
      </w:r>
    </w:p>
    <w:p>
      <w:pPr>
        <w:pStyle w:val="ListParagraph"/>
        <w:numPr>
          <w:ilvl w:val="1"/>
          <w:numId w:val="2"/>
        </w:numPr>
        <w:spacing w:after="70" w:line="264"/>
      </w:pPr>
      <w:r>
        <w:rPr>
          <w:rFonts w:ascii="Calibri" w:cs="Calibri" w:eastAsia="Calibri" w:hAnsi="Calibri"/>
          <w:b w:val="false"/>
          <w:bCs w:val="false"/>
          <w:color w:val="222222"/>
          <w:sz w:val="21"/>
          <w:szCs w:val="21"/>
        </w:rPr>
        <w:t xml:space="preserve">Additional Manpower</w:t>
      </w:r>
    </w:p>
    <w:p>
      <w:pPr>
        <w:pBdr>
          <w:left w:val="single" w:color="D9A441" w:sz="18" w:space="8"/>
        </w:pBdr>
        <w:spacing w:after="140" w:before="60"/>
        <w:ind w:left="360"/>
      </w:pPr>
      <w:r>
        <w:rPr>
          <w:rFonts w:ascii="Calibri" w:cs="Calibri" w:eastAsia="Calibri" w:hAnsi="Calibri"/>
          <w:b/>
          <w:bCs/>
          <w:color w:val="8A5A00"/>
          <w:sz w:val="20"/>
          <w:szCs w:val="20"/>
        </w:rPr>
        <w:t xml:space="preserve">Note: </w:t>
      </w:r>
      <w:r>
        <w:rPr>
          <w:rFonts w:ascii="Calibri" w:cs="Calibri" w:eastAsia="Calibri" w:hAnsi="Calibri"/>
          <w:color w:val="8A5A00"/>
          <w:sz w:val="20"/>
          <w:szCs w:val="20"/>
        </w:rPr>
        <w:t xml:space="preserve">If you open New Request without choosing a type from the menu, the page simply prompts you to “Select a request type from the menu on the left to begin.” Nothing is pre-selected for you.</w:t>
      </w:r>
    </w:p>
    <w:p>
      <w:pPr>
        <w:spacing w:after="80" w:before="200"/>
      </w:pPr>
      <w:r>
        <w:rPr>
          <w:rFonts w:ascii="Calibri" w:cs="Calibri" w:eastAsia="Calibri" w:hAnsi="Calibri"/>
          <w:b/>
          <w:bCs/>
          <w:color w:val="222222"/>
          <w:sz w:val="21"/>
          <w:szCs w:val="21"/>
        </w:rPr>
        <w:t xml:space="preserve">What you can see</w:t>
      </w:r>
    </w:p>
    <w:p>
      <w:pPr>
        <w:spacing w:after="140" w:line="276"/>
      </w:pPr>
      <w:r>
        <w:rPr>
          <w:rFonts w:ascii="Calibri" w:cs="Calibri" w:eastAsia="Calibri" w:hAnsi="Calibri"/>
          <w:i w:val="false"/>
          <w:iCs w:val="false"/>
          <w:color w:val="222222"/>
          <w:sz w:val="21"/>
          <w:szCs w:val="21"/>
        </w:rPr>
        <w:t xml:space="preserve">The expense line items you can choose from in GAE are limited to your own department's catalog. The SBUs you can choose from in NPC are limited to the SBU(s) you're scoped to, unless you are the Budget Officer, in which case you see everything.</w:t>
      </w:r>
    </w:p>
    <w:p>
      <w:pPr>
        <w:pStyle w:val="Heading1"/>
        <w:pBdr>
          <w:bottom w:val="single" w:color="1B5E3A" w:sz="6" w:space="4"/>
        </w:pBdr>
        <w:spacing w:after="160" w:before="360"/>
      </w:pPr>
      <w:r>
        <w:rPr>
          <w:rFonts w:ascii="Calibri" w:cs="Calibri" w:eastAsia="Calibri" w:hAnsi="Calibri"/>
          <w:b/>
          <w:bCs/>
          <w:color w:val="1B5E3A"/>
          <w:sz w:val="32"/>
          <w:szCs w:val="32"/>
        </w:rPr>
        <w:t xml:space="preserve">2. General &amp; Administrative Expenses (GAE)</w:t>
      </w:r>
    </w:p>
    <w:p>
      <w:pPr>
        <w:spacing w:after="140" w:line="276"/>
      </w:pPr>
      <w:r>
        <w:rPr>
          <w:rFonts w:ascii="Calibri" w:cs="Calibri" w:eastAsia="Calibri" w:hAnsi="Calibri"/>
          <w:i w:val="false"/>
          <w:iCs w:val="false"/>
          <w:color w:val="222222"/>
          <w:sz w:val="21"/>
          <w:szCs w:val="21"/>
        </w:rPr>
        <w:t xml:space="preserve">Use this form for a standard departmental expense against a line item already in your department's expense catalog.</w:t>
      </w:r>
    </w:p>
    <w:p>
      <w:pPr>
        <w:pStyle w:val="Heading2"/>
        <w:spacing w:after="120" w:before="280"/>
      </w:pPr>
      <w:r>
        <w:rPr>
          <w:rFonts w:ascii="Calibri" w:cs="Calibri" w:eastAsia="Calibri" w:hAnsi="Calibri"/>
          <w:b/>
          <w:bCs/>
          <w:color w:val="1B5E3A"/>
          <w:sz w:val="24"/>
          <w:szCs w:val="24"/>
        </w:rPr>
        <w:t xml:space="preserve">2.1 Filling Out the Form</w:t>
      </w:r>
    </w:p>
    <w:p>
      <w:pPr>
        <w:spacing w:after="80" w:before="200"/>
      </w:pPr>
      <w:r>
        <w:rPr>
          <w:rFonts w:ascii="Calibri" w:cs="Calibri" w:eastAsia="Calibri" w:hAnsi="Calibri"/>
          <w:b/>
          <w:bCs/>
          <w:color w:val="222222"/>
          <w:sz w:val="21"/>
          <w:szCs w:val="21"/>
        </w:rPr>
        <w:t xml:space="preserve">Originating Department &amp; Target Calendar Year</w:t>
      </w:r>
    </w:p>
    <w:p>
      <w:pPr>
        <w:spacing w:after="140" w:line="276"/>
      </w:pPr>
      <w:r>
        <w:rPr>
          <w:rFonts w:ascii="Calibri" w:cs="Calibri" w:eastAsia="Calibri" w:hAnsi="Calibri"/>
          <w:i w:val="false"/>
          <w:iCs w:val="false"/>
          <w:color w:val="222222"/>
          <w:sz w:val="21"/>
          <w:szCs w:val="21"/>
        </w:rPr>
        <w:t xml:space="preserve">Shown read-only at the top of the form — auto-filled from your own account and the fiscal year the budget cycle is currently open for. You cannot change these.</w:t>
      </w:r>
    </w:p>
    <w:p>
      <w:pPr>
        <w:spacing w:after="80" w:before="200"/>
      </w:pPr>
      <w:r>
        <w:rPr>
          <w:rFonts w:ascii="Calibri" w:cs="Calibri" w:eastAsia="Calibri" w:hAnsi="Calibri"/>
          <w:b/>
          <w:bCs/>
          <w:color w:val="222222"/>
          <w:sz w:val="21"/>
          <w:szCs w:val="21"/>
        </w:rPr>
        <w:t xml:space="preserve">Bulk upload alternative</w:t>
      </w:r>
    </w:p>
    <w:p>
      <w:pPr>
        <w:spacing w:after="140" w:line="276"/>
      </w:pPr>
      <w:r>
        <w:rPr>
          <w:rFonts w:ascii="Calibri" w:cs="Calibri" w:eastAsia="Calibri" w:hAnsi="Calibri"/>
          <w:i w:val="false"/>
          <w:iCs w:val="false"/>
          <w:color w:val="222222"/>
          <w:sz w:val="21"/>
          <w:szCs w:val="21"/>
        </w:rPr>
        <w:t xml:space="preserve">If you have many line items to submit at once, use Open Spreadsheet Template to download a pre-formatted Excel template, fill it offline, then use Upload Completed Template to submit it in one pass instead of filling the form manually.</w:t>
      </w:r>
    </w:p>
    <w:p>
      <w:pPr>
        <w:spacing w:after="80" w:before="200"/>
      </w:pPr>
      <w:r>
        <w:rPr>
          <w:rFonts w:ascii="Calibri" w:cs="Calibri" w:eastAsia="Calibri" w:hAnsi="Calibri"/>
          <w:b/>
          <w:bCs/>
          <w:color w:val="222222"/>
          <w:sz w:val="21"/>
          <w:szCs w:val="21"/>
        </w:rPr>
        <w:t xml:space="preserve">Expense Selection</w:t>
      </w:r>
    </w:p>
    <w:p>
      <w:pPr>
        <w:pStyle w:val="ListParagraph"/>
        <w:numPr>
          <w:ilvl w:val="0"/>
          <w:numId w:val="2"/>
        </w:numPr>
        <w:spacing w:after="70" w:line="264"/>
      </w:pPr>
      <w:r>
        <w:rPr>
          <w:rFonts w:ascii="Calibri" w:cs="Calibri" w:eastAsia="Calibri" w:hAnsi="Calibri"/>
          <w:b/>
          <w:bCs/>
          <w:color w:val="222222"/>
          <w:sz w:val="21"/>
          <w:szCs w:val="21"/>
        </w:rPr>
        <w:t xml:space="preserve">Expense Category </w:t>
      </w:r>
      <w:r>
        <w:rPr>
          <w:rFonts w:ascii="Calibri" w:cs="Calibri" w:eastAsia="Calibri" w:hAnsi="Calibri"/>
          <w:color w:val="222222"/>
          <w:sz w:val="21"/>
          <w:szCs w:val="21"/>
        </w:rPr>
        <w:t xml:space="preserve">— a searchable dropdown of your department's expense categories.</w:t>
      </w:r>
    </w:p>
    <w:p>
      <w:pPr>
        <w:pStyle w:val="ListParagraph"/>
        <w:numPr>
          <w:ilvl w:val="0"/>
          <w:numId w:val="2"/>
        </w:numPr>
        <w:spacing w:after="70" w:line="264"/>
      </w:pPr>
      <w:r>
        <w:rPr>
          <w:rFonts w:ascii="Calibri" w:cs="Calibri" w:eastAsia="Calibri" w:hAnsi="Calibri"/>
          <w:b/>
          <w:bCs/>
          <w:color w:val="222222"/>
          <w:sz w:val="21"/>
          <w:szCs w:val="21"/>
        </w:rPr>
        <w:t xml:space="preserve">Expense Line Item </w:t>
      </w:r>
      <w:r>
        <w:rPr>
          <w:rFonts w:ascii="Calibri" w:cs="Calibri" w:eastAsia="Calibri" w:hAnsi="Calibri"/>
          <w:color w:val="222222"/>
          <w:sz w:val="21"/>
          <w:szCs w:val="21"/>
        </w:rPr>
        <w:t xml:space="preserve">— a searchable dropdown showing each item's name, company, GL Account, and Cost Center.</w:t>
      </w:r>
    </w:p>
    <w:p>
      <w:pPr>
        <w:pStyle w:val="ListParagraph"/>
        <w:numPr>
          <w:ilvl w:val="0"/>
          <w:numId w:val="2"/>
        </w:numPr>
        <w:spacing w:after="70" w:line="264"/>
      </w:pPr>
      <w:r>
        <w:rPr>
          <w:rFonts w:ascii="Calibri" w:cs="Calibri" w:eastAsia="Calibri" w:hAnsi="Calibri"/>
          <w:b/>
          <w:bCs/>
          <w:color w:val="222222"/>
          <w:sz w:val="21"/>
          <w:szCs w:val="21"/>
        </w:rPr>
        <w:t xml:space="preserve">This expense isn't in the standard list </w:t>
      </w:r>
      <w:r>
        <w:rPr>
          <w:rFonts w:ascii="Calibri" w:cs="Calibri" w:eastAsia="Calibri" w:hAnsi="Calibri"/>
          <w:color w:val="222222"/>
          <w:sz w:val="21"/>
          <w:szCs w:val="21"/>
        </w:rPr>
        <w:t xml:space="preserve">— tick this box if nothing in the catalog fits. A free-text box appears instead, describing the expense for the Budget Officer to assign a GL/Cost Center to.</w:t>
      </w:r>
    </w:p>
    <w:p>
      <w:pPr>
        <w:spacing w:after="140" w:line="276"/>
      </w:pPr>
      <w:r>
        <w:rPr>
          <w:rFonts w:ascii="Calibri" w:cs="Calibri" w:eastAsia="Calibri" w:hAnsi="Calibri"/>
          <w:i w:val="false"/>
          <w:iCs w:val="false"/>
          <w:color w:val="222222"/>
          <w:sz w:val="21"/>
          <w:szCs w:val="21"/>
        </w:rPr>
        <w:t xml:space="preserve">If the line item you pick has a description, sample charges, or a spend-grid formula on file, an info box shows that detail automatically.</w:t>
      </w:r>
    </w:p>
    <w:p>
      <w:pPr>
        <w:pBdr>
          <w:left w:val="single" w:color="D9A441" w:sz="18" w:space="8"/>
        </w:pBdr>
        <w:spacing w:after="140" w:before="60"/>
        <w:ind w:left="360"/>
      </w:pPr>
      <w:r>
        <w:rPr>
          <w:rFonts w:ascii="Calibri" w:cs="Calibri" w:eastAsia="Calibri" w:hAnsi="Calibri"/>
          <w:b/>
          <w:bCs/>
          <w:color w:val="8A5A00"/>
          <w:sz w:val="20"/>
          <w:szCs w:val="20"/>
        </w:rPr>
        <w:t xml:space="preserve">Note: </w:t>
      </w:r>
      <w:r>
        <w:rPr>
          <w:rFonts w:ascii="Calibri" w:cs="Calibri" w:eastAsia="Calibri" w:hAnsi="Calibri"/>
          <w:color w:val="8A5A00"/>
          <w:sz w:val="20"/>
          <w:szCs w:val="20"/>
        </w:rPr>
        <w:t xml:space="preserve">Mobile Phone line items work differently: the amount is derived automatically from the employee's Rank and a configured budget limit, and is for new applications only — a new hire's phone request is generated automatically by the Additional Manpower flow instead, not filed here.</w:t>
      </w:r>
    </w:p>
    <w:p>
      <w:pPr>
        <w:spacing w:after="80" w:before="200"/>
      </w:pPr>
      <w:r>
        <w:rPr>
          <w:rFonts w:ascii="Calibri" w:cs="Calibri" w:eastAsia="Calibri" w:hAnsi="Calibri"/>
          <w:b/>
          <w:bCs/>
          <w:color w:val="222222"/>
          <w:sz w:val="21"/>
          <w:szCs w:val="21"/>
        </w:rPr>
        <w:t xml:space="preserve">Monthly Spend Grid</w:t>
      </w:r>
    </w:p>
    <w:p>
      <w:pPr>
        <w:spacing w:after="140" w:line="276"/>
      </w:pPr>
      <w:r>
        <w:rPr>
          <w:rFonts w:ascii="Calibri" w:cs="Calibri" w:eastAsia="Calibri" w:hAnsi="Calibri"/>
          <w:i w:val="false"/>
          <w:iCs w:val="false"/>
          <w:color w:val="222222"/>
          <w:sz w:val="21"/>
          <w:szCs w:val="21"/>
        </w:rPr>
        <w:t xml:space="preserve">Enter the proposed amount for each month, January through December.</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You can paste a full row of values copied from Excel or Word directly into the grid.</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Apply one amount to all months: type a single figure and click Fill all months to repeat it across the year.</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Clear all removes every entered amount so you can start over.</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The total shown at the bottom (“&lt;Year&gt; Proposed Amount”) updates live as you type, and flags itself if it exceeds the documentation threshold (see section 5.2).</w:t>
      </w:r>
    </w:p>
    <w:p>
      <w:pPr>
        <w:pBdr>
          <w:left w:val="single" w:color="D9A441" w:sz="18" w:space="8"/>
        </w:pBdr>
        <w:spacing w:after="140" w:before="60"/>
        <w:ind w:left="360"/>
      </w:pPr>
      <w:r>
        <w:rPr>
          <w:rFonts w:ascii="Calibri" w:cs="Calibri" w:eastAsia="Calibri" w:hAnsi="Calibri"/>
          <w:b/>
          <w:bCs/>
          <w:color w:val="8A5A00"/>
          <w:sz w:val="20"/>
          <w:szCs w:val="20"/>
        </w:rPr>
        <w:t xml:space="preserve">Note: </w:t>
      </w:r>
      <w:r>
        <w:rPr>
          <w:rFonts w:ascii="Calibri" w:cs="Calibri" w:eastAsia="Calibri" w:hAnsi="Calibri"/>
          <w:color w:val="8A5A00"/>
          <w:sz w:val="20"/>
          <w:szCs w:val="20"/>
        </w:rPr>
        <w:t xml:space="preserve">Some line items compute their own monthly amounts automatically from the Additional Fields or the Headcount &amp; Rate table on the right — for those, the grid is locked and shows “Computed automatically… and can't be edited directly.”</w:t>
      </w:r>
    </w:p>
    <w:p>
      <w:pPr>
        <w:spacing w:after="80" w:before="200"/>
      </w:pPr>
      <w:r>
        <w:rPr>
          <w:rFonts w:ascii="Calibri" w:cs="Calibri" w:eastAsia="Calibri" w:hAnsi="Calibri"/>
          <w:b/>
          <w:bCs/>
          <w:color w:val="222222"/>
          <w:sz w:val="21"/>
          <w:szCs w:val="21"/>
        </w:rPr>
        <w:t xml:space="preserve">Headcount &amp; Rate table (where it appears)</w:t>
      </w:r>
    </w:p>
    <w:p>
      <w:pPr>
        <w:spacing w:after="140" w:line="276"/>
      </w:pPr>
      <w:r>
        <w:rPr>
          <w:rFonts w:ascii="Calibri" w:cs="Calibri" w:eastAsia="Calibri" w:hAnsi="Calibri"/>
          <w:i w:val="false"/>
          <w:iCs w:val="false"/>
          <w:color w:val="222222"/>
          <w:sz w:val="21"/>
          <w:szCs w:val="21"/>
        </w:rPr>
        <w:t xml:space="preserve">For line items that are paid per head — Driver, Messenger, Operator, Drivers' Meal Allowance, and similar — the form replaces the flat Additional Fields section with a repeatable table instead:</w:t>
      </w:r>
    </w:p>
    <w:p>
      <w:pPr>
        <w:pStyle w:val="ListParagraph"/>
        <w:numPr>
          <w:ilvl w:val="0"/>
          <w:numId w:val="2"/>
        </w:numPr>
        <w:spacing w:after="70" w:line="264"/>
      </w:pPr>
      <w:r>
        <w:rPr>
          <w:rFonts w:ascii="Calibri" w:cs="Calibri" w:eastAsia="Calibri" w:hAnsi="Calibri"/>
          <w:b/>
          <w:bCs/>
          <w:color w:val="222222"/>
          <w:sz w:val="21"/>
          <w:szCs w:val="21"/>
        </w:rPr>
        <w:t xml:space="preserve">Headcount </w:t>
      </w:r>
      <w:r>
        <w:rPr>
          <w:rFonts w:ascii="Calibri" w:cs="Calibri" w:eastAsia="Calibri" w:hAnsi="Calibri"/>
          <w:color w:val="222222"/>
          <w:sz w:val="21"/>
          <w:szCs w:val="21"/>
        </w:rPr>
        <w:t xml:space="preserve">— how many people this row covers.</w:t>
      </w:r>
    </w:p>
    <w:p>
      <w:pPr>
        <w:pStyle w:val="ListParagraph"/>
        <w:numPr>
          <w:ilvl w:val="0"/>
          <w:numId w:val="2"/>
        </w:numPr>
        <w:spacing w:after="70" w:line="264"/>
      </w:pPr>
      <w:r>
        <w:rPr>
          <w:rFonts w:ascii="Calibri" w:cs="Calibri" w:eastAsia="Calibri" w:hAnsi="Calibri"/>
          <w:b/>
          <w:bCs/>
          <w:color w:val="222222"/>
          <w:sz w:val="21"/>
          <w:szCs w:val="21"/>
        </w:rPr>
        <w:t xml:space="preserve">Rate </w:t>
      </w:r>
      <w:r>
        <w:rPr>
          <w:rFonts w:ascii="Calibri" w:cs="Calibri" w:eastAsia="Calibri" w:hAnsi="Calibri"/>
          <w:color w:val="222222"/>
          <w:sz w:val="21"/>
          <w:szCs w:val="21"/>
        </w:rPr>
        <w:t xml:space="preserve">— the per-head monthly rate (label may vary by line item).</w:t>
      </w:r>
    </w:p>
    <w:p>
      <w:pPr>
        <w:pStyle w:val="ListParagraph"/>
        <w:numPr>
          <w:ilvl w:val="0"/>
          <w:numId w:val="2"/>
        </w:numPr>
        <w:spacing w:after="70" w:line="264"/>
      </w:pPr>
      <w:r>
        <w:rPr>
          <w:rFonts w:ascii="Calibri" w:cs="Calibri" w:eastAsia="Calibri" w:hAnsi="Calibri"/>
          <w:b/>
          <w:bCs/>
          <w:color w:val="222222"/>
          <w:sz w:val="21"/>
          <w:szCs w:val="21"/>
        </w:rPr>
        <w:t xml:space="preserve">Month Start </w:t>
      </w:r>
      <w:r>
        <w:rPr>
          <w:rFonts w:ascii="Calibri" w:cs="Calibri" w:eastAsia="Calibri" w:hAnsi="Calibri"/>
          <w:color w:val="222222"/>
          <w:sz w:val="21"/>
          <w:szCs w:val="21"/>
        </w:rPr>
        <w:t xml:space="preserve">— which month this row's cost begins — it's spread from that month through December.</w:t>
      </w:r>
    </w:p>
    <w:p>
      <w:pPr>
        <w:spacing w:after="140" w:line="276"/>
      </w:pPr>
      <w:r>
        <w:rPr>
          <w:rFonts w:ascii="Calibri" w:cs="Calibri" w:eastAsia="Calibri" w:hAnsi="Calibri"/>
          <w:i w:val="false"/>
          <w:iCs w:val="false"/>
          <w:color w:val="222222"/>
          <w:sz w:val="21"/>
          <w:szCs w:val="21"/>
        </w:rPr>
        <w:t xml:space="preserve">Use + Add row to model a change mid-year, for example 3 headcount starting January and 2 more starting July. Remove deletes a row. The Monthly Spend Grid total is the sum of every row.</w:t>
      </w:r>
    </w:p>
    <w:p>
      <w:pPr>
        <w:spacing w:after="80" w:before="200"/>
      </w:pPr>
      <w:r>
        <w:rPr>
          <w:rFonts w:ascii="Calibri" w:cs="Calibri" w:eastAsia="Calibri" w:hAnsi="Calibri"/>
          <w:b/>
          <w:bCs/>
          <w:color w:val="222222"/>
          <w:sz w:val="21"/>
          <w:szCs w:val="21"/>
        </w:rPr>
        <w:t xml:space="preserve">Additional Fields</w:t>
      </w:r>
    </w:p>
    <w:p>
      <w:pPr>
        <w:spacing w:after="140" w:line="276"/>
      </w:pPr>
      <w:r>
        <w:rPr>
          <w:rFonts w:ascii="Calibri" w:cs="Calibri" w:eastAsia="Calibri" w:hAnsi="Calibri"/>
          <w:i w:val="false"/>
          <w:iCs w:val="false"/>
          <w:color w:val="222222"/>
          <w:sz w:val="21"/>
          <w:szCs w:val="21"/>
        </w:rPr>
        <w:t xml:space="preserve">Any other fields the chosen line item requires appear here — plain text, numbers, or dropdowns (including multi-select, such as picking several spend months at once). Required fields are marked with a red asterisk (*).</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Employee Name: a searchable dropdown of real employees and any pending Additional Manpower reference codes not yet on the roster.</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Department: auto-fills once you pick the employee; read-only.</w:t>
      </w:r>
    </w:p>
    <w:p>
      <w:pPr>
        <w:spacing w:after="80" w:before="200"/>
      </w:pPr>
      <w:r>
        <w:rPr>
          <w:rFonts w:ascii="Calibri" w:cs="Calibri" w:eastAsia="Calibri" w:hAnsi="Calibri"/>
          <w:b/>
          <w:bCs/>
          <w:color w:val="222222"/>
          <w:sz w:val="21"/>
          <w:szCs w:val="21"/>
        </w:rPr>
        <w:t xml:space="preserve">Approval</w:t>
      </w:r>
    </w:p>
    <w:p>
      <w:pPr>
        <w:spacing w:after="140" w:line="276"/>
      </w:pPr>
      <w:r>
        <w:rPr>
          <w:rFonts w:ascii="Calibri" w:cs="Calibri" w:eastAsia="Calibri" w:hAnsi="Calibri"/>
          <w:i w:val="false"/>
          <w:iCs w:val="false"/>
          <w:color w:val="222222"/>
          <w:sz w:val="21"/>
          <w:szCs w:val="21"/>
        </w:rPr>
        <w:t xml:space="preserve">Pick who should review this request first:</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Department Head / Approver — the normal case, chosen from a searchable list.</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Centralized Department Head — shown instead, if you yourself are the Centralized Budget Preparer or Centralized First-Level Reviewer for this expense's own department. In that case there is no separate Department Head step; you assign the request straight to your Centralized Department Head.</w:t>
      </w:r>
    </w:p>
    <w:p>
      <w:pPr>
        <w:spacing w:after="80" w:before="200"/>
      </w:pPr>
      <w:r>
        <w:rPr>
          <w:rFonts w:ascii="Calibri" w:cs="Calibri" w:eastAsia="Calibri" w:hAnsi="Calibri"/>
          <w:b/>
          <w:bCs/>
          <w:color w:val="222222"/>
          <w:sz w:val="21"/>
          <w:szCs w:val="21"/>
        </w:rPr>
        <w:t xml:space="preserve">Business Justification</w:t>
      </w:r>
    </w:p>
    <w:p>
      <w:pPr>
        <w:spacing w:after="140" w:line="276"/>
      </w:pPr>
      <w:r>
        <w:rPr>
          <w:rFonts w:ascii="Calibri" w:cs="Calibri" w:eastAsia="Calibri" w:hAnsi="Calibri"/>
          <w:i w:val="false"/>
          <w:iCs w:val="false"/>
          <w:color w:val="222222"/>
          <w:sz w:val="21"/>
          <w:szCs w:val="21"/>
        </w:rPr>
        <w:t xml:space="preserve">A required free-text explanation of why this expense is needed.</w:t>
      </w:r>
    </w:p>
    <w:p>
      <w:pPr>
        <w:pStyle w:val="Heading2"/>
        <w:spacing w:after="120" w:before="280"/>
      </w:pPr>
      <w:r>
        <w:rPr>
          <w:rFonts w:ascii="Calibri" w:cs="Calibri" w:eastAsia="Calibri" w:hAnsi="Calibri"/>
          <w:b/>
          <w:bCs/>
          <w:color w:val="1B5E3A"/>
          <w:sz w:val="24"/>
          <w:szCs w:val="24"/>
        </w:rPr>
        <w:t xml:space="preserve">2.2 Saving, Attaching, and Submitting</w:t>
      </w:r>
    </w:p>
    <w:p>
      <w:pPr>
        <w:pStyle w:val="ListParagraph"/>
        <w:numPr>
          <w:ilvl w:val="0"/>
          <w:numId w:val="3"/>
        </w:numPr>
        <w:spacing w:after="90" w:line="264"/>
      </w:pPr>
      <w:r>
        <w:rPr>
          <w:rFonts w:ascii="Calibri" w:cs="Calibri" w:eastAsia="Calibri" w:hAnsi="Calibri"/>
          <w:color w:val="222222"/>
          <w:sz w:val="21"/>
          <w:szCs w:val="21"/>
        </w:rPr>
        <w:t xml:space="preserve">Click Save Draft once you've picked a line item (or entered a custom description). This creates the request in Draft status — nothing is routed for approval yet.</w:t>
      </w:r>
    </w:p>
    <w:p>
      <w:pPr>
        <w:pStyle w:val="ListParagraph"/>
        <w:numPr>
          <w:ilvl w:val="0"/>
          <w:numId w:val="3"/>
        </w:numPr>
        <w:spacing w:after="90" w:line="264"/>
      </w:pPr>
      <w:r>
        <w:rPr>
          <w:rFonts w:ascii="Calibri" w:cs="Calibri" w:eastAsia="Calibri" w:hAnsi="Calibri"/>
          <w:color w:val="222222"/>
          <w:sz w:val="21"/>
          <w:szCs w:val="21"/>
        </w:rPr>
        <w:t xml:space="preserve">On the draft, upload any Supporting attachments needed (invoices, quotations, etc.) using the file field provided.</w:t>
      </w:r>
    </w:p>
    <w:p>
      <w:pPr>
        <w:pStyle w:val="ListParagraph"/>
        <w:numPr>
          <w:ilvl w:val="0"/>
          <w:numId w:val="3"/>
        </w:numPr>
        <w:spacing w:after="90" w:line="264"/>
      </w:pPr>
      <w:r>
        <w:rPr>
          <w:rFonts w:ascii="Calibri" w:cs="Calibri" w:eastAsia="Calibri" w:hAnsi="Calibri"/>
          <w:color w:val="222222"/>
          <w:sz w:val="21"/>
          <w:szCs w:val="21"/>
        </w:rPr>
        <w:t xml:space="preserve">Click Submit for Approval when you're ready to send it into the review chain.</w:t>
      </w:r>
    </w:p>
    <w:p>
      <w:pPr>
        <w:spacing w:after="80" w:before="200"/>
      </w:pPr>
      <w:r>
        <w:rPr>
          <w:rFonts w:ascii="Calibri" w:cs="Calibri" w:eastAsia="Calibri" w:hAnsi="Calibri"/>
          <w:b/>
          <w:bCs/>
          <w:color w:val="222222"/>
          <w:sz w:val="21"/>
          <w:szCs w:val="21"/>
        </w:rPr>
        <w:t xml:space="preserve">Before it will submit, the system checks that:</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The budget cycle is open and the current stage's due date hasn't passed.</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The &lt;Year&gt; Proposed Amount is greater than zero.</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Business Justification is filled in.</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At least one Supporting attachment is uploaded, if the proposed amount exceeds the configured documentation threshold.</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Every required Additional Field is filled in — or, for a Headcount &amp; Rate line item, at least one complete row.</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A Department Head / Approver (or Centralized Department Head, if applicable) has been picked.</w:t>
      </w:r>
    </w:p>
    <w:p>
      <w:pPr>
        <w:pStyle w:val="Heading2"/>
        <w:spacing w:after="120" w:before="280"/>
      </w:pPr>
      <w:r>
        <w:rPr>
          <w:rFonts w:ascii="Calibri" w:cs="Calibri" w:eastAsia="Calibri" w:hAnsi="Calibri"/>
          <w:b/>
          <w:bCs/>
          <w:color w:val="1B5E3A"/>
          <w:sz w:val="24"/>
          <w:szCs w:val="24"/>
        </w:rPr>
        <w:t xml:space="preserve">2.3 Approval Chain</w:t>
      </w:r>
    </w:p>
    <w:p>
      <w:pPr>
        <w:spacing w:after="140" w:line="276"/>
      </w:pPr>
      <w:r>
        <w:rPr>
          <w:rFonts w:ascii="Calibri" w:cs="Calibri" w:eastAsia="Calibri" w:hAnsi="Calibri"/>
          <w:i w:val="false"/>
          <w:iCs w:val="false"/>
          <w:color w:val="222222"/>
          <w:sz w:val="21"/>
          <w:szCs w:val="21"/>
        </w:rPr>
        <w:t xml:space="preserve">Once submitted, a GAE request moves through the following stages in order. At every stage, the assigned reviewer can Approve (move it forward), Return to the previous stage, Return to you (the requestor), Reassign it to someone else, or Cancel it.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360"/>
      </w:tblGrid>
      <w:tr>
        <w:tc>
          <w:tcPr>
            <w:tcW w:type="dxa" w:w="2600"/>
            <w:shd w:fill="1B5E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Stage</w:t>
            </w:r>
          </w:p>
        </w:tc>
        <w:tc>
          <w:tcPr>
            <w:tcW w:type="dxa" w:w="3000"/>
            <w:shd w:fill="1B5E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Who handles it</w:t>
            </w:r>
          </w:p>
        </w:tc>
        <w:tc>
          <w:tcPr>
            <w:tcW w:type="dxa" w:w="4360"/>
            <w:shd w:fill="1B5E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 Dept Head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Your Department Head</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Skipped entirely if you are the Centralized Budget Preparer / Centralized First-Level Reviewer for your own department — your submission goes straight to stage 3.</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 CFO Approval</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CFO</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Only included when the request is flagged as requiring CFO approval (certain Mobile Phone cases).</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 Centralized Dept Requestor/Reviewer</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specific person on file for this exact line item</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Automatic — not a general role lookup. Also checks that your department's Forecast for the Remaining Months is complete (waived for fiscal year 2026).</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 Centralized Head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line item's Centralized Department Head (or whoever you picked, if own-department-initiated)</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5. Budget Officer Validation</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Budget Officer</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6. BC&amp;A Head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BC&amp;A Head</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Only included when the proposed amount is ₱1,000,000 or more.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7. Budget Officer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Budget Officer</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Final stage. “Finalize &amp; Upload” here marks the request Approved and sends it to SAP.</w:t>
            </w:r>
          </w:p>
        </w:tc>
      </w:tr>
    </w:tbl>
    <w:p>
      <w:pPr>
        <w:pStyle w:val="Heading1"/>
        <w:pBdr>
          <w:bottom w:val="single" w:color="1B5E3A" w:sz="6" w:space="4"/>
        </w:pBdr>
        <w:spacing w:after="160" w:before="360"/>
      </w:pPr>
      <w:r>
        <w:rPr>
          <w:rFonts w:ascii="Calibri" w:cs="Calibri" w:eastAsia="Calibri" w:hAnsi="Calibri"/>
          <w:b/>
          <w:bCs/>
          <w:color w:val="1B5E3A"/>
          <w:sz w:val="32"/>
          <w:szCs w:val="32"/>
        </w:rPr>
        <w:t xml:space="preserve">3. Non-Project Capex (NPC)</w:t>
      </w:r>
    </w:p>
    <w:p>
      <w:pPr>
        <w:spacing w:after="140" w:line="276"/>
      </w:pPr>
      <w:r>
        <w:rPr>
          <w:rFonts w:ascii="Calibri" w:cs="Calibri" w:eastAsia="Calibri" w:hAnsi="Calibri"/>
          <w:i w:val="false"/>
          <w:iCs w:val="false"/>
          <w:color w:val="222222"/>
          <w:sz w:val="21"/>
          <w:szCs w:val="21"/>
        </w:rPr>
        <w:t xml:space="preserve">A simpler, dedicated form for capital expenditure outside a formal project — there's no expense-line-item catalog, no 12-month spend grid, and no free-text justification box to fill in.</w:t>
      </w:r>
    </w:p>
    <w:p>
      <w:pPr>
        <w:pStyle w:val="Heading2"/>
        <w:spacing w:after="120" w:before="280"/>
      </w:pPr>
      <w:r>
        <w:rPr>
          <w:rFonts w:ascii="Calibri" w:cs="Calibri" w:eastAsia="Calibri" w:hAnsi="Calibri"/>
          <w:b/>
          <w:bCs/>
          <w:color w:val="1B5E3A"/>
          <w:sz w:val="24"/>
          <w:szCs w:val="24"/>
        </w:rPr>
        <w:t xml:space="preserve">3.1 Filling Out the Form</w:t>
      </w:r>
    </w:p>
    <w:p>
      <w:pPr>
        <w:spacing w:after="140" w:line="276"/>
      </w:pPr>
      <w:r>
        <w:rPr>
          <w:rFonts w:ascii="Calibri" w:cs="Calibri" w:eastAsia="Calibri" w:hAnsi="Calibri"/>
          <w:i w:val="false"/>
          <w:iCs w:val="false"/>
          <w:color w:val="222222"/>
          <w:sz w:val="21"/>
          <w:szCs w:val="21"/>
        </w:rPr>
        <w:t xml:space="preserve">Originating Department and Target Calendar Year are shown read-only, same as GAE.</w:t>
      </w:r>
    </w:p>
    <w:p>
      <w:pPr>
        <w:pStyle w:val="ListParagraph"/>
        <w:numPr>
          <w:ilvl w:val="0"/>
          <w:numId w:val="2"/>
        </w:numPr>
        <w:spacing w:after="70" w:line="264"/>
      </w:pPr>
      <w:r>
        <w:rPr>
          <w:rFonts w:ascii="Calibri" w:cs="Calibri" w:eastAsia="Calibri" w:hAnsi="Calibri"/>
          <w:b/>
          <w:bCs/>
          <w:color w:val="222222"/>
          <w:sz w:val="21"/>
          <w:szCs w:val="21"/>
        </w:rPr>
        <w:t xml:space="preserve">SBU * </w:t>
      </w:r>
      <w:r>
        <w:rPr>
          <w:rFonts w:ascii="Calibri" w:cs="Calibri" w:eastAsia="Calibri" w:hAnsi="Calibri"/>
          <w:color w:val="222222"/>
          <w:sz w:val="21"/>
          <w:szCs w:val="21"/>
        </w:rPr>
        <w:t xml:space="preserve">— Malls, Offices, Estates, Residential, Leisure, Corporate IT, Corporate HR, or Corporate Admin — limited to the SBU(s) you belong to unless you're the Budget Officer.</w:t>
      </w:r>
    </w:p>
    <w:p>
      <w:pPr>
        <w:pStyle w:val="ListParagraph"/>
        <w:numPr>
          <w:ilvl w:val="0"/>
          <w:numId w:val="2"/>
        </w:numPr>
        <w:spacing w:after="70" w:line="264"/>
      </w:pPr>
      <w:r>
        <w:rPr>
          <w:rFonts w:ascii="Calibri" w:cs="Calibri" w:eastAsia="Calibri" w:hAnsi="Calibri"/>
          <w:b/>
          <w:bCs/>
          <w:color w:val="222222"/>
          <w:sz w:val="21"/>
          <w:szCs w:val="21"/>
        </w:rPr>
        <w:t xml:space="preserve">Location * </w:t>
      </w:r>
      <w:r>
        <w:rPr>
          <w:rFonts w:ascii="Calibri" w:cs="Calibri" w:eastAsia="Calibri" w:hAnsi="Calibri"/>
          <w:color w:val="222222"/>
          <w:sz w:val="21"/>
          <w:szCs w:val="21"/>
        </w:rPr>
        <w:t xml:space="preserve">— OE, CC, GH, or CV.</w:t>
      </w:r>
    </w:p>
    <w:p>
      <w:pPr>
        <w:pStyle w:val="ListParagraph"/>
        <w:numPr>
          <w:ilvl w:val="0"/>
          <w:numId w:val="2"/>
        </w:numPr>
        <w:spacing w:after="70" w:line="264"/>
      </w:pPr>
      <w:r>
        <w:rPr>
          <w:rFonts w:ascii="Calibri" w:cs="Calibri" w:eastAsia="Calibri" w:hAnsi="Calibri"/>
          <w:b/>
          <w:bCs/>
          <w:color w:val="222222"/>
          <w:sz w:val="21"/>
          <w:szCs w:val="21"/>
        </w:rPr>
        <w:t xml:space="preserve">Project Title * </w:t>
      </w:r>
      <w:r>
        <w:rPr>
          <w:rFonts w:ascii="Calibri" w:cs="Calibri" w:eastAsia="Calibri" w:hAnsi="Calibri"/>
          <w:color w:val="222222"/>
          <w:sz w:val="21"/>
          <w:szCs w:val="21"/>
        </w:rPr>
        <w:t xml:space="preserve">— free text.</w:t>
      </w:r>
    </w:p>
    <w:p>
      <w:pPr>
        <w:pStyle w:val="ListParagraph"/>
        <w:numPr>
          <w:ilvl w:val="0"/>
          <w:numId w:val="2"/>
        </w:numPr>
        <w:spacing w:after="70" w:line="264"/>
      </w:pPr>
      <w:r>
        <w:rPr>
          <w:rFonts w:ascii="Calibri" w:cs="Calibri" w:eastAsia="Calibri" w:hAnsi="Calibri"/>
          <w:b/>
          <w:bCs/>
          <w:color w:val="222222"/>
          <w:sz w:val="21"/>
          <w:szCs w:val="21"/>
        </w:rPr>
        <w:t xml:space="preserve">Project Start * / Project End * </w:t>
      </w:r>
      <w:r>
        <w:rPr>
          <w:rFonts w:ascii="Calibri" w:cs="Calibri" w:eastAsia="Calibri" w:hAnsi="Calibri"/>
          <w:color w:val="222222"/>
          <w:sz w:val="21"/>
          <w:szCs w:val="21"/>
        </w:rPr>
        <w:t xml:space="preserve">— date pickers.</w:t>
      </w:r>
    </w:p>
    <w:p>
      <w:pPr>
        <w:pStyle w:val="ListParagraph"/>
        <w:numPr>
          <w:ilvl w:val="0"/>
          <w:numId w:val="2"/>
        </w:numPr>
        <w:spacing w:after="70" w:line="264"/>
      </w:pPr>
      <w:r>
        <w:rPr>
          <w:rFonts w:ascii="Calibri" w:cs="Calibri" w:eastAsia="Calibri" w:hAnsi="Calibri"/>
          <w:b/>
          <w:bCs/>
          <w:color w:val="222222"/>
          <w:sz w:val="21"/>
          <w:szCs w:val="21"/>
        </w:rPr>
        <w:t xml:space="preserve">Cost Center * </w:t>
      </w:r>
      <w:r>
        <w:rPr>
          <w:rFonts w:ascii="Calibri" w:cs="Calibri" w:eastAsia="Calibri" w:hAnsi="Calibri"/>
          <w:color w:val="222222"/>
          <w:sz w:val="21"/>
          <w:szCs w:val="21"/>
        </w:rPr>
        <w:t xml:space="preserve">— free text.</w:t>
      </w:r>
    </w:p>
    <w:p>
      <w:pPr>
        <w:pStyle w:val="ListParagraph"/>
        <w:numPr>
          <w:ilvl w:val="0"/>
          <w:numId w:val="2"/>
        </w:numPr>
        <w:spacing w:after="70" w:line="264"/>
      </w:pPr>
      <w:r>
        <w:rPr>
          <w:rFonts w:ascii="Calibri" w:cs="Calibri" w:eastAsia="Calibri" w:hAnsi="Calibri"/>
          <w:b/>
          <w:bCs/>
          <w:color w:val="222222"/>
          <w:sz w:val="21"/>
          <w:szCs w:val="21"/>
        </w:rPr>
        <w:t xml:space="preserve">Amount (VAT exclusive) * </w:t>
      </w:r>
      <w:r>
        <w:rPr>
          <w:rFonts w:ascii="Calibri" w:cs="Calibri" w:eastAsia="Calibri" w:hAnsi="Calibri"/>
          <w:color w:val="222222"/>
          <w:sz w:val="21"/>
          <w:szCs w:val="21"/>
        </w:rPr>
        <w:t xml:space="preserve">— a single total figure, not a month-by-month grid.</w:t>
      </w:r>
    </w:p>
    <w:p>
      <w:pPr>
        <w:pBdr>
          <w:left w:val="single" w:color="D9A441" w:sz="18" w:space="8"/>
        </w:pBdr>
        <w:spacing w:after="140" w:before="60"/>
        <w:ind w:left="360"/>
      </w:pPr>
      <w:r>
        <w:rPr>
          <w:rFonts w:ascii="Calibri" w:cs="Calibri" w:eastAsia="Calibri" w:hAnsi="Calibri"/>
          <w:b/>
          <w:bCs/>
          <w:color w:val="8A5A00"/>
          <w:sz w:val="20"/>
          <w:szCs w:val="20"/>
        </w:rPr>
        <w:t xml:space="preserve">Note: </w:t>
      </w:r>
      <w:r>
        <w:rPr>
          <w:rFonts w:ascii="Calibri" w:cs="Calibri" w:eastAsia="Calibri" w:hAnsi="Calibri"/>
          <w:color w:val="8A5A00"/>
          <w:sz w:val="20"/>
          <w:szCs w:val="20"/>
        </w:rPr>
        <w:t xml:space="preserve">Business Justification is not shown on this form at all — it's generated automatically as “NPC Project: &lt;Project Title&gt;”. A Budget Code is also generated for you automatically, built from the SBU and the fiscal year.</w:t>
      </w:r>
    </w:p>
    <w:p>
      <w:pPr>
        <w:spacing w:after="140" w:line="276"/>
      </w:pPr>
      <w:r>
        <w:rPr>
          <w:rFonts w:ascii="Calibri" w:cs="Calibri" w:eastAsia="Calibri" w:hAnsi="Calibri"/>
          <w:i w:val="false"/>
          <w:iCs w:val="false"/>
          <w:color w:val="222222"/>
          <w:sz w:val="21"/>
          <w:szCs w:val="21"/>
        </w:rPr>
        <w:t xml:space="preserve">Bulk upload is available the same way as GAE (Open Spreadsheet Template / Upload Completed Template), but stays disabled until you've picked an SBU.</w:t>
      </w:r>
    </w:p>
    <w:p>
      <w:pPr>
        <w:spacing w:after="80" w:before="200"/>
      </w:pPr>
      <w:r>
        <w:rPr>
          <w:rFonts w:ascii="Calibri" w:cs="Calibri" w:eastAsia="Calibri" w:hAnsi="Calibri"/>
          <w:b/>
          <w:bCs/>
          <w:color w:val="222222"/>
          <w:sz w:val="21"/>
          <w:szCs w:val="21"/>
        </w:rPr>
        <w:t xml:space="preserve">Approval</w:t>
      </w:r>
    </w:p>
    <w:p>
      <w:pPr>
        <w:spacing w:after="140" w:line="276"/>
      </w:pPr>
      <w:r>
        <w:rPr>
          <w:rFonts w:ascii="Calibri" w:cs="Calibri" w:eastAsia="Calibri" w:hAnsi="Calibri"/>
          <w:i w:val="false"/>
          <w:iCs w:val="false"/>
          <w:color w:val="222222"/>
          <w:sz w:val="21"/>
          <w:szCs w:val="21"/>
        </w:rPr>
        <w:t xml:space="preserve">Two approvers to pick, both from a searchable list:</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Department Head / Approver</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SBU or Division Head</w:t>
      </w:r>
    </w:p>
    <w:p>
      <w:pPr>
        <w:pStyle w:val="Heading2"/>
        <w:spacing w:after="120" w:before="280"/>
      </w:pPr>
      <w:r>
        <w:rPr>
          <w:rFonts w:ascii="Calibri" w:cs="Calibri" w:eastAsia="Calibri" w:hAnsi="Calibri"/>
          <w:b/>
          <w:bCs/>
          <w:color w:val="1B5E3A"/>
          <w:sz w:val="24"/>
          <w:szCs w:val="24"/>
        </w:rPr>
        <w:t xml:space="preserve">3.2 Saving, Attaching, and Submitting</w:t>
      </w:r>
    </w:p>
    <w:p>
      <w:pPr>
        <w:spacing w:after="140" w:line="276"/>
      </w:pPr>
      <w:r>
        <w:rPr>
          <w:rFonts w:ascii="Calibri" w:cs="Calibri" w:eastAsia="Calibri" w:hAnsi="Calibri"/>
          <w:i w:val="false"/>
          <w:iCs w:val="false"/>
          <w:color w:val="222222"/>
          <w:sz w:val="21"/>
          <w:szCs w:val="21"/>
        </w:rPr>
        <w:t xml:space="preserve">Same two-step flow as GAE: Save Draft first, add Supporting attachments if needed, then Submit for Approval. The server will stop you if any required field above is left blank (SBU, Location, Project Title, both project dates, Cost Center, or Amount).</w:t>
      </w:r>
    </w:p>
    <w:p>
      <w:pPr>
        <w:pStyle w:val="Heading2"/>
        <w:spacing w:after="120" w:before="280"/>
      </w:pPr>
      <w:r>
        <w:rPr>
          <w:rFonts w:ascii="Calibri" w:cs="Calibri" w:eastAsia="Calibri" w:hAnsi="Calibri"/>
          <w:b/>
          <w:bCs/>
          <w:color w:val="1B5E3A"/>
          <w:sz w:val="24"/>
          <w:szCs w:val="24"/>
        </w:rPr>
        <w:t xml:space="preserve">3.3 Approval Chain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360"/>
      </w:tblGrid>
      <w:tr>
        <w:tc>
          <w:tcPr>
            <w:tcW w:type="dxa" w:w="2600"/>
            <w:shd w:fill="1B5E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Stage</w:t>
            </w:r>
          </w:p>
        </w:tc>
        <w:tc>
          <w:tcPr>
            <w:tcW w:type="dxa" w:w="3000"/>
            <w:shd w:fill="1B5E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Who handles it</w:t>
            </w:r>
          </w:p>
        </w:tc>
        <w:tc>
          <w:tcPr>
            <w:tcW w:type="dxa" w:w="4360"/>
            <w:shd w:fill="1B5E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 Dept Head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Your Department Head</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Always included for NPC — there is no own-department skip here.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 SBU Finance Validation</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SBU Finance</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 SBU Finance Head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SBU Finance Head</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 SBU / Division Head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Whoever you picked as SBU or Division Head</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5. Budget Officer Validation</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Budget Officer</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6. BC&amp;A Head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BC&amp;A Head</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Always included for NPC — unlike GAE, this is not conditional on amount.</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7. Budget Officer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Budget Officer</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Final stage. “Finalize &amp; Upload” marks it Approved and sends it to SAP.</w:t>
            </w:r>
          </w:p>
        </w:tc>
      </w:tr>
    </w:tbl>
    <w:p>
      <w:pPr>
        <w:pBdr>
          <w:left w:val="single" w:color="D9A441" w:sz="18" w:space="8"/>
        </w:pBdr>
        <w:spacing w:after="140" w:before="60"/>
        <w:ind w:left="360"/>
      </w:pPr>
      <w:r>
        <w:rPr>
          <w:rFonts w:ascii="Calibri" w:cs="Calibri" w:eastAsia="Calibri" w:hAnsi="Calibri"/>
          <w:b/>
          <w:bCs/>
          <w:color w:val="8A5A00"/>
          <w:sz w:val="20"/>
          <w:szCs w:val="20"/>
        </w:rPr>
        <w:t xml:space="preserve">Note: </w:t>
      </w:r>
      <w:r>
        <w:rPr>
          <w:rFonts w:ascii="Calibri" w:cs="Calibri" w:eastAsia="Calibri" w:hAnsi="Calibri"/>
          <w:color w:val="8A5A00"/>
          <w:sz w:val="20"/>
          <w:szCs w:val="20"/>
        </w:rPr>
        <w:t xml:space="preserve">If an NPC request is returned to you, only the two approver picks can be changed on resubmission — the Amount and the auto-generated Business Justification stay locked.</w:t>
      </w:r>
    </w:p>
    <w:p>
      <w:pPr>
        <w:pStyle w:val="Heading1"/>
        <w:pBdr>
          <w:bottom w:val="single" w:color="1B5E3A" w:sz="6" w:space="4"/>
        </w:pBdr>
        <w:spacing w:after="160" w:before="360"/>
      </w:pPr>
      <w:r>
        <w:rPr>
          <w:rFonts w:ascii="Calibri" w:cs="Calibri" w:eastAsia="Calibri" w:hAnsi="Calibri"/>
          <w:b/>
          <w:bCs/>
          <w:color w:val="1B5E3A"/>
          <w:sz w:val="32"/>
          <w:szCs w:val="32"/>
        </w:rPr>
        <w:t xml:space="preserve">4. Additional Manpower</w:t>
      </w:r>
    </w:p>
    <w:p>
      <w:pPr>
        <w:spacing w:after="140" w:line="276"/>
      </w:pPr>
      <w:r>
        <w:rPr>
          <w:rFonts w:ascii="Calibri" w:cs="Calibri" w:eastAsia="Calibri" w:hAnsi="Calibri"/>
          <w:i w:val="false"/>
          <w:iCs w:val="false"/>
          <w:color w:val="222222"/>
          <w:sz w:val="21"/>
          <w:szCs w:val="21"/>
        </w:rPr>
        <w:t xml:space="preserve">Used to request a new headcount. This works differently from GAE and NPC: there is no Draft stage — your request is submitted and routed for review the moment you click the button, and a Return is final rather than something you can fix and resend.</w:t>
      </w:r>
    </w:p>
    <w:p>
      <w:pPr>
        <w:pStyle w:val="Heading2"/>
        <w:spacing w:after="120" w:before="280"/>
      </w:pPr>
      <w:r>
        <w:rPr>
          <w:rFonts w:ascii="Calibri" w:cs="Calibri" w:eastAsia="Calibri" w:hAnsi="Calibri"/>
          <w:b/>
          <w:bCs/>
          <w:color w:val="1B5E3A"/>
          <w:sz w:val="24"/>
          <w:szCs w:val="24"/>
        </w:rPr>
        <w:t xml:space="preserve">4.1 Filling Out the Form</w:t>
      </w:r>
    </w:p>
    <w:p>
      <w:pPr>
        <w:pStyle w:val="ListParagraph"/>
        <w:numPr>
          <w:ilvl w:val="0"/>
          <w:numId w:val="2"/>
        </w:numPr>
        <w:spacing w:after="70" w:line="264"/>
      </w:pPr>
      <w:r>
        <w:rPr>
          <w:rFonts w:ascii="Calibri" w:cs="Calibri" w:eastAsia="Calibri" w:hAnsi="Calibri"/>
          <w:b/>
          <w:bCs/>
          <w:color w:val="222222"/>
          <w:sz w:val="21"/>
          <w:szCs w:val="21"/>
        </w:rPr>
        <w:t xml:space="preserve">Position </w:t>
      </w:r>
      <w:r>
        <w:rPr>
          <w:rFonts w:ascii="Calibri" w:cs="Calibri" w:eastAsia="Calibri" w:hAnsi="Calibri"/>
          <w:color w:val="222222"/>
          <w:sz w:val="21"/>
          <w:szCs w:val="21"/>
        </w:rPr>
        <w:t xml:space="preserve">— a searchable dropdown of configured positions.</w:t>
      </w:r>
    </w:p>
    <w:p>
      <w:pPr>
        <w:pStyle w:val="ListParagraph"/>
        <w:numPr>
          <w:ilvl w:val="0"/>
          <w:numId w:val="2"/>
        </w:numPr>
        <w:spacing w:after="70" w:line="264"/>
      </w:pPr>
      <w:r>
        <w:rPr>
          <w:rFonts w:ascii="Calibri" w:cs="Calibri" w:eastAsia="Calibri" w:hAnsi="Calibri"/>
          <w:b/>
          <w:bCs/>
          <w:color w:val="222222"/>
          <w:sz w:val="21"/>
          <w:szCs w:val="21"/>
        </w:rPr>
        <w:t xml:space="preserve">Rank </w:t>
      </w:r>
      <w:r>
        <w:rPr>
          <w:rFonts w:ascii="Calibri" w:cs="Calibri" w:eastAsia="Calibri" w:hAnsi="Calibri"/>
          <w:color w:val="222222"/>
          <w:sz w:val="21"/>
          <w:szCs w:val="21"/>
        </w:rPr>
        <w:t xml:space="preserve">— 1 – Project-based, 2 – Outsourced, 3 – Associate, 4 – Senior Associate, 5 – Officer, 6 – Senior Officer, 7 – Associate Manager, 8 – Manager, 9 – Senior Manager, 10 – Assistant Vice President, 11 – Vice President, 12 – President.</w:t>
      </w:r>
    </w:p>
    <w:p>
      <w:pPr>
        <w:pStyle w:val="ListParagraph"/>
        <w:numPr>
          <w:ilvl w:val="0"/>
          <w:numId w:val="2"/>
        </w:numPr>
        <w:spacing w:after="70" w:line="264"/>
      </w:pPr>
      <w:r>
        <w:rPr>
          <w:rFonts w:ascii="Calibri" w:cs="Calibri" w:eastAsia="Calibri" w:hAnsi="Calibri"/>
          <w:b/>
          <w:bCs/>
          <w:color w:val="222222"/>
          <w:sz w:val="21"/>
          <w:szCs w:val="21"/>
        </w:rPr>
        <w:t xml:space="preserve">Company </w:t>
      </w:r>
      <w:r>
        <w:rPr>
          <w:rFonts w:ascii="Calibri" w:cs="Calibri" w:eastAsia="Calibri" w:hAnsi="Calibri"/>
          <w:color w:val="222222"/>
          <w:sz w:val="21"/>
          <w:szCs w:val="21"/>
        </w:rPr>
        <w:t xml:space="preserve">— Rank 1 (Project-based) limits this to the two project companies; Rank 2 (Outsourced) forces the Outsourced company automatically.</w:t>
      </w:r>
    </w:p>
    <w:p>
      <w:pPr>
        <w:pStyle w:val="ListParagraph"/>
        <w:numPr>
          <w:ilvl w:val="0"/>
          <w:numId w:val="2"/>
        </w:numPr>
        <w:spacing w:after="70" w:line="264"/>
      </w:pPr>
      <w:r>
        <w:rPr>
          <w:rFonts w:ascii="Calibri" w:cs="Calibri" w:eastAsia="Calibri" w:hAnsi="Calibri"/>
          <w:b/>
          <w:bCs/>
          <w:color w:val="222222"/>
          <w:sz w:val="21"/>
          <w:szCs w:val="21"/>
        </w:rPr>
        <w:t xml:space="preserve">Estimated Hire Date </w:t>
      </w:r>
      <w:r>
        <w:rPr>
          <w:rFonts w:ascii="Calibri" w:cs="Calibri" w:eastAsia="Calibri" w:hAnsi="Calibri"/>
          <w:color w:val="222222"/>
          <w:sz w:val="21"/>
          <w:szCs w:val="21"/>
        </w:rPr>
        <w:t xml:space="preserve">— date picker.</w:t>
      </w:r>
    </w:p>
    <w:p>
      <w:pPr>
        <w:pStyle w:val="ListParagraph"/>
        <w:numPr>
          <w:ilvl w:val="0"/>
          <w:numId w:val="2"/>
        </w:numPr>
        <w:spacing w:after="70" w:line="264"/>
      </w:pPr>
      <w:r>
        <w:rPr>
          <w:rFonts w:ascii="Calibri" w:cs="Calibri" w:eastAsia="Calibri" w:hAnsi="Calibri"/>
          <w:b/>
          <w:bCs/>
          <w:color w:val="222222"/>
          <w:sz w:val="21"/>
          <w:szCs w:val="21"/>
        </w:rPr>
        <w:t xml:space="preserve">Justification </w:t>
      </w:r>
      <w:r>
        <w:rPr>
          <w:rFonts w:ascii="Calibri" w:cs="Calibri" w:eastAsia="Calibri" w:hAnsi="Calibri"/>
          <w:color w:val="222222"/>
          <w:sz w:val="21"/>
          <w:szCs w:val="21"/>
        </w:rPr>
        <w:t xml:space="preserve">— required free text.</w:t>
      </w:r>
    </w:p>
    <w:p>
      <w:pPr>
        <w:spacing w:after="140" w:line="276"/>
      </w:pPr>
      <w:r>
        <w:rPr>
          <w:rFonts w:ascii="Calibri" w:cs="Calibri" w:eastAsia="Calibri" w:hAnsi="Calibri"/>
          <w:i w:val="false"/>
          <w:iCs w:val="false"/>
          <w:color w:val="222222"/>
          <w:sz w:val="21"/>
          <w:szCs w:val="21"/>
        </w:rPr>
        <w:t xml:space="preserve">A banner above the Submit button reminds you how this will be reviewed: “Approved by your Department Head, then the HR Analyst, then the HR Head. Approved requests are reflected in the Manpower Budget's headcount for the selected company.”</w:t>
      </w:r>
    </w:p>
    <w:p>
      <w:pPr>
        <w:pStyle w:val="Heading2"/>
        <w:spacing w:after="120" w:before="280"/>
      </w:pPr>
      <w:r>
        <w:rPr>
          <w:rFonts w:ascii="Calibri" w:cs="Calibri" w:eastAsia="Calibri" w:hAnsi="Calibri"/>
          <w:b/>
          <w:bCs/>
          <w:color w:val="1B5E3A"/>
          <w:sz w:val="24"/>
          <w:szCs w:val="24"/>
        </w:rPr>
        <w:t xml:space="preserve">4.2 Submitting</w:t>
      </w:r>
    </w:p>
    <w:p>
      <w:pPr>
        <w:spacing w:after="140" w:line="276"/>
      </w:pPr>
      <w:r>
        <w:rPr>
          <w:rFonts w:ascii="Calibri" w:cs="Calibri" w:eastAsia="Calibri" w:hAnsi="Calibri"/>
          <w:i w:val="false"/>
          <w:iCs w:val="false"/>
          <w:color w:val="222222"/>
          <w:sz w:val="21"/>
          <w:szCs w:val="21"/>
        </w:rPr>
        <w:t xml:space="preserve">Click Submit Request — it stays disabled until Position, Rank, Company, Estimated Hire Date, and Justification are all filled in. There is no separate Save Draft step for this request type.</w:t>
      </w:r>
    </w:p>
    <w:p>
      <w:pPr>
        <w:spacing w:after="140" w:line="276"/>
      </w:pPr>
      <w:r>
        <w:rPr>
          <w:rFonts w:ascii="Calibri" w:cs="Calibri" w:eastAsia="Calibri" w:hAnsi="Calibri"/>
          <w:i w:val="false"/>
          <w:iCs w:val="false"/>
          <w:color w:val="222222"/>
          <w:sz w:val="21"/>
          <w:szCs w:val="21"/>
        </w:rPr>
        <w:t xml:space="preserve">Once submitted, you'll see a confirmation screen with:</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A Reference Code in the format MR-YY-001 (e.g. MR-26-001), numbered in sequence for the year.</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The Position, Rank, and Company you entered.</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A status note: “Routed to your Department Head for approval.”</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A reminder that this reference code stands in for the position on employee pickers (such as Mobile Phone requests) until the person is actually hired and on the roster — and that once fully approved, an Office 365 Account request and a Mobile Phone budget request are generated for them automatically.</w:t>
      </w:r>
    </w:p>
    <w:p>
      <w:pPr>
        <w:spacing w:after="140" w:line="276"/>
      </w:pPr>
      <w:r>
        <w:rPr>
          <w:rFonts w:ascii="Calibri" w:cs="Calibri" w:eastAsia="Calibri" w:hAnsi="Calibri"/>
          <w:i w:val="false"/>
          <w:iCs w:val="false"/>
          <w:color w:val="222222"/>
          <w:sz w:val="21"/>
          <w:szCs w:val="21"/>
        </w:rPr>
        <w:t xml:space="preserve">Use Submit another to reset the form and file a second request.</w:t>
      </w:r>
    </w:p>
    <w:p>
      <w:pPr>
        <w:pStyle w:val="Heading2"/>
        <w:spacing w:after="120" w:before="280"/>
      </w:pPr>
      <w:r>
        <w:rPr>
          <w:rFonts w:ascii="Calibri" w:cs="Calibri" w:eastAsia="Calibri" w:hAnsi="Calibri"/>
          <w:b/>
          <w:bCs/>
          <w:color w:val="1B5E3A"/>
          <w:sz w:val="24"/>
          <w:szCs w:val="24"/>
        </w:rPr>
        <w:t xml:space="preserve">4.3 Approval Chain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360"/>
      </w:tblGrid>
      <w:tr>
        <w:tc>
          <w:tcPr>
            <w:tcW w:type="dxa" w:w="2600"/>
            <w:shd w:fill="1B5E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Stage</w:t>
            </w:r>
          </w:p>
        </w:tc>
        <w:tc>
          <w:tcPr>
            <w:tcW w:type="dxa" w:w="3000"/>
            <w:shd w:fill="1B5E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Who handles it</w:t>
            </w:r>
          </w:p>
        </w:tc>
        <w:tc>
          <w:tcPr>
            <w:tcW w:type="dxa" w:w="4360"/>
            <w:shd w:fill="1B5E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 Dept Head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Your Department Head</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 HR Analyst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Any HR Analyst</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 HR Head Review</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Human Resources' Centralized Department Head</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 Approved</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t>
            </w:r>
          </w:p>
        </w:tc>
        <w:tc>
          <w:tcPr>
            <w:tcW w:type="dxa" w:w="436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Triggers the auto-generated Office 365 Account and Mobile Phone budget requests.</w:t>
            </w:r>
          </w:p>
        </w:tc>
      </w:tr>
    </w:tbl>
    <w:p>
      <w:pPr>
        <w:pBdr>
          <w:left w:val="single" w:color="D9A441" w:sz="18" w:space="8"/>
        </w:pBdr>
        <w:spacing w:after="140" w:before="60"/>
        <w:ind w:left="360"/>
      </w:pPr>
      <w:r>
        <w:rPr>
          <w:rFonts w:ascii="Calibri" w:cs="Calibri" w:eastAsia="Calibri" w:hAnsi="Calibri"/>
          <w:b/>
          <w:bCs/>
          <w:color w:val="8A5A00"/>
          <w:sz w:val="20"/>
          <w:szCs w:val="20"/>
        </w:rPr>
        <w:t xml:space="preserve">Note: </w:t>
      </w:r>
      <w:r>
        <w:rPr>
          <w:rFonts w:ascii="Calibri" w:cs="Calibri" w:eastAsia="Calibri" w:hAnsi="Calibri"/>
          <w:color w:val="8A5A00"/>
          <w:sz w:val="20"/>
          <w:szCs w:val="20"/>
        </w:rPr>
        <w:t xml:space="preserve">A Return at any of these stages is terminal — there is no draft to edit and resend. If a reviewer sends it back, you'll need to file a brand-new Additional Manpower request.</w:t>
      </w:r>
    </w:p>
    <w:p>
      <w:pPr>
        <w:pStyle w:val="Heading2"/>
        <w:spacing w:after="120" w:before="280"/>
      </w:pPr>
      <w:r>
        <w:rPr>
          <w:rFonts w:ascii="Calibri" w:cs="Calibri" w:eastAsia="Calibri" w:hAnsi="Calibri"/>
          <w:b/>
          <w:bCs/>
          <w:color w:val="1B5E3A"/>
          <w:sz w:val="24"/>
          <w:szCs w:val="24"/>
        </w:rPr>
        <w:t xml:space="preserve">4.4 What Happens After Approval</w:t>
      </w:r>
    </w:p>
    <w:p>
      <w:pPr>
        <w:spacing w:after="140" w:line="276"/>
      </w:pPr>
      <w:r>
        <w:rPr>
          <w:rFonts w:ascii="Calibri" w:cs="Calibri" w:eastAsia="Calibri" w:hAnsi="Calibri"/>
          <w:i w:val="false"/>
          <w:iCs w:val="false"/>
          <w:color w:val="222222"/>
          <w:sz w:val="21"/>
          <w:szCs w:val="21"/>
        </w:rPr>
        <w:t xml:space="preserve">Once HR Head approves, two follow-on requests are created automatically and appear nested under the original Additional Manpower request on your My Requests page, rather than as their own top-level rows:</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An Office 365 Account Request — reviewed by IS &amp; IT's own Centralized Reviewer, then their Centralized Approver.</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A Mobile Phone Budget Request — reviewed the same two-step way, by Admin Services.</w:t>
      </w:r>
    </w:p>
    <w:p>
      <w:pPr>
        <w:pStyle w:val="Heading1"/>
        <w:pBdr>
          <w:bottom w:val="single" w:color="1B5E3A" w:sz="6" w:space="4"/>
        </w:pBdr>
        <w:spacing w:after="160" w:before="360"/>
      </w:pPr>
      <w:r>
        <w:rPr>
          <w:rFonts w:ascii="Calibri" w:cs="Calibri" w:eastAsia="Calibri" w:hAnsi="Calibri"/>
          <w:b/>
          <w:bCs/>
          <w:color w:val="1B5E3A"/>
          <w:sz w:val="32"/>
          <w:szCs w:val="32"/>
        </w:rPr>
        <w:t xml:space="preserve">5. Features Shared Across All Three Request Types</w:t>
      </w:r>
    </w:p>
    <w:p>
      <w:pPr>
        <w:pStyle w:val="Heading2"/>
        <w:spacing w:after="120" w:before="280"/>
      </w:pPr>
      <w:r>
        <w:rPr>
          <w:rFonts w:ascii="Calibri" w:cs="Calibri" w:eastAsia="Calibri" w:hAnsi="Calibri"/>
          <w:b/>
          <w:bCs/>
          <w:color w:val="1B5E3A"/>
          <w:sz w:val="24"/>
          <w:szCs w:val="24"/>
        </w:rPr>
        <w:t xml:space="preserve">5.1 Draft and Returned Requests (GAE &amp; NPC only)</w:t>
      </w:r>
    </w:p>
    <w:p>
      <w:pPr>
        <w:spacing w:after="140" w:line="276"/>
      </w:pPr>
      <w:r>
        <w:rPr>
          <w:rFonts w:ascii="Calibri" w:cs="Calibri" w:eastAsia="Calibri" w:hAnsi="Calibri"/>
          <w:i w:val="false"/>
          <w:iCs w:val="false"/>
          <w:color w:val="222222"/>
          <w:sz w:val="21"/>
          <w:szCs w:val="21"/>
        </w:rPr>
        <w:t xml:space="preserve">A GAE or NPC request sits in Draft until you submit it. If a reviewer returns it all the way to you, it goes back to Draft with a Returned status and reopens for editing.</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On the request's detail page, the button reads Resubmit for Approval instead of Submit for Approval when this happens.</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For GAE, the Monthly Spend Grid, Business Justification, and Additional Fields are all editable again before you resubmit.</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For NPC, only the approver picks are editable on resubmission — the Amount and Business Justification stay as they were.</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Additional Manpower has no equivalent — see section 4.3.</w:t>
      </w:r>
    </w:p>
    <w:p>
      <w:pPr>
        <w:pStyle w:val="Heading2"/>
        <w:spacing w:after="120" w:before="280"/>
      </w:pPr>
      <w:r>
        <w:rPr>
          <w:rFonts w:ascii="Calibri" w:cs="Calibri" w:eastAsia="Calibri" w:hAnsi="Calibri"/>
          <w:b/>
          <w:bCs/>
          <w:color w:val="1B5E3A"/>
          <w:sz w:val="24"/>
          <w:szCs w:val="24"/>
        </w:rPr>
        <w:t xml:space="preserve">5.2 Attachments and the Documentation Threshold</w:t>
      </w:r>
    </w:p>
    <w:p>
      <w:pPr>
        <w:spacing w:after="140" w:line="276"/>
      </w:pPr>
      <w:r>
        <w:rPr>
          <w:rFonts w:ascii="Calibri" w:cs="Calibri" w:eastAsia="Calibri" w:hAnsi="Calibri"/>
          <w:i w:val="false"/>
          <w:iCs w:val="false"/>
          <w:color w:val="222222"/>
          <w:sz w:val="21"/>
          <w:szCs w:val="21"/>
        </w:rPr>
        <w:t xml:space="preserve">The Budget Officer configures a peso threshold above which supporting documents are mandatory. While filling the Monthly Spend Grid (GAE) or Amount (NPC), you'll see a note once your total crosses it, and the system will block submission without at least one attachment uploaded under Supporting attachments.</w:t>
      </w:r>
    </w:p>
    <w:p>
      <w:pPr>
        <w:pStyle w:val="Heading2"/>
        <w:spacing w:after="120" w:before="280"/>
      </w:pPr>
      <w:r>
        <w:rPr>
          <w:rFonts w:ascii="Calibri" w:cs="Calibri" w:eastAsia="Calibri" w:hAnsi="Calibri"/>
          <w:b/>
          <w:bCs/>
          <w:color w:val="1B5E3A"/>
          <w:sz w:val="24"/>
          <w:szCs w:val="24"/>
        </w:rPr>
        <w:t xml:space="preserve">5.3 Cancelling a Request</w:t>
      </w:r>
    </w:p>
    <w:p>
      <w:pPr>
        <w:spacing w:after="140" w:line="276"/>
      </w:pPr>
      <w:r>
        <w:rPr>
          <w:rFonts w:ascii="Calibri" w:cs="Calibri" w:eastAsia="Calibri" w:hAnsi="Calibri"/>
          <w:i w:val="false"/>
          <w:iCs w:val="false"/>
          <w:color w:val="222222"/>
          <w:sz w:val="21"/>
          <w:szCs w:val="21"/>
        </w:rPr>
        <w:t xml:space="preserve">A Cancel Request button is available on the request's detail page for GAE and NPC requests, as long as the request hasn't already reached a final state (Approved, Cancelled, Rejected, or Uploaded to SAP).</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You can cancel your own request while it's still in Draft, or still sitting at the very first review stage before anyone has acted on it.</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Whoever the request is currently assigned to can also cancel it at their stage.</w:t>
      </w:r>
    </w:p>
    <w:p>
      <w:pPr>
        <w:pStyle w:val="ListParagraph"/>
        <w:numPr>
          <w:ilvl w:val="0"/>
          <w:numId w:val="2"/>
        </w:numPr>
        <w:spacing w:after="70" w:line="264"/>
      </w:pPr>
      <w:r>
        <w:rPr>
          <w:rFonts w:ascii="Calibri" w:cs="Calibri" w:eastAsia="Calibri" w:hAnsi="Calibri"/>
          <w:b w:val="false"/>
          <w:bCs w:val="false"/>
          <w:color w:val="222222"/>
          <w:sz w:val="21"/>
          <w:szCs w:val="21"/>
        </w:rPr>
        <w:t xml:space="preserve">Additional Manpower requests don't have a Cancel action — review and either approve or return is the only path.</w:t>
      </w:r>
    </w:p>
    <w:p>
      <w:pPr>
        <w:pStyle w:val="Heading2"/>
        <w:spacing w:after="120" w:before="280"/>
      </w:pPr>
      <w:r>
        <w:rPr>
          <w:rFonts w:ascii="Calibri" w:cs="Calibri" w:eastAsia="Calibri" w:hAnsi="Calibri"/>
          <w:b/>
          <w:bCs/>
          <w:color w:val="1B5E3A"/>
          <w:sz w:val="24"/>
          <w:szCs w:val="24"/>
        </w:rPr>
        <w:t xml:space="preserve">5.4 Tracking Your Requests</w:t>
      </w:r>
    </w:p>
    <w:p>
      <w:pPr>
        <w:spacing w:after="140" w:line="276"/>
      </w:pPr>
      <w:r>
        <w:rPr>
          <w:rFonts w:ascii="Calibri" w:cs="Calibri" w:eastAsia="Calibri" w:hAnsi="Calibri"/>
          <w:i w:val="false"/>
          <w:iCs w:val="false"/>
          <w:color w:val="222222"/>
          <w:sz w:val="21"/>
          <w:szCs w:val="21"/>
        </w:rPr>
        <w:t xml:space="preserve">My Requests brings every request type you've filed into one list — GAE/NPC, Additional Manpower (with its Office 365 / Mobile Phone follow-ons nested underneath once approved), and any SBU batch uploads still in Draft. Each row carries a status badge (Dept Head Review, Centralized Dept Requestor/Reviewer, Centralized Head Review, BC&amp;A Head Review, Budget Officer Review, Approved, Returned to Requestor, Rejected, Cancelled, Uploaded to SAP, and so on) so you always know exactly which stage, and whose desk, your request is sitting at.</w:t>
      </w:r>
    </w:p>
    <w:p>
      <w:pPr>
        <w:pStyle w:val="Heading2"/>
        <w:spacing w:after="120" w:before="280"/>
      </w:pPr>
      <w:r>
        <w:rPr>
          <w:rFonts w:ascii="Calibri" w:cs="Calibri" w:eastAsia="Calibri" w:hAnsi="Calibri"/>
          <w:b/>
          <w:bCs/>
          <w:color w:val="1B5E3A"/>
          <w:sz w:val="24"/>
          <w:szCs w:val="24"/>
        </w:rPr>
        <w:t xml:space="preserve">5.5 Budget Cycle and Due Dates</w:t>
      </w:r>
    </w:p>
    <w:p>
      <w:pPr>
        <w:spacing w:after="140" w:line="276"/>
      </w:pPr>
      <w:r>
        <w:rPr>
          <w:rFonts w:ascii="Calibri" w:cs="Calibri" w:eastAsia="Calibri" w:hAnsi="Calibri"/>
          <w:i w:val="false"/>
          <w:iCs w:val="false"/>
          <w:color w:val="222222"/>
          <w:sz w:val="21"/>
          <w:szCs w:val="21"/>
        </w:rPr>
        <w:t xml:space="preserve">New requests can only be created while the Budget Officer has the fiscal cycle open. Each approval stage also has its own configured due date — once that date passes, no further action can be taken on a request sitting at that stage until the Budget Officer moves the deadline.</w:t>
      </w:r>
    </w:p>
    <w:p>
      <w:pPr>
        <w:spacing w:after="200"/>
      </w:pPr>
    </w:p>
    <w:p>
      <w:pPr>
        <w:pBdr>
          <w:top w:val="single" w:color="CCCCCC" w:sz="4" w:space="8"/>
        </w:pBdr>
        <w:spacing w:before="200"/>
      </w:pPr>
      <w:r>
        <w:rPr>
          <w:rFonts w:ascii="Calibri" w:cs="Calibri" w:eastAsia="Calibri" w:hAnsi="Calibri"/>
          <w:i/>
          <w:iCs/>
          <w:color w:val="5A5A5A"/>
          <w:sz w:val="18"/>
          <w:szCs w:val="18"/>
        </w:rPr>
        <w:t xml:space="preserve">This guide reflects the New Request flows as implemented in the Budgeting System app. If a step on screen ever looks different from what's described here, the on-screen behavior is the current source of truth.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A5A5A"/>
        <w:sz w:val="16"/>
        <w:szCs w:val="16"/>
      </w:rPr>
      <w:t xml:space="preserve">Budgeting System — New Request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760" w:hanging="260"/>
      </w:pPr>
    </w:lvl>
  </w:abstractNum>
  <w:abstractNum w:abstractNumId="3" w15:restartNumberingAfterBreak="0">
    <w:multiLevelType w:val="hybridMultilevel"/>
    <w:lvl w:ilvl="0" w:tentative="1">
      <w:start w:val="1"/>
      <w:numFmt w:val="decimal"/>
      <w:lvlText w:val="%1."/>
      <w:lvlJc w:val="left"/>
      <w:pPr>
        <w:ind w:left="420" w:hanging="300"/>
      </w:pPr>
    </w:lvl>
  </w:abstractNum>
  <w:abstractNum w:abstractNumId="4" w15:restartNumberingAfterBreak="0">
    <w:multiLevelType w:val="hybridMultilevel"/>
    <w:lvl w:ilvl="0" w:tentative="1">
      <w:start w:val="1"/>
      <w:numFmt w:val="decimal"/>
      <w:lvlText w:val="%1."/>
      <w:lvlJc w:val="left"/>
      <w:pPr>
        <w:ind w:left="420" w:hanging="300"/>
      </w:pPr>
    </w:lvl>
  </w:abstractNum>
  <w:abstractNum w:abstractNumId="5" w15:restartNumberingAfterBreak="0">
    <w:multiLevelType w:val="hybridMultilevel"/>
    <w:lvl w:ilvl="0" w:tentative="1">
      <w:start w:val="1"/>
      <w:numFmt w:val="decimal"/>
      <w:lvlText w:val="%1."/>
      <w:lvlJc w:val="left"/>
      <w:pPr>
        <w:ind w:left="420" w:hanging="300"/>
      </w:pPr>
    </w:lvl>
  </w:abstractNum>
  <w:abstractNum w:abstractNumId="6"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2026-10-02T05:29:22.529Z</dcterms:created>
  <dcterms:modified xsi:type="dcterms:W3CDTF">2026-10-02T05:29:22.530Z</dcterms:modified>
</cp:coreProperties>
</file>

<file path=docProps/custom.xml><?xml version="1.0" encoding="utf-8"?>
<Properties xmlns="http://schemas.openxmlformats.org/officeDocument/2006/custom-properties" xmlns:vt="http://schemas.openxmlformats.org/officeDocument/2006/docPropsVTypes"/>
</file>