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A99E" w14:textId="22D7701A" w:rsidR="006565DF" w:rsidRDefault="006565DF" w:rsidP="006565DF">
      <w:pPr>
        <w:pStyle w:val="Title"/>
        <w:rPr>
          <w:lang w:val="es-ES"/>
        </w:rPr>
      </w:pPr>
      <w:r>
        <w:rPr>
          <w:lang w:val="es-ES"/>
        </w:rPr>
        <w:t>Variables sociales y voto por el PSOE en 2023</w:t>
      </w:r>
    </w:p>
    <w:p w14:paraId="0801014A" w14:textId="42430C67" w:rsidR="00F974B6" w:rsidRDefault="00C45C87" w:rsidP="00F974B6">
      <w:pPr>
        <w:pStyle w:val="afiliacion"/>
      </w:pPr>
      <w:r>
        <w:t>Marco Ortiz Palanques</w:t>
      </w:r>
    </w:p>
    <w:p w14:paraId="001ADB9E" w14:textId="7E46F5E0" w:rsidR="00044274" w:rsidRDefault="00044274" w:rsidP="00F974B6">
      <w:pPr>
        <w:pStyle w:val="afiliacion"/>
      </w:pPr>
      <w:r>
        <w:t>Departamento de Ciencias Políticas, Universidad XXX</w:t>
      </w:r>
    </w:p>
    <w:p w14:paraId="396A1B3C" w14:textId="5D730B34" w:rsidR="00044274" w:rsidRDefault="003E19D6" w:rsidP="00F974B6">
      <w:pPr>
        <w:pStyle w:val="afiliacion"/>
      </w:pPr>
      <w:r>
        <w:t>SOCEL 101: Estadística electoral</w:t>
      </w:r>
    </w:p>
    <w:p w14:paraId="082AAF50" w14:textId="1240B688" w:rsidR="003E19D6" w:rsidRDefault="003E19D6" w:rsidP="00F974B6">
      <w:pPr>
        <w:pStyle w:val="afiliacion"/>
      </w:pPr>
      <w:r>
        <w:t>Dr. Profesor XXX</w:t>
      </w:r>
    </w:p>
    <w:p w14:paraId="482BE7C7" w14:textId="21DE6571" w:rsidR="00044274" w:rsidRPr="00F974B6" w:rsidRDefault="008D0A6C" w:rsidP="00F974B6">
      <w:pPr>
        <w:pStyle w:val="afiliacion"/>
      </w:pPr>
      <w:r>
        <w:t>28 de abril de 2025</w:t>
      </w:r>
    </w:p>
    <w:p w14:paraId="756B9C70" w14:textId="6FB1B61F" w:rsidR="00624B07" w:rsidRDefault="00624B07">
      <w:pPr>
        <w:spacing w:after="160" w:line="278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14:paraId="00C50CA9" w14:textId="2068F429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lastRenderedPageBreak/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D3A172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  <w:r w:rsidR="00336A32">
        <w:t xml:space="preserve"> Sus valores son: 0 = mujer, 1 = hombre.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4CCEA3FC" w:rsidR="009B6970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  <w:r w:rsidR="00336A32">
        <w:t xml:space="preserve"> Sus valores </w:t>
      </w:r>
      <w:r w:rsidR="00312C4E">
        <w:t>son: 0 = no católico, 1 = católico.</w:t>
      </w:r>
    </w:p>
    <w:p w14:paraId="02B74CB5" w14:textId="03F2DD1B" w:rsidR="003A25FD" w:rsidRDefault="000E00BA" w:rsidP="002E1E36">
      <w:pPr>
        <w:pStyle w:val="Heading2"/>
        <w:rPr>
          <w:lang w:val="es-ES"/>
        </w:rPr>
      </w:pPr>
      <w:r>
        <w:rPr>
          <w:lang w:val="es-ES"/>
        </w:rPr>
        <w:lastRenderedPageBreak/>
        <w:t>Fuente</w:t>
      </w:r>
      <w:r w:rsidR="002460D2">
        <w:rPr>
          <w:lang w:val="es-ES"/>
        </w:rPr>
        <w:t xml:space="preserve"> de los datos</w:t>
      </w:r>
    </w:p>
    <w:p w14:paraId="4DF79B70" w14:textId="2DA7898C" w:rsidR="000E00BA" w:rsidRPr="000E00BA" w:rsidRDefault="000E00BA" w:rsidP="000E00BA">
      <w:pPr>
        <w:rPr>
          <w:lang w:val="es-ES"/>
        </w:rPr>
      </w:pPr>
      <w:r>
        <w:rPr>
          <w:lang w:val="es-ES"/>
        </w:rPr>
        <w:t xml:space="preserve">Para la </w:t>
      </w:r>
      <w:r w:rsidR="00E629A2">
        <w:rPr>
          <w:lang w:val="es-ES"/>
        </w:rPr>
        <w:t xml:space="preserve">evaluación de la hipótesis usamos los datos del </w:t>
      </w:r>
      <w:r w:rsidR="001607F2" w:rsidRPr="001607F2">
        <w:rPr>
          <w:i/>
          <w:iCs/>
          <w:lang w:val="es-ES"/>
        </w:rPr>
        <w:t>B</w:t>
      </w:r>
      <w:r w:rsidR="00E629A2" w:rsidRPr="001607F2">
        <w:rPr>
          <w:i/>
          <w:iCs/>
          <w:lang w:val="es-ES"/>
        </w:rPr>
        <w:t>arómetro</w:t>
      </w:r>
      <w:r w:rsidR="007F7BDF">
        <w:rPr>
          <w:i/>
          <w:iCs/>
          <w:lang w:val="es-ES"/>
        </w:rPr>
        <w:t xml:space="preserve"> 3413</w:t>
      </w:r>
      <w:r w:rsidR="00E629A2">
        <w:rPr>
          <w:lang w:val="es-ES"/>
        </w:rPr>
        <w:t xml:space="preserve"> </w:t>
      </w:r>
      <w:r w:rsidR="00265833">
        <w:rPr>
          <w:lang w:val="es-ES"/>
        </w:rPr>
        <w:t>de julio de 2023 de</w:t>
      </w:r>
      <w:r w:rsidR="00615205">
        <w:rPr>
          <w:lang w:val="es-ES"/>
        </w:rPr>
        <w:t>l</w:t>
      </w:r>
      <w:r w:rsidR="00265833">
        <w:rPr>
          <w:lang w:val="es-ES"/>
        </w:rPr>
        <w:t xml:space="preserve"> Centro de Investigaciones Sociológicas (CIS)</w:t>
      </w:r>
      <w:r w:rsidR="00615205">
        <w:rPr>
          <w:lang w:val="es-ES"/>
        </w:rPr>
        <w:t xml:space="preserve"> (</w:t>
      </w:r>
      <w:r w:rsidR="00AD18F5">
        <w:rPr>
          <w:lang w:val="es-ES"/>
        </w:rPr>
        <w:t>2023</w:t>
      </w:r>
      <w:r w:rsidR="00C72837">
        <w:rPr>
          <w:lang w:val="es-ES"/>
        </w:rPr>
        <w:t>b</w:t>
      </w:r>
      <w:r w:rsidR="00615205">
        <w:rPr>
          <w:lang w:val="es-ES"/>
        </w:rPr>
        <w:t>)</w:t>
      </w:r>
      <w:r w:rsidR="001607F2">
        <w:rPr>
          <w:lang w:val="es-ES"/>
        </w:rPr>
        <w:t xml:space="preserve">. </w:t>
      </w:r>
      <w:r w:rsidR="00BA38CE">
        <w:rPr>
          <w:lang w:val="es-ES"/>
        </w:rPr>
        <w:t>El estudio original con</w:t>
      </w:r>
      <w:r w:rsidR="00E90D01">
        <w:rPr>
          <w:lang w:val="es-ES"/>
        </w:rPr>
        <w:t>tenía 33 preguntas que fueron respondidas por 4</w:t>
      </w:r>
      <w:r w:rsidR="00060824">
        <w:rPr>
          <w:lang w:val="es-ES"/>
        </w:rPr>
        <w:t>.</w:t>
      </w:r>
      <w:r w:rsidR="00E90D01">
        <w:rPr>
          <w:lang w:val="es-ES"/>
        </w:rPr>
        <w:t>164 entre</w:t>
      </w:r>
      <w:r w:rsidR="00E33021">
        <w:rPr>
          <w:lang w:val="es-ES"/>
        </w:rPr>
        <w:t xml:space="preserve">vistados. Para esta investigación se tomaron </w:t>
      </w:r>
      <w:r w:rsidR="00F12CC6">
        <w:rPr>
          <w:lang w:val="es-ES"/>
        </w:rPr>
        <w:t>en cuenta las preguntas relevantes</w:t>
      </w:r>
      <w:r w:rsidR="00BE21F9">
        <w:rPr>
          <w:lang w:val="es-ES"/>
        </w:rPr>
        <w:t xml:space="preserve"> sobre </w:t>
      </w:r>
      <w:r w:rsidR="007A6571">
        <w:rPr>
          <w:lang w:val="es-ES"/>
        </w:rPr>
        <w:t xml:space="preserve">intención de voto en las elecciones generales de 2023 (P7), </w:t>
      </w:r>
      <w:r w:rsidR="00BE21F9">
        <w:rPr>
          <w:lang w:val="es-ES"/>
        </w:rPr>
        <w:t>sexo</w:t>
      </w:r>
      <w:r w:rsidR="00DD136A">
        <w:rPr>
          <w:lang w:val="es-ES"/>
        </w:rPr>
        <w:t xml:space="preserve"> (P0a)</w:t>
      </w:r>
      <w:r w:rsidR="00BE21F9">
        <w:rPr>
          <w:lang w:val="es-ES"/>
        </w:rPr>
        <w:t>, edad</w:t>
      </w:r>
      <w:r w:rsidR="00DD136A">
        <w:rPr>
          <w:lang w:val="es-ES"/>
        </w:rPr>
        <w:t xml:space="preserve"> (P0b)</w:t>
      </w:r>
      <w:r w:rsidR="00BE21F9">
        <w:rPr>
          <w:lang w:val="es-ES"/>
        </w:rPr>
        <w:t>, nivel educativo</w:t>
      </w:r>
      <w:r w:rsidR="007A6571">
        <w:rPr>
          <w:lang w:val="es-ES"/>
        </w:rPr>
        <w:t xml:space="preserve"> (P18a)</w:t>
      </w:r>
      <w:r w:rsidR="00BE21F9">
        <w:rPr>
          <w:lang w:val="es-ES"/>
        </w:rPr>
        <w:t xml:space="preserve">, religión </w:t>
      </w:r>
      <w:r w:rsidR="006710C2">
        <w:rPr>
          <w:lang w:val="es-ES"/>
        </w:rPr>
        <w:t xml:space="preserve">(P19) </w:t>
      </w:r>
      <w:r w:rsidR="00BE21F9">
        <w:rPr>
          <w:lang w:val="es-ES"/>
        </w:rPr>
        <w:t>e ingresos del hogar</w:t>
      </w:r>
      <w:r w:rsidR="006710C2">
        <w:rPr>
          <w:lang w:val="es-ES"/>
        </w:rPr>
        <w:t xml:space="preserve"> (P23)</w:t>
      </w:r>
      <w:r w:rsidR="00BE21F9">
        <w:rPr>
          <w:lang w:val="es-ES"/>
        </w:rPr>
        <w:t>.</w:t>
      </w:r>
      <w:r w:rsidR="00A91B58">
        <w:rPr>
          <w:lang w:val="es-ES"/>
        </w:rPr>
        <w:t xml:space="preserve"> Las variables fueron </w:t>
      </w:r>
      <w:r w:rsidR="00F45B34">
        <w:rPr>
          <w:lang w:val="es-ES"/>
        </w:rPr>
        <w:t xml:space="preserve">codificadas y se seleccionaron únicamente los casos completos (n = </w:t>
      </w:r>
      <w:r w:rsidR="005635F0">
        <w:rPr>
          <w:lang w:val="es-ES"/>
        </w:rPr>
        <w:t>3</w:t>
      </w:r>
      <w:r w:rsidR="00260B02">
        <w:rPr>
          <w:lang w:val="es-ES"/>
        </w:rPr>
        <w:t>.</w:t>
      </w:r>
      <w:r w:rsidR="005635F0">
        <w:rPr>
          <w:lang w:val="es-ES"/>
        </w:rPr>
        <w:t>951</w:t>
      </w:r>
      <w:r w:rsidR="00F45B34">
        <w:rPr>
          <w:lang w:val="es-ES"/>
        </w:rPr>
        <w:t>).</w:t>
      </w:r>
      <w:r w:rsidR="00B902BC">
        <w:rPr>
          <w:lang w:val="es-ES"/>
        </w:rPr>
        <w:t xml:space="preserve"> El análisis se hizo con el programa</w:t>
      </w:r>
      <w:r w:rsidR="00ED65FF">
        <w:rPr>
          <w:lang w:val="es-ES"/>
        </w:rPr>
        <w:t xml:space="preserve"> R </w:t>
      </w:r>
      <w:r w:rsidR="00210A04">
        <w:rPr>
          <w:lang w:val="es-ES"/>
        </w:rPr>
        <w:t>(2021)</w:t>
      </w:r>
      <w:r w:rsidR="00760E50">
        <w:rPr>
          <w:lang w:val="es-ES"/>
        </w:rPr>
        <w:t xml:space="preserve"> y las siguientes librerías: </w:t>
      </w:r>
      <w:r w:rsidR="00C56122">
        <w:rPr>
          <w:lang w:val="es-ES"/>
        </w:rPr>
        <w:t xml:space="preserve">Car, </w:t>
      </w:r>
      <w:r w:rsidR="003369E2">
        <w:rPr>
          <w:lang w:val="es-ES"/>
        </w:rPr>
        <w:t>Tidyverse y Writexl.</w:t>
      </w:r>
      <w:r w:rsidR="00E118C6">
        <w:rPr>
          <w:lang w:val="es-ES"/>
        </w:rPr>
        <w:t xml:space="preserve"> </w:t>
      </w:r>
      <w:r w:rsidR="00DE1E52">
        <w:rPr>
          <w:lang w:val="es-ES"/>
        </w:rPr>
        <w:t>Para reproducibilidad, l</w:t>
      </w:r>
      <w:r w:rsidR="009E5220">
        <w:rPr>
          <w:lang w:val="es-ES"/>
        </w:rPr>
        <w:t xml:space="preserve">as funciones y operaciones usadas </w:t>
      </w:r>
      <w:r w:rsidR="00874451">
        <w:rPr>
          <w:lang w:val="es-ES"/>
        </w:rPr>
        <w:t>en</w:t>
      </w:r>
      <w:r w:rsidR="009E5220">
        <w:rPr>
          <w:lang w:val="es-ES"/>
        </w:rPr>
        <w:t xml:space="preserve"> las diferentes etapas puede</w:t>
      </w:r>
      <w:r w:rsidR="003633B6">
        <w:rPr>
          <w:lang w:val="es-ES"/>
        </w:rPr>
        <w:t>n descargarse del correspondiente repositorio de GitHub</w:t>
      </w:r>
      <w:r w:rsidR="006A5122">
        <w:rPr>
          <w:lang w:val="es-ES"/>
        </w:rPr>
        <w:t xml:space="preserve"> (Ortiz</w:t>
      </w:r>
      <w:r w:rsidR="006823AD">
        <w:rPr>
          <w:lang w:val="es-ES"/>
        </w:rPr>
        <w:t>, 2025).</w:t>
      </w: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t>Estadística descriptiva</w:t>
      </w:r>
    </w:p>
    <w:p w14:paraId="35D1FDE9" w14:textId="40CAB0AD" w:rsidR="008372A7" w:rsidRDefault="00791D1B" w:rsidP="000B1507">
      <w:pPr>
        <w:pStyle w:val="Caption"/>
        <w:rPr>
          <w:lang w:val="es-ES"/>
        </w:rPr>
      </w:pPr>
      <w:r>
        <w:rPr>
          <w:lang w:val="es-ES"/>
        </w:rPr>
        <w:t>Descripción de las variables</w:t>
      </w:r>
    </w:p>
    <w:p w14:paraId="5C125D1A" w14:textId="2D8B759C" w:rsidR="00A14F08" w:rsidRPr="00A14F08" w:rsidRDefault="008911BC" w:rsidP="00A14F08">
      <w:pPr>
        <w:rPr>
          <w:lang w:val="es-ES"/>
        </w:rPr>
      </w:pPr>
      <w:r>
        <w:rPr>
          <w:lang w:val="es-ES"/>
        </w:rPr>
        <w:t>Las variables independientes usadas pueden separarse en dos categorías</w:t>
      </w:r>
      <w:r w:rsidR="00A90F58">
        <w:rPr>
          <w:lang w:val="es-ES"/>
        </w:rPr>
        <w:t>: cualitativas y dicotómicas.</w:t>
      </w:r>
      <w:r w:rsidR="00411EC2">
        <w:rPr>
          <w:lang w:val="es-ES"/>
        </w:rPr>
        <w:t xml:space="preserve"> </w:t>
      </w:r>
      <w:r w:rsidR="00E66582">
        <w:rPr>
          <w:lang w:val="es-ES"/>
        </w:rPr>
        <w:t xml:space="preserve">Entre las variables cuantitativas, la edad promedio es </w:t>
      </w:r>
      <w:r w:rsidR="00602598">
        <w:rPr>
          <w:lang w:val="es-ES"/>
        </w:rPr>
        <w:t xml:space="preserve">un poco más de </w:t>
      </w:r>
      <w:r w:rsidR="00A61B9F">
        <w:rPr>
          <w:lang w:val="es-ES"/>
        </w:rPr>
        <w:t xml:space="preserve">50 años </w:t>
      </w:r>
      <w:r w:rsidR="00622301">
        <w:rPr>
          <w:lang w:val="es-ES"/>
        </w:rPr>
        <w:t xml:space="preserve">3 meses </w:t>
      </w:r>
      <w:r w:rsidR="00602598">
        <w:rPr>
          <w:lang w:val="es-ES"/>
        </w:rPr>
        <w:t xml:space="preserve">con un desvío estándar de 16 años </w:t>
      </w:r>
      <w:r w:rsidR="00256CAB">
        <w:rPr>
          <w:lang w:val="es-ES"/>
        </w:rPr>
        <w:t xml:space="preserve">y 6 meses. El nivel educativo promedio es </w:t>
      </w:r>
      <w:r w:rsidR="00A404B8">
        <w:rPr>
          <w:lang w:val="es-ES"/>
        </w:rPr>
        <w:t>8,</w:t>
      </w:r>
      <w:r w:rsidR="00A20129">
        <w:rPr>
          <w:lang w:val="es-ES"/>
        </w:rPr>
        <w:t xml:space="preserve">09 (estudios técnicos superiores a FP </w:t>
      </w:r>
      <w:r w:rsidR="00A16D96">
        <w:rPr>
          <w:lang w:val="es-ES"/>
        </w:rPr>
        <w:t xml:space="preserve">e inferiores a grado) </w:t>
      </w:r>
      <w:r w:rsidR="00287D19">
        <w:rPr>
          <w:lang w:val="es-ES"/>
        </w:rPr>
        <w:t>(CIS</w:t>
      </w:r>
      <w:r w:rsidR="00AC4FDB">
        <w:rPr>
          <w:lang w:val="es-ES"/>
        </w:rPr>
        <w:t>, 2023</w:t>
      </w:r>
      <w:r w:rsidR="00C72837">
        <w:rPr>
          <w:lang w:val="es-ES"/>
        </w:rPr>
        <w:t>a</w:t>
      </w:r>
      <w:r w:rsidR="00AC4FDB">
        <w:rPr>
          <w:lang w:val="es-ES"/>
        </w:rPr>
        <w:t xml:space="preserve">, </w:t>
      </w:r>
      <w:r w:rsidR="00360455">
        <w:rPr>
          <w:lang w:val="es-ES"/>
        </w:rPr>
        <w:t>p</w:t>
      </w:r>
      <w:r w:rsidR="00AC4FDB">
        <w:rPr>
          <w:lang w:val="es-ES"/>
        </w:rPr>
        <w:t>. 5</w:t>
      </w:r>
      <w:r w:rsidR="00C72837">
        <w:rPr>
          <w:lang w:val="es-ES"/>
        </w:rPr>
        <w:t>)</w:t>
      </w:r>
      <w:r w:rsidR="00360455">
        <w:rPr>
          <w:lang w:val="es-ES"/>
        </w:rPr>
        <w:t xml:space="preserve">. </w:t>
      </w:r>
      <w:r w:rsidR="000F755F">
        <w:rPr>
          <w:lang w:val="es-ES"/>
        </w:rPr>
        <w:t>E</w:t>
      </w:r>
      <w:r w:rsidR="00F82850">
        <w:rPr>
          <w:lang w:val="es-ES"/>
        </w:rPr>
        <w:t xml:space="preserve">l ingreso por hogar promedio está </w:t>
      </w:r>
      <w:r w:rsidR="00221EA0">
        <w:rPr>
          <w:lang w:val="es-ES"/>
        </w:rPr>
        <w:t>dentro del nivel 3 (d</w:t>
      </w:r>
      <w:r w:rsidR="00221EA0" w:rsidRPr="00221EA0">
        <w:rPr>
          <w:lang w:val="es-ES"/>
        </w:rPr>
        <w:t>e 1.801 a 2.700 €</w:t>
      </w:r>
      <w:r w:rsidR="00221EA0">
        <w:rPr>
          <w:lang w:val="es-ES"/>
        </w:rPr>
        <w:t>)</w:t>
      </w:r>
      <w:r w:rsidR="000F755F">
        <w:rPr>
          <w:lang w:val="es-ES"/>
        </w:rPr>
        <w:t xml:space="preserve"> (</w:t>
      </w:r>
      <w:r w:rsidR="000F755F">
        <w:rPr>
          <w:lang w:val="es-ES"/>
        </w:rPr>
        <w:t xml:space="preserve">CIS, 2023a, p. </w:t>
      </w:r>
      <w:r w:rsidR="000F755F">
        <w:rPr>
          <w:lang w:val="es-ES"/>
        </w:rPr>
        <w:t>6)</w:t>
      </w:r>
      <w:r w:rsidR="00512209">
        <w:rPr>
          <w:lang w:val="es-ES"/>
        </w:rPr>
        <w:t xml:space="preserve"> </w:t>
      </w:r>
      <w:r w:rsidR="002D0155">
        <w:rPr>
          <w:lang w:val="es-ES"/>
        </w:rPr>
        <w:t>(</w:t>
      </w:r>
      <w:r w:rsidR="00E613F3">
        <w:rPr>
          <w:lang w:val="es-ES"/>
        </w:rPr>
        <w:t xml:space="preserve">ver </w:t>
      </w:r>
      <w:r w:rsidR="00D57495">
        <w:rPr>
          <w:lang w:val="es-ES"/>
        </w:rPr>
        <w:fldChar w:fldCharType="begin"/>
      </w:r>
      <w:r w:rsidR="00D57495">
        <w:rPr>
          <w:lang w:val="es-ES"/>
        </w:rPr>
        <w:instrText xml:space="preserve"> REF _Ref196638188 \h </w:instrText>
      </w:r>
      <w:r w:rsidR="00D57495">
        <w:rPr>
          <w:lang w:val="es-ES"/>
        </w:rPr>
      </w:r>
      <w:r w:rsidR="00D57495">
        <w:rPr>
          <w:lang w:val="es-ES"/>
        </w:rPr>
        <w:fldChar w:fldCharType="separate"/>
      </w:r>
      <w:r w:rsidR="00D57495">
        <w:rPr>
          <w:lang w:val="es-ES"/>
        </w:rPr>
        <w:fldChar w:fldCharType="end"/>
      </w:r>
      <w:r w:rsidR="00D57495">
        <w:rPr>
          <w:lang w:val="es-ES"/>
        </w:rPr>
        <w:fldChar w:fldCharType="begin"/>
      </w:r>
      <w:r w:rsidR="00D57495">
        <w:rPr>
          <w:lang w:val="es-ES"/>
        </w:rPr>
        <w:instrText xml:space="preserve"> REF _Ref196638193 \h </w:instrText>
      </w:r>
      <w:r w:rsidR="00D57495">
        <w:rPr>
          <w:lang w:val="es-ES"/>
        </w:rPr>
      </w:r>
      <w:r w:rsidR="00D57495">
        <w:rPr>
          <w:lang w:val="es-ES"/>
        </w:rPr>
        <w:fldChar w:fldCharType="separate"/>
      </w:r>
      <w:r w:rsidR="00D57495" w:rsidRPr="009515B8">
        <w:rPr>
          <w:lang w:val="es-ES"/>
        </w:rPr>
        <w:t xml:space="preserve">Tabla </w:t>
      </w:r>
      <w:r w:rsidR="00D57495">
        <w:rPr>
          <w:noProof/>
          <w:lang w:val="es-ES"/>
        </w:rPr>
        <w:t>1</w:t>
      </w:r>
      <w:r w:rsidR="00D57495">
        <w:rPr>
          <w:lang w:val="es-ES"/>
        </w:rPr>
        <w:fldChar w:fldCharType="end"/>
      </w:r>
      <w:r w:rsidR="002D0155">
        <w:rPr>
          <w:lang w:val="es-ES"/>
        </w:rPr>
        <w:t>)</w:t>
      </w:r>
      <w:r w:rsidR="000F755F">
        <w:rPr>
          <w:lang w:val="es-ES"/>
        </w:rPr>
        <w:t>.</w:t>
      </w:r>
      <w:r w:rsidR="00D02426">
        <w:rPr>
          <w:lang w:val="es-ES"/>
        </w:rPr>
        <w:t xml:space="preserve"> </w:t>
      </w:r>
      <w:r w:rsidR="00D02426">
        <w:rPr>
          <w:lang w:val="es-ES"/>
        </w:rPr>
        <w:t xml:space="preserve">Ambas variables dicotómicas muestran una distribución homogénea cercana al 50 por ciento para cada uno de los grupos. </w:t>
      </w:r>
      <w:r w:rsidR="00E45D75">
        <w:rPr>
          <w:lang w:val="es-ES"/>
        </w:rPr>
        <w:t xml:space="preserve">Así, las mujeres son un </w:t>
      </w:r>
      <w:r w:rsidR="005C71D7">
        <w:rPr>
          <w:lang w:val="es-ES"/>
        </w:rPr>
        <w:t xml:space="preserve">48,62 por ciento de los encuestados y los católicos el 48,32 por ciento (ver </w:t>
      </w:r>
      <w:r w:rsidR="005C71D7">
        <w:rPr>
          <w:lang w:val="es-ES"/>
        </w:rPr>
        <w:fldChar w:fldCharType="begin"/>
      </w:r>
      <w:r w:rsidR="005C71D7">
        <w:rPr>
          <w:lang w:val="es-ES"/>
        </w:rPr>
        <w:instrText xml:space="preserve"> REF _Ref196638605 \h </w:instrText>
      </w:r>
      <w:r w:rsidR="005C71D7">
        <w:rPr>
          <w:lang w:val="es-ES"/>
        </w:rPr>
      </w:r>
      <w:r w:rsidR="005C71D7">
        <w:rPr>
          <w:lang w:val="es-ES"/>
        </w:rPr>
        <w:fldChar w:fldCharType="separate"/>
      </w:r>
      <w:r w:rsidR="005C71D7" w:rsidRPr="001D4EF2">
        <w:rPr>
          <w:lang w:val="es-ES"/>
        </w:rPr>
        <w:t xml:space="preserve">Tabla </w:t>
      </w:r>
      <w:r w:rsidR="005C71D7">
        <w:rPr>
          <w:noProof/>
          <w:lang w:val="es-ES"/>
        </w:rPr>
        <w:t>2</w:t>
      </w:r>
      <w:r w:rsidR="005C71D7">
        <w:rPr>
          <w:lang w:val="es-ES"/>
        </w:rPr>
        <w:fldChar w:fldCharType="end"/>
      </w:r>
      <w:r w:rsidR="005C71D7">
        <w:rPr>
          <w:lang w:val="es-ES"/>
        </w:rPr>
        <w:t>).</w:t>
      </w:r>
    </w:p>
    <w:p w14:paraId="3E531F26" w14:textId="151A5545" w:rsidR="001D23F4" w:rsidRPr="009515B8" w:rsidRDefault="001D23F4" w:rsidP="001D23F4">
      <w:pPr>
        <w:pStyle w:val="Caption"/>
        <w:rPr>
          <w:lang w:val="es-ES"/>
        </w:rPr>
      </w:pPr>
      <w:bookmarkStart w:id="0" w:name="_Ref196638188"/>
      <w:bookmarkStart w:id="1" w:name="_Ref196638193"/>
      <w:r w:rsidRPr="009515B8">
        <w:rPr>
          <w:lang w:val="es-ES"/>
        </w:rPr>
        <w:t xml:space="preserve">Tabla </w:t>
      </w:r>
      <w:r>
        <w:fldChar w:fldCharType="begin"/>
      </w:r>
      <w:r w:rsidRPr="009515B8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1</w:t>
      </w:r>
      <w:r>
        <w:fldChar w:fldCharType="end"/>
      </w:r>
      <w:bookmarkEnd w:id="1"/>
      <w:r w:rsidRPr="009515B8">
        <w:rPr>
          <w:lang w:val="es-ES"/>
        </w:rPr>
        <w:br w:type="textWrapping" w:clear="all"/>
      </w:r>
      <w:r w:rsidR="009515B8" w:rsidRPr="006A447D">
        <w:rPr>
          <w:b w:val="0"/>
          <w:bCs/>
          <w:i/>
          <w:iCs w:val="0"/>
          <w:lang w:val="es-ES"/>
        </w:rPr>
        <w:t>Estadísticos descriptivos de las variables cuant</w:t>
      </w:r>
      <w:r w:rsidR="006A447D" w:rsidRPr="006A447D">
        <w:rPr>
          <w:b w:val="0"/>
          <w:bCs/>
          <w:i/>
          <w:iCs w:val="0"/>
          <w:lang w:val="es-ES"/>
        </w:rPr>
        <w:t>itativas</w:t>
      </w:r>
      <w:bookmarkEnd w:id="0"/>
    </w:p>
    <w:tbl>
      <w:tblPr>
        <w:tblW w:w="8694" w:type="dxa"/>
        <w:jc w:val="center"/>
        <w:tblLook w:val="04A0" w:firstRow="1" w:lastRow="0" w:firstColumn="1" w:lastColumn="0" w:noHBand="0" w:noVBand="1"/>
      </w:tblPr>
      <w:tblGrid>
        <w:gridCol w:w="3029"/>
        <w:gridCol w:w="1476"/>
        <w:gridCol w:w="1476"/>
        <w:gridCol w:w="1337"/>
        <w:gridCol w:w="1376"/>
      </w:tblGrid>
      <w:tr w:rsidR="00B45EC8" w:rsidRPr="006F2718" w14:paraId="482FD7BA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AA6D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Variable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09A3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9DB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SD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283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Min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780F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Max</w:t>
            </w:r>
          </w:p>
        </w:tc>
      </w:tr>
      <w:tr w:rsidR="006F2718" w:rsidRPr="006F2718" w14:paraId="256D9202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35" w14:textId="77777777" w:rsidR="006F2718" w:rsidRPr="006F2718" w:rsidRDefault="006F2718" w:rsidP="00B45EC8">
            <w:pPr>
              <w:pStyle w:val="sinsangria"/>
            </w:pPr>
            <w:r w:rsidRPr="006F2718">
              <w:t>EDAD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3E2" w14:textId="44F9BF51" w:rsidR="006F2718" w:rsidRPr="006F2718" w:rsidRDefault="006F2718" w:rsidP="00014456">
            <w:pPr>
              <w:pStyle w:val="sinsangria"/>
              <w:jc w:val="right"/>
            </w:pPr>
            <w:r w:rsidRPr="006F2718">
              <w:t>50</w:t>
            </w:r>
            <w:r w:rsidR="00FF6A29">
              <w:t>,</w:t>
            </w:r>
            <w:r w:rsidRPr="006F2718">
              <w:t>27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3A37" w14:textId="060D6B5A" w:rsidR="006F2718" w:rsidRPr="006F2718" w:rsidRDefault="006F2718" w:rsidP="00014456">
            <w:pPr>
              <w:pStyle w:val="sinsangria"/>
              <w:jc w:val="right"/>
            </w:pPr>
            <w:r w:rsidRPr="006F2718">
              <w:t>16</w:t>
            </w:r>
            <w:r w:rsidR="00FF6A29">
              <w:t>,</w:t>
            </w:r>
            <w:r w:rsidRPr="006F2718">
              <w:t>53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639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93</w:t>
            </w:r>
          </w:p>
        </w:tc>
      </w:tr>
      <w:tr w:rsidR="006F2718" w:rsidRPr="006F2718" w14:paraId="33596E1B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30A" w14:textId="77777777" w:rsidR="006F2718" w:rsidRPr="006F2718" w:rsidRDefault="006F2718" w:rsidP="00B45EC8">
            <w:pPr>
              <w:pStyle w:val="sinsangria"/>
            </w:pPr>
            <w:r w:rsidRPr="006F2718">
              <w:t>NIVELESTENTREV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F4E" w14:textId="351A9F19" w:rsidR="006F2718" w:rsidRPr="006F2718" w:rsidRDefault="006F2718" w:rsidP="00014456">
            <w:pPr>
              <w:pStyle w:val="sinsangria"/>
              <w:jc w:val="right"/>
            </w:pPr>
            <w:r w:rsidRPr="006F2718">
              <w:t>8</w:t>
            </w:r>
            <w:r w:rsidR="00FF6A29">
              <w:t>,</w:t>
            </w:r>
            <w:r w:rsidRPr="006F2718">
              <w:t>09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2CD" w14:textId="4CC2C7B8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39</w:t>
            </w: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8C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4B1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15</w:t>
            </w:r>
          </w:p>
        </w:tc>
      </w:tr>
      <w:tr w:rsidR="00A14F08" w:rsidRPr="006F2718" w14:paraId="7966E460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1D98E" w14:textId="77777777" w:rsidR="006F2718" w:rsidRPr="006F2718" w:rsidRDefault="006F2718" w:rsidP="00B45EC8">
            <w:pPr>
              <w:pStyle w:val="sinsangria"/>
            </w:pPr>
            <w:r w:rsidRPr="006F2718">
              <w:t>INGRESHOG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C499" w14:textId="5E623D50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FB46" w14:textId="4BF286BF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70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DCE3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6</w:t>
            </w:r>
          </w:p>
        </w:tc>
      </w:tr>
      <w:tr w:rsidR="00A14F08" w:rsidRPr="006F2718" w14:paraId="3B9475DC" w14:textId="77777777" w:rsidTr="001865D3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7E01A" w14:textId="1FBF9264" w:rsidR="00A14F08" w:rsidRPr="006F2718" w:rsidRDefault="006C24E2" w:rsidP="00B45EC8">
            <w:pPr>
              <w:pStyle w:val="sinsangria"/>
            </w:pPr>
            <w:r>
              <w:t>n</w:t>
            </w:r>
            <w:r w:rsidR="00107249">
              <w:t xml:space="preserve"> = </w:t>
            </w:r>
            <w:r>
              <w:t>3</w:t>
            </w:r>
            <w:r w:rsidR="003523FB">
              <w:t>.</w:t>
            </w:r>
            <w:r>
              <w:t>951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2AF9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467104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6A8921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1BBFA8" w14:textId="77777777" w:rsidR="00A14F08" w:rsidRPr="006F2718" w:rsidRDefault="00A14F08" w:rsidP="00B45EC8">
            <w:pPr>
              <w:pStyle w:val="sinsangria"/>
            </w:pPr>
          </w:p>
        </w:tc>
      </w:tr>
      <w:tr w:rsidR="001865D3" w:rsidRPr="006F2718" w14:paraId="21CBC218" w14:textId="77777777" w:rsidTr="001865D3">
        <w:trPr>
          <w:trHeight w:val="288"/>
          <w:jc w:val="center"/>
        </w:trPr>
        <w:tc>
          <w:tcPr>
            <w:tcW w:w="30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A061D5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8D5F389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EC895D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75E9046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D19EF4" w14:textId="77777777" w:rsidR="001865D3" w:rsidRPr="006F2718" w:rsidRDefault="001865D3" w:rsidP="00B45EC8">
            <w:pPr>
              <w:pStyle w:val="sinsangria"/>
            </w:pPr>
          </w:p>
        </w:tc>
      </w:tr>
    </w:tbl>
    <w:p w14:paraId="6A22492B" w14:textId="77777777" w:rsidR="003F7C1A" w:rsidRDefault="003F7C1A" w:rsidP="003F7C1A">
      <w:pPr>
        <w:rPr>
          <w:lang w:val="es-ES"/>
        </w:rPr>
      </w:pPr>
      <w:bookmarkStart w:id="2" w:name="_Ref196638605"/>
    </w:p>
    <w:p w14:paraId="14983B24" w14:textId="47FA5882" w:rsidR="006C24E2" w:rsidRPr="001D4EF2" w:rsidRDefault="006C24E2" w:rsidP="009F7DCF">
      <w:pPr>
        <w:pStyle w:val="Caption"/>
        <w:rPr>
          <w:lang w:val="es-ES"/>
        </w:rPr>
      </w:pPr>
      <w:r w:rsidRPr="001D4EF2">
        <w:rPr>
          <w:lang w:val="es-ES"/>
        </w:rPr>
        <w:lastRenderedPageBreak/>
        <w:t xml:space="preserve">Tabla </w:t>
      </w:r>
      <w:r>
        <w:fldChar w:fldCharType="begin"/>
      </w:r>
      <w:r w:rsidRPr="001D4EF2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2</w:t>
      </w:r>
      <w:r>
        <w:fldChar w:fldCharType="end"/>
      </w:r>
      <w:bookmarkEnd w:id="2"/>
      <w:r w:rsidR="001D4EF2" w:rsidRPr="001D4EF2">
        <w:rPr>
          <w:lang w:val="es-ES"/>
        </w:rPr>
        <w:br w:type="textWrapping" w:clear="all"/>
      </w:r>
      <w:r w:rsidR="001D4EF2" w:rsidRPr="001D4EF2">
        <w:rPr>
          <w:b w:val="0"/>
          <w:bCs/>
          <w:i/>
          <w:iCs w:val="0"/>
          <w:lang w:val="es-ES"/>
        </w:rPr>
        <w:t>Estadísticos descriptivos de las variables dicotómicas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489"/>
        <w:gridCol w:w="2104"/>
        <w:gridCol w:w="1703"/>
        <w:gridCol w:w="2344"/>
      </w:tblGrid>
      <w:tr w:rsidR="006C24E2" w:rsidRPr="00BB064E" w14:paraId="62831FA2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347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2EE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Valores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4B845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7EF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Porcentaje</w:t>
            </w:r>
          </w:p>
        </w:tc>
      </w:tr>
      <w:tr w:rsidR="00B45EC8" w:rsidRPr="00BB064E" w14:paraId="6A58A4E4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273" w14:textId="77777777" w:rsidR="00BB064E" w:rsidRPr="00BB064E" w:rsidRDefault="00BB064E" w:rsidP="00B45EC8">
            <w:pPr>
              <w:pStyle w:val="sinsangria"/>
            </w:pPr>
            <w:r w:rsidRPr="00BB064E">
              <w:t>SEXO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57F" w14:textId="77777777" w:rsidR="00BB064E" w:rsidRPr="00BB064E" w:rsidRDefault="00BB064E" w:rsidP="00B45EC8">
            <w:pPr>
              <w:pStyle w:val="sinsangria"/>
            </w:pPr>
            <w:r w:rsidRPr="00BB064E">
              <w:t>Mujer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C4F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E01" w14:textId="20F8719E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62</w:t>
            </w:r>
          </w:p>
        </w:tc>
      </w:tr>
      <w:tr w:rsidR="00B45EC8" w:rsidRPr="00BB064E" w14:paraId="2E5C73C2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86F" w14:textId="7459F8A1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2F5" w14:textId="77777777" w:rsidR="00BB064E" w:rsidRPr="00BB064E" w:rsidRDefault="00BB064E" w:rsidP="00B45EC8">
            <w:pPr>
              <w:pStyle w:val="sinsangria"/>
            </w:pPr>
            <w:r w:rsidRPr="00BB064E">
              <w:t>Hombre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BC6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2030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4E9" w14:textId="7D4AE33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38</w:t>
            </w:r>
          </w:p>
        </w:tc>
      </w:tr>
      <w:tr w:rsidR="00B45EC8" w:rsidRPr="00BB064E" w14:paraId="2B8411BF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FA5" w14:textId="77777777" w:rsidR="00BB064E" w:rsidRPr="00BB064E" w:rsidRDefault="00BB064E" w:rsidP="00B45EC8">
            <w:pPr>
              <w:pStyle w:val="sinsangria"/>
            </w:pPr>
            <w:r w:rsidRPr="00BB064E">
              <w:t>RELIGION</w:t>
            </w: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270" w14:textId="2A73AA13" w:rsidR="00BB064E" w:rsidRPr="00BB064E" w:rsidRDefault="00BB064E" w:rsidP="00B45EC8">
            <w:pPr>
              <w:pStyle w:val="sinsangria"/>
            </w:pPr>
            <w:r w:rsidRPr="00BB064E">
              <w:t>No cat</w:t>
            </w:r>
            <w:r w:rsidR="00323095">
              <w:t>ó</w:t>
            </w:r>
            <w:r w:rsidRPr="00BB064E">
              <w:t>lico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FD4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1909</w:t>
            </w:r>
          </w:p>
        </w:tc>
        <w:tc>
          <w:tcPr>
            <w:tcW w:w="23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A3E" w14:textId="1BBF47BA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32</w:t>
            </w:r>
          </w:p>
        </w:tc>
      </w:tr>
      <w:tr w:rsidR="00B45EC8" w:rsidRPr="00BB064E" w14:paraId="0068668B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4BB" w14:textId="3AA42728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5353" w14:textId="4FF81899" w:rsidR="00BB064E" w:rsidRPr="00BB064E" w:rsidRDefault="00BB064E" w:rsidP="00B45EC8">
            <w:pPr>
              <w:pStyle w:val="sinsangria"/>
            </w:pPr>
            <w:r w:rsidRPr="00BB064E">
              <w:t>Cat</w:t>
            </w:r>
            <w:r w:rsidR="00323095">
              <w:t>ó</w:t>
            </w:r>
            <w:r w:rsidRPr="00BB064E">
              <w:t>lico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C99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2042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86C0" w14:textId="781265B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68</w:t>
            </w:r>
          </w:p>
        </w:tc>
      </w:tr>
      <w:tr w:rsidR="003F1393" w:rsidRPr="00BB064E" w14:paraId="5DF06160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359C3" w14:textId="135FCD4A" w:rsidR="003F1393" w:rsidRPr="00BB064E" w:rsidRDefault="006C24E2" w:rsidP="00B45EC8">
            <w:pPr>
              <w:pStyle w:val="sinsangria"/>
            </w:pPr>
            <w:r>
              <w:t>n = 3</w:t>
            </w:r>
            <w:r w:rsidR="003523FB">
              <w:t>.</w:t>
            </w:r>
            <w:r>
              <w:t>951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777C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B543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FB18BA" w14:textId="77777777" w:rsidR="003F1393" w:rsidRPr="00BB064E" w:rsidRDefault="003F1393" w:rsidP="00B45EC8">
            <w:pPr>
              <w:pStyle w:val="sinsangria"/>
            </w:pPr>
          </w:p>
        </w:tc>
      </w:tr>
      <w:tr w:rsidR="006C24E2" w:rsidRPr="00BB064E" w14:paraId="5FDF7418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7F65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1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296B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FE501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3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5039" w14:textId="77777777" w:rsidR="006C24E2" w:rsidRPr="00BB064E" w:rsidRDefault="006C24E2" w:rsidP="00B45EC8">
            <w:pPr>
              <w:pStyle w:val="sinsangria"/>
            </w:pPr>
          </w:p>
        </w:tc>
      </w:tr>
    </w:tbl>
    <w:p w14:paraId="061CB534" w14:textId="3CC9AC18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222F33">
        <w:rPr>
          <w:lang w:val="es-ES"/>
        </w:rPr>
        <w:t>multi</w:t>
      </w:r>
      <w:r w:rsidR="009A69C1">
        <w:rPr>
          <w:lang w:val="es-ES"/>
        </w:rPr>
        <w:t>c</w:t>
      </w:r>
      <w:r w:rsidR="00FA42B5">
        <w:rPr>
          <w:lang w:val="es-ES"/>
        </w:rPr>
        <w:t>olinealidad</w:t>
      </w:r>
    </w:p>
    <w:p w14:paraId="5A2B7310" w14:textId="2A0F082C" w:rsidR="009A69C1" w:rsidRDefault="003F7C1A" w:rsidP="007D653C">
      <w:pPr>
        <w:rPr>
          <w:lang w:val="es-ES"/>
        </w:rPr>
      </w:pPr>
      <w:r>
        <w:rPr>
          <w:lang w:val="es-ES"/>
        </w:rPr>
        <w:t>Previ</w:t>
      </w:r>
      <w:r w:rsidR="00302863">
        <w:rPr>
          <w:lang w:val="es-ES"/>
        </w:rPr>
        <w:t xml:space="preserve">o a la operación </w:t>
      </w:r>
      <w:r w:rsidR="008F5669">
        <w:rPr>
          <w:lang w:val="es-ES"/>
        </w:rPr>
        <w:t xml:space="preserve">de regresión logística, es necesario conocer </w:t>
      </w:r>
      <w:r w:rsidR="003262A2">
        <w:rPr>
          <w:lang w:val="es-ES"/>
        </w:rPr>
        <w:t xml:space="preserve">si las variables independientes </w:t>
      </w:r>
      <w:r w:rsidR="00477139">
        <w:rPr>
          <w:lang w:val="es-ES"/>
        </w:rPr>
        <w:t>están altamente correlacionadas entre sí. De ser éste el caso,</w:t>
      </w:r>
      <w:r w:rsidR="008F5669">
        <w:rPr>
          <w:lang w:val="es-ES"/>
        </w:rPr>
        <w:t xml:space="preserve"> </w:t>
      </w:r>
      <w:r w:rsidR="00303C21">
        <w:rPr>
          <w:lang w:val="es-ES"/>
        </w:rPr>
        <w:t>l</w:t>
      </w:r>
      <w:r w:rsidR="00DB2FAA">
        <w:rPr>
          <w:lang w:val="es-ES"/>
        </w:rPr>
        <w:t>a validez de los resultados pudiera verse afectada</w:t>
      </w:r>
      <w:r w:rsidR="005D3284">
        <w:rPr>
          <w:lang w:val="es-ES"/>
        </w:rPr>
        <w:t xml:space="preserve"> </w:t>
      </w:r>
      <w:r w:rsidR="00B35BE9">
        <w:rPr>
          <w:lang w:val="es-ES"/>
        </w:rPr>
        <w:t>(</w:t>
      </w:r>
      <w:r w:rsidR="00B35BE9" w:rsidRPr="00B35BE9">
        <w:rPr>
          <w:lang w:val="es-ES"/>
        </w:rPr>
        <w:t>Schreiber-Gregory</w:t>
      </w:r>
      <w:r w:rsidR="00B35BE9">
        <w:rPr>
          <w:lang w:val="es-ES"/>
        </w:rPr>
        <w:t>, 2017</w:t>
      </w:r>
      <w:r w:rsidR="00E65B09">
        <w:rPr>
          <w:lang w:val="es-ES"/>
        </w:rPr>
        <w:t>, p. 1</w:t>
      </w:r>
      <w:r w:rsidR="00B35BE9">
        <w:rPr>
          <w:lang w:val="es-ES"/>
        </w:rPr>
        <w:t>)</w:t>
      </w:r>
      <w:r w:rsidR="00E65B09">
        <w:rPr>
          <w:lang w:val="es-ES"/>
        </w:rPr>
        <w:t xml:space="preserve">. </w:t>
      </w:r>
      <w:r w:rsidR="00665AA1">
        <w:rPr>
          <w:lang w:val="es-ES"/>
        </w:rPr>
        <w:t>La medida usada en este caso es el factor de inflación de la varianza (VIF)</w:t>
      </w:r>
      <w:r w:rsidR="003B030D">
        <w:rPr>
          <w:lang w:val="es-ES"/>
        </w:rPr>
        <w:t xml:space="preserve">, la cual mide el nivel en que </w:t>
      </w:r>
      <w:r w:rsidR="00826277">
        <w:rPr>
          <w:lang w:val="es-ES"/>
        </w:rPr>
        <w:t xml:space="preserve">la varianza del coeficiente de regresión de un predictor está </w:t>
      </w:r>
      <w:r w:rsidR="00F03D17">
        <w:rPr>
          <w:lang w:val="es-ES"/>
        </w:rPr>
        <w:t>inflada por su correlación con los otros predictores</w:t>
      </w:r>
      <w:r w:rsidR="00A4367E">
        <w:rPr>
          <w:lang w:val="es-ES"/>
        </w:rPr>
        <w:t xml:space="preserve">. </w:t>
      </w:r>
      <w:r w:rsidR="003F5B94">
        <w:rPr>
          <w:lang w:val="es-ES"/>
        </w:rPr>
        <w:t xml:space="preserve">Este estadístico oscila entre </w:t>
      </w:r>
      <w:r w:rsidR="00F42914">
        <w:rPr>
          <w:lang w:val="es-ES"/>
        </w:rPr>
        <w:t xml:space="preserve">1 e infinito </w:t>
      </w:r>
      <w:r w:rsidR="00133D7D">
        <w:rPr>
          <w:lang w:val="es-ES"/>
        </w:rPr>
        <w:t xml:space="preserve">y cualquier valor por debajo de 4 se considera </w:t>
      </w:r>
      <w:r w:rsidR="00581282">
        <w:rPr>
          <w:lang w:val="es-ES"/>
        </w:rPr>
        <w:t>aceptable</w:t>
      </w:r>
      <w:r w:rsidR="00F03D17">
        <w:rPr>
          <w:lang w:val="es-ES"/>
        </w:rPr>
        <w:t xml:space="preserve"> (</w:t>
      </w:r>
      <w:r w:rsidR="005767E2" w:rsidRPr="00580A44">
        <w:rPr>
          <w:lang w:val="es-ES"/>
        </w:rPr>
        <w:t>Comprehensive R Archive Network</w:t>
      </w:r>
      <w:r w:rsidR="005767E2" w:rsidRPr="005767E2">
        <w:rPr>
          <w:lang w:val="es-ES"/>
        </w:rPr>
        <w:t xml:space="preserve"> </w:t>
      </w:r>
      <w:r w:rsidR="005767E2">
        <w:rPr>
          <w:lang w:val="es-ES"/>
        </w:rPr>
        <w:t>[CRAN]</w:t>
      </w:r>
      <w:r w:rsidR="00F03D17">
        <w:rPr>
          <w:lang w:val="es-ES"/>
        </w:rPr>
        <w:t>).</w:t>
      </w:r>
      <w:r w:rsidR="004310CB">
        <w:rPr>
          <w:lang w:val="es-ES"/>
        </w:rPr>
        <w:t xml:space="preserve"> Como se puede observa</w:t>
      </w:r>
      <w:r w:rsidR="002020B5">
        <w:rPr>
          <w:lang w:val="es-ES"/>
        </w:rPr>
        <w:t>r</w:t>
      </w:r>
      <w:r w:rsidR="004310CB">
        <w:rPr>
          <w:lang w:val="es-ES"/>
        </w:rPr>
        <w:t xml:space="preserve"> en la </w:t>
      </w:r>
      <w:r w:rsidR="004310CB">
        <w:rPr>
          <w:lang w:val="es-ES"/>
        </w:rPr>
        <w:fldChar w:fldCharType="begin"/>
      </w:r>
      <w:r w:rsidR="004310CB">
        <w:rPr>
          <w:lang w:val="es-ES"/>
        </w:rPr>
        <w:instrText xml:space="preserve"> REF _Ref196641472 \h </w:instrText>
      </w:r>
      <w:r w:rsidR="004310CB">
        <w:rPr>
          <w:lang w:val="es-ES"/>
        </w:rPr>
      </w:r>
      <w:r w:rsidR="004310CB">
        <w:rPr>
          <w:lang w:val="es-ES"/>
        </w:rPr>
        <w:fldChar w:fldCharType="separate"/>
      </w:r>
      <w:r w:rsidR="004310CB" w:rsidRPr="0001756C">
        <w:rPr>
          <w:lang w:val="es-ES"/>
        </w:rPr>
        <w:t xml:space="preserve">Tabla </w:t>
      </w:r>
      <w:r w:rsidR="004310CB">
        <w:rPr>
          <w:noProof/>
          <w:lang w:val="es-ES"/>
        </w:rPr>
        <w:t>3</w:t>
      </w:r>
      <w:r w:rsidR="004310CB">
        <w:rPr>
          <w:lang w:val="es-ES"/>
        </w:rPr>
        <w:fldChar w:fldCharType="end"/>
      </w:r>
      <w:r w:rsidR="004310CB">
        <w:rPr>
          <w:lang w:val="es-ES"/>
        </w:rPr>
        <w:t xml:space="preserve">, </w:t>
      </w:r>
      <w:r w:rsidR="002020B5">
        <w:rPr>
          <w:lang w:val="es-ES"/>
        </w:rPr>
        <w:t xml:space="preserve">ninguna de las variables dependientes alcanza un nivel de riesgo </w:t>
      </w:r>
      <w:r w:rsidR="00560D41">
        <w:rPr>
          <w:lang w:val="es-ES"/>
        </w:rPr>
        <w:t>para nuestra investigación.</w:t>
      </w:r>
    </w:p>
    <w:p w14:paraId="2D86A703" w14:textId="6BB2C1BB" w:rsidR="0001756C" w:rsidRPr="0001756C" w:rsidRDefault="0001756C" w:rsidP="0001756C">
      <w:pPr>
        <w:pStyle w:val="Caption"/>
        <w:rPr>
          <w:lang w:val="es-ES"/>
        </w:rPr>
      </w:pPr>
      <w:bookmarkStart w:id="3" w:name="_Ref196641472"/>
      <w:r w:rsidRPr="0001756C">
        <w:rPr>
          <w:lang w:val="es-ES"/>
        </w:rPr>
        <w:t xml:space="preserve">Tabla </w:t>
      </w:r>
      <w:r>
        <w:fldChar w:fldCharType="begin"/>
      </w:r>
      <w:r w:rsidRPr="0001756C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3</w:t>
      </w:r>
      <w:r>
        <w:fldChar w:fldCharType="end"/>
      </w:r>
      <w:bookmarkEnd w:id="3"/>
      <w:r w:rsidRPr="0001756C">
        <w:rPr>
          <w:lang w:val="es-ES"/>
        </w:rPr>
        <w:br w:type="textWrapping" w:clear="all"/>
      </w:r>
      <w:r w:rsidRPr="007F675D">
        <w:rPr>
          <w:b w:val="0"/>
          <w:bCs/>
          <w:i/>
          <w:iCs w:val="0"/>
          <w:lang w:val="es-ES"/>
        </w:rPr>
        <w:t>Factor de inflaci</w:t>
      </w:r>
      <w:r w:rsidR="007F675D" w:rsidRPr="007F675D">
        <w:rPr>
          <w:b w:val="0"/>
          <w:bCs/>
          <w:i/>
          <w:iCs w:val="0"/>
          <w:lang w:val="es-ES"/>
        </w:rPr>
        <w:t>ón de la varianza</w:t>
      </w:r>
    </w:p>
    <w:tbl>
      <w:tblPr>
        <w:tblW w:w="4385" w:type="dxa"/>
        <w:jc w:val="center"/>
        <w:tblLook w:val="04A0" w:firstRow="1" w:lastRow="0" w:firstColumn="1" w:lastColumn="0" w:noHBand="0" w:noVBand="1"/>
      </w:tblPr>
      <w:tblGrid>
        <w:gridCol w:w="3029"/>
        <w:gridCol w:w="1356"/>
      </w:tblGrid>
      <w:tr w:rsidR="009C0DA4" w:rsidRPr="002A78DF" w14:paraId="4EFAF95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7780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Variable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51CC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VIF</w:t>
            </w:r>
          </w:p>
        </w:tc>
      </w:tr>
      <w:tr w:rsidR="009C0DA4" w:rsidRPr="002A78DF" w14:paraId="0DE811D6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C29" w14:textId="77777777" w:rsidR="002A78DF" w:rsidRPr="002A78DF" w:rsidRDefault="002A78DF" w:rsidP="00B45EC8">
            <w:pPr>
              <w:pStyle w:val="sinsangria"/>
            </w:pPr>
            <w:r w:rsidRPr="002A78DF">
              <w:t>SEXO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DB4E" w14:textId="676A6EF8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02</w:t>
            </w:r>
          </w:p>
        </w:tc>
      </w:tr>
      <w:tr w:rsidR="009C0DA4" w:rsidRPr="002A78DF" w14:paraId="08412D9D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F1B2" w14:textId="77777777" w:rsidR="002A78DF" w:rsidRPr="002A78DF" w:rsidRDefault="002A78DF" w:rsidP="00B45EC8">
            <w:pPr>
              <w:pStyle w:val="sinsangria"/>
            </w:pPr>
            <w:r w:rsidRPr="002A78DF">
              <w:t>EDAD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0ED" w14:textId="17D1519C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,11</w:t>
            </w:r>
          </w:p>
        </w:tc>
      </w:tr>
      <w:tr w:rsidR="009C0DA4" w:rsidRPr="002A78DF" w14:paraId="6E617E80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546" w14:textId="77777777" w:rsidR="002A78DF" w:rsidRPr="002A78DF" w:rsidRDefault="002A78DF" w:rsidP="00B45EC8">
            <w:pPr>
              <w:pStyle w:val="sinsangria"/>
            </w:pPr>
            <w:r w:rsidRPr="002A78DF">
              <w:t>RELIGION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2D6" w14:textId="432559A9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,08</w:t>
            </w:r>
          </w:p>
        </w:tc>
      </w:tr>
      <w:tr w:rsidR="009C0DA4" w:rsidRPr="002A78DF" w14:paraId="0C65693B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EA3" w14:textId="77777777" w:rsidR="002A78DF" w:rsidRPr="002A78DF" w:rsidRDefault="002A78DF" w:rsidP="00B45EC8">
            <w:pPr>
              <w:pStyle w:val="sinsangria"/>
            </w:pPr>
            <w:r w:rsidRPr="002A78DF">
              <w:t>NIVELESTENTREV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09D" w14:textId="13B20456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9</w:t>
            </w:r>
          </w:p>
        </w:tc>
      </w:tr>
      <w:tr w:rsidR="009C0DA4" w:rsidRPr="002A78DF" w14:paraId="13D8A1E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2A905" w14:textId="77777777" w:rsidR="002A78DF" w:rsidRPr="002A78DF" w:rsidRDefault="002A78DF" w:rsidP="00B45EC8">
            <w:pPr>
              <w:pStyle w:val="sinsangria"/>
            </w:pPr>
            <w:r w:rsidRPr="002A78DF">
              <w:t>INGRESHOG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ADB38" w14:textId="733C1130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4</w:t>
            </w:r>
          </w:p>
        </w:tc>
      </w:tr>
      <w:tr w:rsidR="009C0DA4" w:rsidRPr="002A78DF" w14:paraId="75417AB3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19AB7" w14:textId="77777777" w:rsidR="009C0DA4" w:rsidRPr="002A78DF" w:rsidRDefault="009C0DA4" w:rsidP="00B45EC8">
            <w:pPr>
              <w:pStyle w:val="sinsangria"/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93421" w14:textId="77777777" w:rsidR="009C0DA4" w:rsidRPr="002A78DF" w:rsidRDefault="009C0DA4" w:rsidP="00B45EC8">
            <w:pPr>
              <w:pStyle w:val="sinsangria"/>
            </w:pPr>
          </w:p>
        </w:tc>
      </w:tr>
    </w:tbl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5067CEA3" w14:textId="631294BE" w:rsidR="00222F33" w:rsidRPr="0010452F" w:rsidRDefault="000136DD" w:rsidP="00222F33">
      <w:pPr>
        <w:rPr>
          <w:lang w:val="es-ES"/>
        </w:rPr>
      </w:pPr>
      <w:r>
        <w:rPr>
          <w:lang w:val="es-ES"/>
        </w:rPr>
        <w:t xml:space="preserve">Luego de estos análisis preliminares </w:t>
      </w:r>
      <w:r w:rsidR="00E44DB2">
        <w:rPr>
          <w:lang w:val="es-ES"/>
        </w:rPr>
        <w:t xml:space="preserve">llegamos a la operación principal, la regresión logística. </w:t>
      </w:r>
      <w:r w:rsidR="00C03276">
        <w:rPr>
          <w:lang w:val="es-ES"/>
        </w:rPr>
        <w:t xml:space="preserve">La </w:t>
      </w:r>
      <w:r w:rsidR="00E12FC5">
        <w:rPr>
          <w:lang w:val="es-ES"/>
        </w:rPr>
        <w:t>eliminación hacia atrás (</w:t>
      </w:r>
      <w:r w:rsidR="004B2C43" w:rsidRPr="004B2C43">
        <w:rPr>
          <w:i/>
          <w:iCs/>
          <w:lang w:val="es-ES"/>
        </w:rPr>
        <w:t>backward stepwise regression</w:t>
      </w:r>
      <w:r w:rsidR="004B2C43">
        <w:rPr>
          <w:lang w:val="es-ES"/>
        </w:rPr>
        <w:t>)</w:t>
      </w:r>
      <w:r w:rsidR="007133D5">
        <w:rPr>
          <w:lang w:val="es-ES"/>
        </w:rPr>
        <w:t xml:space="preserve"> fue usada para la selección de las variables en el modelo final. Éstas deben alcanzar un nivel de significación </w:t>
      </w:r>
      <w:r w:rsidR="003446EC">
        <w:rPr>
          <w:lang w:val="es-ES"/>
        </w:rPr>
        <w:t>menor a 0,01 (</w:t>
      </w:r>
      <w:r w:rsidR="003446EC" w:rsidRPr="00CE68CC">
        <w:rPr>
          <w:i/>
          <w:iCs/>
          <w:lang w:val="es-ES"/>
        </w:rPr>
        <w:t xml:space="preserve">p </w:t>
      </w:r>
      <w:r w:rsidR="00CE68CC" w:rsidRPr="00CE68CC">
        <w:rPr>
          <w:i/>
          <w:iCs/>
          <w:lang w:val="es-ES"/>
        </w:rPr>
        <w:t>&lt; 0,01</w:t>
      </w:r>
      <w:r w:rsidR="00CE68CC">
        <w:rPr>
          <w:lang w:val="es-ES"/>
        </w:rPr>
        <w:t>)</w:t>
      </w:r>
      <w:r w:rsidR="007133D5">
        <w:rPr>
          <w:lang w:val="es-ES"/>
        </w:rPr>
        <w:t xml:space="preserve"> </w:t>
      </w:r>
      <w:r w:rsidR="005072A1">
        <w:rPr>
          <w:lang w:val="es-ES"/>
        </w:rPr>
        <w:t xml:space="preserve">para poder ser seleccionadas. </w:t>
      </w:r>
      <w:r w:rsidR="00AE1D81">
        <w:rPr>
          <w:lang w:val="es-ES"/>
        </w:rPr>
        <w:t>En el modelo inicial</w:t>
      </w:r>
      <w:r w:rsidR="00E62E82">
        <w:rPr>
          <w:lang w:val="es-ES"/>
        </w:rPr>
        <w:t xml:space="preserve"> (</w:t>
      </w:r>
      <w:r w:rsidR="005B0914">
        <w:rPr>
          <w:lang w:val="es-ES"/>
        </w:rPr>
        <w:fldChar w:fldCharType="begin"/>
      </w:r>
      <w:r w:rsidR="005B0914">
        <w:rPr>
          <w:lang w:val="es-ES"/>
        </w:rPr>
        <w:instrText xml:space="preserve"> REF _Ref196642567 \h </w:instrText>
      </w:r>
      <w:r w:rsidR="005B0914">
        <w:rPr>
          <w:lang w:val="es-ES"/>
        </w:rPr>
      </w:r>
      <w:r w:rsidR="005B0914">
        <w:rPr>
          <w:lang w:val="es-ES"/>
        </w:rPr>
        <w:fldChar w:fldCharType="separate"/>
      </w:r>
      <w:r w:rsidR="005B0914" w:rsidRPr="007133D5">
        <w:rPr>
          <w:lang w:val="es-ES"/>
        </w:rPr>
        <w:t xml:space="preserve">Tabla </w:t>
      </w:r>
      <w:r w:rsidR="005B0914" w:rsidRPr="007133D5">
        <w:rPr>
          <w:noProof/>
          <w:lang w:val="es-ES"/>
        </w:rPr>
        <w:t>4</w:t>
      </w:r>
      <w:r w:rsidR="005B0914">
        <w:rPr>
          <w:lang w:val="es-ES"/>
        </w:rPr>
        <w:fldChar w:fldCharType="end"/>
      </w:r>
      <w:r w:rsidR="00E62E82">
        <w:rPr>
          <w:lang w:val="es-ES"/>
        </w:rPr>
        <w:t>)</w:t>
      </w:r>
      <w:r w:rsidR="005B0914">
        <w:rPr>
          <w:lang w:val="es-ES"/>
        </w:rPr>
        <w:t xml:space="preserve"> </w:t>
      </w:r>
      <w:r w:rsidR="00AE1D81">
        <w:rPr>
          <w:lang w:val="es-ES"/>
        </w:rPr>
        <w:t xml:space="preserve">se </w:t>
      </w:r>
      <w:r w:rsidR="00AE1D81">
        <w:rPr>
          <w:lang w:val="es-ES"/>
        </w:rPr>
        <w:lastRenderedPageBreak/>
        <w:t xml:space="preserve">incluyeron todas las variables independientes y sus interacciones. </w:t>
      </w:r>
      <w:r w:rsidR="00431904">
        <w:rPr>
          <w:lang w:val="es-ES"/>
        </w:rPr>
        <w:t xml:space="preserve">Para los subsiguientes modelos se incluyeron las variables </w:t>
      </w:r>
      <w:r w:rsidR="004C0483">
        <w:rPr>
          <w:lang w:val="es-ES"/>
        </w:rPr>
        <w:t>independientes significativas, las variables independientes presentes en interacciones significativas y las interacciones significativas</w:t>
      </w:r>
      <w:r w:rsidR="00277CFC">
        <w:rPr>
          <w:lang w:val="es-ES"/>
        </w:rPr>
        <w:t>. Por ejemplo</w:t>
      </w:r>
      <w:r w:rsidR="00B74932">
        <w:rPr>
          <w:lang w:val="es-ES"/>
        </w:rPr>
        <w:t>, el modelo completo muestra que el ingreso por hogar (INGRES</w:t>
      </w:r>
      <w:r w:rsidR="00B14184">
        <w:rPr>
          <w:lang w:val="es-ES"/>
        </w:rPr>
        <w:t xml:space="preserve">HOG) no tiene un valor </w:t>
      </w:r>
      <w:r w:rsidR="00B14184" w:rsidRPr="00B14184">
        <w:rPr>
          <w:i/>
          <w:iCs/>
          <w:lang w:val="es-ES"/>
        </w:rPr>
        <w:t>p</w:t>
      </w:r>
      <w:r w:rsidR="00B14184">
        <w:rPr>
          <w:lang w:val="es-ES"/>
        </w:rPr>
        <w:t xml:space="preserve"> significativo</w:t>
      </w:r>
      <w:r w:rsidR="0010452F">
        <w:rPr>
          <w:lang w:val="es-ES"/>
        </w:rPr>
        <w:t xml:space="preserve"> (</w:t>
      </w:r>
      <w:r w:rsidR="0010452F" w:rsidRPr="0010452F">
        <w:rPr>
          <w:i/>
          <w:iCs/>
          <w:lang w:val="es-ES"/>
        </w:rPr>
        <w:t>p &gt; ,01</w:t>
      </w:r>
      <w:r w:rsidR="0010452F">
        <w:rPr>
          <w:lang w:val="es-ES"/>
        </w:rPr>
        <w:t>)</w:t>
      </w:r>
      <w:r w:rsidR="007148C2">
        <w:rPr>
          <w:lang w:val="es-ES"/>
        </w:rPr>
        <w:t>, sin embargo, su interacción con sexo sí lo es. Por ello</w:t>
      </w:r>
      <w:r w:rsidR="005430EA">
        <w:rPr>
          <w:lang w:val="es-ES"/>
        </w:rPr>
        <w:t xml:space="preserve">, </w:t>
      </w:r>
      <w:r w:rsidR="00C03112">
        <w:rPr>
          <w:lang w:val="es-ES"/>
        </w:rPr>
        <w:t xml:space="preserve">la variable </w:t>
      </w:r>
      <w:r w:rsidR="005430EA">
        <w:rPr>
          <w:lang w:val="es-ES"/>
        </w:rPr>
        <w:t>ingreso por hogar fue incluid</w:t>
      </w:r>
      <w:r w:rsidR="00C03112">
        <w:rPr>
          <w:lang w:val="es-ES"/>
        </w:rPr>
        <w:t>a</w:t>
      </w:r>
      <w:r w:rsidR="005430EA">
        <w:rPr>
          <w:lang w:val="es-ES"/>
        </w:rPr>
        <w:t xml:space="preserve"> en los modelos subsiguientes.</w:t>
      </w:r>
    </w:p>
    <w:p w14:paraId="0A25E5E2" w14:textId="2EEB2B4A" w:rsidR="005A66B2" w:rsidRPr="007133D5" w:rsidRDefault="005A66B2" w:rsidP="005A66B2">
      <w:pPr>
        <w:pStyle w:val="Caption"/>
        <w:rPr>
          <w:lang w:val="es-ES"/>
        </w:rPr>
      </w:pPr>
      <w:bookmarkStart w:id="4" w:name="_Ref196642567"/>
      <w:r w:rsidRPr="007133D5">
        <w:rPr>
          <w:lang w:val="es-ES"/>
        </w:rPr>
        <w:t xml:space="preserve">Tabla </w:t>
      </w:r>
      <w:r w:rsidR="008C6E89">
        <w:fldChar w:fldCharType="begin"/>
      </w:r>
      <w:r w:rsidR="008C6E89" w:rsidRPr="007133D5">
        <w:rPr>
          <w:lang w:val="es-ES"/>
        </w:rPr>
        <w:instrText xml:space="preserve"> SEQ Tabla \* ARABIC </w:instrText>
      </w:r>
      <w:r w:rsidR="008C6E89">
        <w:fldChar w:fldCharType="separate"/>
      </w:r>
      <w:r w:rsidR="008C6E89" w:rsidRPr="007133D5">
        <w:rPr>
          <w:noProof/>
          <w:lang w:val="es-ES"/>
        </w:rPr>
        <w:t>4</w:t>
      </w:r>
      <w:r w:rsidR="008C6E89">
        <w:rPr>
          <w:noProof/>
        </w:rPr>
        <w:fldChar w:fldCharType="end"/>
      </w:r>
      <w:bookmarkEnd w:id="4"/>
      <w:r w:rsidRPr="007133D5">
        <w:rPr>
          <w:lang w:val="es-ES"/>
        </w:rPr>
        <w:br w:type="textWrapping" w:clear="all"/>
      </w:r>
      <w:r w:rsidR="004E56DE" w:rsidRPr="007133D5">
        <w:rPr>
          <w:b w:val="0"/>
          <w:bCs/>
          <w:i/>
          <w:iCs w:val="0"/>
          <w:lang w:val="es-ES"/>
        </w:rPr>
        <w:t>Modelo Completo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3960"/>
        <w:gridCol w:w="1260"/>
        <w:gridCol w:w="1754"/>
        <w:gridCol w:w="1666"/>
      </w:tblGrid>
      <w:tr w:rsidR="005A66B2" w:rsidRPr="00D426AE" w14:paraId="7134E5D6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F0C86" w14:textId="6E25C6E2" w:rsidR="00D426AE" w:rsidRPr="00D426AE" w:rsidRDefault="00014456" w:rsidP="005A66B2">
            <w:pPr>
              <w:pStyle w:val="sinsangria"/>
              <w:jc w:val="center"/>
            </w:pPr>
            <w: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02043" w14:textId="77777777" w:rsidR="00D426AE" w:rsidRPr="00D426AE" w:rsidRDefault="00D426AE" w:rsidP="005A66B2">
            <w:pPr>
              <w:pStyle w:val="sinsangria"/>
              <w:jc w:val="center"/>
            </w:pPr>
            <w:r w:rsidRPr="00D426AE">
              <w:t>co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26AEE" w14:textId="527E285B" w:rsidR="00D426AE" w:rsidRPr="00D426AE" w:rsidRDefault="00014456" w:rsidP="005A66B2">
            <w:pPr>
              <w:pStyle w:val="sinsangria"/>
              <w:jc w:val="center"/>
            </w:pPr>
            <w:r>
              <w:t>Error</w:t>
            </w:r>
            <w:r w:rsidR="005A66B2">
              <w:t xml:space="preserve"> S.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CF5F7" w14:textId="0AACE89B" w:rsidR="00D426AE" w:rsidRPr="00D426AE" w:rsidRDefault="00D426AE" w:rsidP="005A66B2">
            <w:pPr>
              <w:pStyle w:val="sinsangria"/>
              <w:jc w:val="center"/>
            </w:pPr>
            <w:r w:rsidRPr="00D426AE">
              <w:t>Odds</w:t>
            </w:r>
            <w:r w:rsidR="00A14BC3">
              <w:t xml:space="preserve"> </w:t>
            </w:r>
            <w:r w:rsidRPr="00D426AE">
              <w:t>Ratio</w:t>
            </w:r>
          </w:p>
        </w:tc>
      </w:tr>
      <w:tr w:rsidR="005A66B2" w:rsidRPr="00D426AE" w14:paraId="4A0EA40A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C2B" w14:textId="77777777" w:rsidR="00D426AE" w:rsidRPr="00D426AE" w:rsidRDefault="00D426AE" w:rsidP="000F5E63">
            <w:pPr>
              <w:pStyle w:val="sinsangria"/>
            </w:pPr>
            <w:r w:rsidRPr="00D426AE"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6F9" w14:textId="6E0C3C7A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8</w:t>
            </w:r>
            <w:r w:rsidR="00F177CD">
              <w:t>4</w:t>
            </w:r>
            <w:r w:rsidR="006D124F" w:rsidRPr="00323F92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E7FD" w14:textId="093C483C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5</w:t>
            </w:r>
            <w:r w:rsidR="00B574E1">
              <w:t>7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C6BB" w14:textId="4C689258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1</w:t>
            </w:r>
            <w:r w:rsidR="00A26A33">
              <w:t>6</w:t>
            </w:r>
          </w:p>
        </w:tc>
      </w:tr>
      <w:tr w:rsidR="005A66B2" w:rsidRPr="00D426AE" w14:paraId="68424A6B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DEA3" w14:textId="77777777" w:rsidR="00D426AE" w:rsidRPr="00D426AE" w:rsidRDefault="00D426AE" w:rsidP="000F5E63">
            <w:pPr>
              <w:pStyle w:val="sinsangria"/>
            </w:pPr>
            <w:r w:rsidRPr="00D426AE">
              <w:t>SEXO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63C" w14:textId="296DF8F6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93</w:t>
            </w:r>
            <w:r w:rsidR="00323F92" w:rsidRPr="00323F92">
              <w:rPr>
                <w:vertAlign w:val="superscript"/>
              </w:rPr>
              <w:t>***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F88" w14:textId="68ABE110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ED1" w14:textId="62C32869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1</w:t>
            </w:r>
            <w:r w:rsidR="00A26A33">
              <w:t>5</w:t>
            </w:r>
          </w:p>
        </w:tc>
      </w:tr>
      <w:tr w:rsidR="005A66B2" w:rsidRPr="00D426AE" w14:paraId="36DFFAA1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A8C" w14:textId="77777777" w:rsidR="00D426AE" w:rsidRPr="00D426AE" w:rsidRDefault="00D426AE" w:rsidP="000F5E63">
            <w:pPr>
              <w:pStyle w:val="sinsangria"/>
            </w:pPr>
            <w:r w:rsidRPr="00D426AE">
              <w:t>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A7B" w14:textId="535A143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02</w:t>
            </w:r>
            <w:r w:rsidR="00323F92" w:rsidRPr="009F6E3E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090" w14:textId="24E616A7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</w:t>
            </w:r>
            <w:r w:rsidR="00B574E1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98D" w14:textId="1456EA1B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02</w:t>
            </w:r>
          </w:p>
        </w:tc>
      </w:tr>
      <w:tr w:rsidR="005A66B2" w:rsidRPr="00D426AE" w14:paraId="304C8515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C0B7" w14:textId="77777777" w:rsidR="00D426AE" w:rsidRPr="00D426AE" w:rsidRDefault="00D426AE" w:rsidP="000F5E63">
            <w:pPr>
              <w:pStyle w:val="sinsangria"/>
            </w:pPr>
            <w:r w:rsidRPr="00D426AE">
              <w:t>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F83B" w14:textId="41C60AE6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32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1C6" w14:textId="29FFD777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B574E1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49D0" w14:textId="1ACD22BD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40</w:t>
            </w:r>
          </w:p>
        </w:tc>
      </w:tr>
      <w:tr w:rsidR="005A66B2" w:rsidRPr="00D426AE" w14:paraId="71F3A44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C47" w14:textId="77777777" w:rsidR="00D426AE" w:rsidRPr="00D426AE" w:rsidRDefault="00D426AE" w:rsidP="000F5E63">
            <w:pPr>
              <w:pStyle w:val="sinsangria"/>
            </w:pPr>
            <w:r w:rsidRPr="00D426AE">
              <w:t>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481" w14:textId="659CE4A2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2939" w14:textId="56F9BF0E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1998" w14:textId="0792330F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10</w:t>
            </w:r>
          </w:p>
        </w:tc>
      </w:tr>
      <w:tr w:rsidR="005A66B2" w:rsidRPr="00D426AE" w14:paraId="5F80E444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DC6" w14:textId="77777777" w:rsidR="00D426AE" w:rsidRPr="00D426AE" w:rsidRDefault="00D426AE" w:rsidP="000F5E63">
            <w:pPr>
              <w:pStyle w:val="sinsangria"/>
            </w:pPr>
            <w:r w:rsidRPr="00D426AE">
              <w:t>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9A4" w14:textId="4EFBF4D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</w:t>
            </w:r>
            <w:r w:rsidR="00F177CD"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1B6" w14:textId="46235939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1</w:t>
            </w:r>
            <w:r w:rsidR="00B574E1"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162" w14:textId="55C8F535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07</w:t>
            </w:r>
          </w:p>
        </w:tc>
      </w:tr>
      <w:tr w:rsidR="005A66B2" w:rsidRPr="00D426AE" w14:paraId="0F24B35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F278" w14:textId="77777777" w:rsidR="00D426AE" w:rsidRPr="00D426AE" w:rsidRDefault="00D426AE" w:rsidP="000F5E63">
            <w:pPr>
              <w:pStyle w:val="sinsangria"/>
            </w:pPr>
            <w:r w:rsidRPr="00D426AE">
              <w:t>SEXO:EDAD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E9C5" w14:textId="32ECBBB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</w:t>
            </w:r>
            <w:r w:rsidR="00F177CD">
              <w:t>2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EDED" w14:textId="5522B114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240" w14:textId="15A50EA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2</w:t>
            </w:r>
          </w:p>
        </w:tc>
      </w:tr>
      <w:tr w:rsidR="005A66B2" w:rsidRPr="00D426AE" w14:paraId="0C85FD0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4CE" w14:textId="77777777" w:rsidR="00D426AE" w:rsidRPr="00D426AE" w:rsidRDefault="00D426AE" w:rsidP="000F5E63">
            <w:pPr>
              <w:pStyle w:val="sinsangria"/>
            </w:pPr>
            <w:r w:rsidRPr="00D426AE">
              <w:t>SEXO:RELIGION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5CE8" w14:textId="3EEA2CA1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15A" w14:textId="2EF03025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1</w:t>
            </w:r>
            <w:r w:rsidR="00B574E1"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811" w14:textId="5A0D2EE9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9</w:t>
            </w:r>
            <w:r w:rsidR="00A26A33">
              <w:t>3</w:t>
            </w:r>
          </w:p>
        </w:tc>
      </w:tr>
      <w:tr w:rsidR="005A66B2" w:rsidRPr="00D426AE" w14:paraId="3FCC8AF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E7C" w14:textId="77777777" w:rsidR="00D426AE" w:rsidRPr="00D426AE" w:rsidRDefault="00D426AE" w:rsidP="000F5E63">
            <w:pPr>
              <w:pStyle w:val="sinsangria"/>
            </w:pPr>
            <w:r w:rsidRPr="00D426AE">
              <w:t>SEXO:NIVELESTENTREV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CD5" w14:textId="38BEEB7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</w:t>
            </w:r>
            <w:r w:rsidR="00F177CD">
              <w:t>8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3A7" w14:textId="4F73DA26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</w:t>
            </w:r>
            <w:r w:rsidR="00B574E1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6334" w14:textId="386FC9F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8</w:t>
            </w:r>
          </w:p>
        </w:tc>
      </w:tr>
      <w:tr w:rsidR="005A66B2" w:rsidRPr="00D426AE" w14:paraId="2AC4EA1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394" w14:textId="77777777" w:rsidR="00D426AE" w:rsidRPr="00D426AE" w:rsidRDefault="00D426AE" w:rsidP="000F5E63">
            <w:pPr>
              <w:pStyle w:val="sinsangria"/>
            </w:pPr>
            <w:r w:rsidRPr="00D426AE">
              <w:t>SEXO:INGRESHOG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A30" w14:textId="0F5BF8F1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0D6" w14:textId="2A84D46C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B574E1"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CB7" w14:textId="5764703D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99</w:t>
            </w:r>
          </w:p>
        </w:tc>
      </w:tr>
      <w:tr w:rsidR="005A66B2" w:rsidRPr="00D426AE" w14:paraId="167BCA2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AE8" w14:textId="77777777" w:rsidR="00D426AE" w:rsidRPr="00D426AE" w:rsidRDefault="00D426AE" w:rsidP="000F5E63">
            <w:pPr>
              <w:pStyle w:val="sinsangria"/>
            </w:pPr>
            <w:r w:rsidRPr="00D426AE">
              <w:t>EDAD:RELIGION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9F8" w14:textId="6C94D164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A51" w14:textId="44D60D4C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7C7F" w14:textId="46CD91F0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99</w:t>
            </w:r>
          </w:p>
        </w:tc>
      </w:tr>
      <w:tr w:rsidR="005A66B2" w:rsidRPr="00D426AE" w14:paraId="3BD5F02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F50" w14:textId="77777777" w:rsidR="00D426AE" w:rsidRPr="00D426AE" w:rsidRDefault="00D426AE" w:rsidP="000F5E63">
            <w:pPr>
              <w:pStyle w:val="sinsangria"/>
            </w:pPr>
            <w:r w:rsidRPr="00D426AE">
              <w:t>EDAD:NIVELESTENTREV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06E" w14:textId="2431D7ED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00</w:t>
            </w:r>
            <w:r w:rsidR="00AB06E7" w:rsidRPr="00AB06E7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08F" w14:textId="62C9032F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B6C" w14:textId="4E2E2145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8EC037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BD5" w14:textId="77777777" w:rsidR="00D426AE" w:rsidRPr="00D426AE" w:rsidRDefault="00D426AE" w:rsidP="000F5E63">
            <w:pPr>
              <w:pStyle w:val="sinsangria"/>
            </w:pPr>
            <w:r w:rsidRPr="00D426AE">
              <w:t>EDAD:INGRESHOG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7AB" w14:textId="27355679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F177CD">
              <w:t>,</w:t>
            </w:r>
            <w:r w:rsidR="00D426AE"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B4A" w14:textId="548C1576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2C80" w14:textId="5ABF3EEA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00</w:t>
            </w:r>
          </w:p>
        </w:tc>
      </w:tr>
      <w:tr w:rsidR="005A66B2" w:rsidRPr="00D426AE" w14:paraId="1862BAA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0D4" w14:textId="77777777" w:rsidR="00D426AE" w:rsidRPr="00D426AE" w:rsidRDefault="00D426AE" w:rsidP="000F5E63">
            <w:pPr>
              <w:pStyle w:val="sinsangria"/>
            </w:pPr>
            <w:r w:rsidRPr="00D426AE">
              <w:t>RELIGION:NIVELESTENTREV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97E" w14:textId="44431C59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6DD" w14:textId="1D204595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</w:t>
            </w:r>
            <w:r w:rsidR="00A26A33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24B" w14:textId="146D288D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91135B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30A" w14:textId="77777777" w:rsidR="00D426AE" w:rsidRPr="00D426AE" w:rsidRDefault="00D426AE" w:rsidP="000F5E63">
            <w:pPr>
              <w:pStyle w:val="sinsangria"/>
            </w:pPr>
            <w:r w:rsidRPr="00D426AE">
              <w:t>RELIGION:INGRESHOG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0636" w14:textId="5DB590A2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1</w:t>
            </w:r>
            <w:r w:rsidR="00B574E1">
              <w:t>6</w:t>
            </w:r>
            <w:r w:rsidR="00D643D1" w:rsidRPr="00D643D1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F558" w14:textId="7A1A2650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06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5DB" w14:textId="4332BC03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85</w:t>
            </w:r>
          </w:p>
        </w:tc>
      </w:tr>
      <w:tr w:rsidR="005A66B2" w:rsidRPr="00D426AE" w14:paraId="0BACE7DB" w14:textId="77777777" w:rsidTr="008C6E89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DB03" w14:textId="77777777" w:rsidR="00D426AE" w:rsidRPr="00D426AE" w:rsidRDefault="00D426AE" w:rsidP="000F5E63">
            <w:pPr>
              <w:pStyle w:val="sinsangria"/>
            </w:pPr>
            <w:r w:rsidRPr="00D426AE">
              <w:t>NIVELESTENTREV:INGRESHOG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CF601" w14:textId="197A708B" w:rsidR="00D426AE" w:rsidRPr="00D426AE" w:rsidRDefault="00D426AE" w:rsidP="00D643D1">
            <w:pPr>
              <w:pStyle w:val="sinsangria"/>
            </w:pPr>
            <w:r w:rsidRPr="00D426AE">
              <w:t>-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5E33" w14:textId="583CCC50" w:rsidR="00D426AE" w:rsidRPr="00D426AE" w:rsidRDefault="00F177CD" w:rsidP="00014456">
            <w:pPr>
              <w:pStyle w:val="sinsangria"/>
              <w:jc w:val="right"/>
            </w:pPr>
            <w:r>
              <w:t>,</w:t>
            </w:r>
            <w:r w:rsidR="00D426AE" w:rsidRPr="00D426AE">
              <w:t>0</w:t>
            </w:r>
            <w:r w:rsidR="00A26A33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8C28F" w14:textId="451AB5B3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6E9A9E82" w14:textId="77777777" w:rsidTr="008C6E89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BADAD0" w14:textId="2C11C350" w:rsidR="005A66B2" w:rsidRPr="009B288A" w:rsidRDefault="007E07D6" w:rsidP="000F5E63">
            <w:pPr>
              <w:pStyle w:val="sinsangria"/>
              <w:rPr>
                <w:i/>
                <w:iCs/>
              </w:rPr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</w:t>
            </w:r>
            <w:r w:rsidR="000C44DC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 xml:space="preserve">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</w:t>
            </w:r>
            <w:r w:rsidR="000C2A90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>001</w:t>
            </w:r>
            <w:r w:rsidR="004F4D9F">
              <w:rPr>
                <w:i/>
                <w:iCs/>
              </w:rPr>
              <w:t>;</w:t>
            </w:r>
            <w:r w:rsidR="000C2A90" w:rsidRPr="009B288A">
              <w:rPr>
                <w:i/>
                <w:iCs/>
              </w:rPr>
              <w:t xml:space="preserve"> </w:t>
            </w:r>
            <w:r w:rsidR="000C2A90" w:rsidRPr="009B288A">
              <w:rPr>
                <w:i/>
                <w:iCs/>
                <w:vertAlign w:val="superscript"/>
              </w:rPr>
              <w:t>***</w:t>
            </w:r>
            <w:r w:rsidR="009B288A" w:rsidRPr="009B288A">
              <w:rPr>
                <w:i/>
                <w:iCs/>
              </w:rPr>
              <w:t>p 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693F7E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5AE1F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E5C3F0" w14:textId="77777777" w:rsidR="005A66B2" w:rsidRPr="00D426AE" w:rsidRDefault="005A66B2" w:rsidP="00014456">
            <w:pPr>
              <w:pStyle w:val="sinsangria"/>
              <w:jc w:val="right"/>
            </w:pPr>
          </w:p>
        </w:tc>
      </w:tr>
      <w:tr w:rsidR="008C6E89" w:rsidRPr="00D426AE" w14:paraId="0CE4F35F" w14:textId="77777777" w:rsidTr="008C6E89">
        <w:trPr>
          <w:trHeight w:val="288"/>
        </w:trPr>
        <w:tc>
          <w:tcPr>
            <w:tcW w:w="3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6254" w14:textId="77777777" w:rsidR="008C6E89" w:rsidRPr="009B288A" w:rsidRDefault="008C6E89" w:rsidP="000F5E63">
            <w:pPr>
              <w:pStyle w:val="sinsangria"/>
              <w:rPr>
                <w:i/>
                <w:iCs/>
                <w:vertAlign w:val="superscript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23DC2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7FE17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B7E31" w14:textId="77777777" w:rsidR="008C6E89" w:rsidRPr="00D426AE" w:rsidRDefault="008C6E89" w:rsidP="00014456">
            <w:pPr>
              <w:pStyle w:val="sinsangria"/>
              <w:jc w:val="right"/>
            </w:pPr>
          </w:p>
        </w:tc>
      </w:tr>
    </w:tbl>
    <w:p w14:paraId="49040F20" w14:textId="7FC9EE09" w:rsidR="00222F33" w:rsidRDefault="00851005" w:rsidP="00222F33">
      <w:pPr>
        <w:rPr>
          <w:lang w:val="es-ES"/>
        </w:rPr>
      </w:pPr>
      <w:r>
        <w:rPr>
          <w:lang w:val="es-ES"/>
        </w:rPr>
        <w:t>El modelo fina</w:t>
      </w:r>
      <w:r w:rsidR="00312C4E">
        <w:rPr>
          <w:lang w:val="es-ES"/>
        </w:rPr>
        <w:t>l</w:t>
      </w:r>
      <w:r>
        <w:rPr>
          <w:lang w:val="es-ES"/>
        </w:rPr>
        <w:t xml:space="preserve"> sólo conserva tres de las variables originales (sexo, edad y nivel de estudios) y dos interacciones </w:t>
      </w:r>
      <w:r w:rsidR="00C555D3">
        <w:rPr>
          <w:lang w:val="es-ES"/>
        </w:rPr>
        <w:t>(sexo con edad y sexo con nivel de estudios). Religión e ingreso por hogar han perdido relevancia</w:t>
      </w:r>
      <w:r w:rsidR="00C26579">
        <w:rPr>
          <w:lang w:val="es-ES"/>
        </w:rPr>
        <w:t xml:space="preserve"> (ver </w:t>
      </w:r>
      <w:r w:rsidR="00C26579">
        <w:rPr>
          <w:lang w:val="es-ES"/>
        </w:rPr>
        <w:fldChar w:fldCharType="begin"/>
      </w:r>
      <w:r w:rsidR="00C26579">
        <w:rPr>
          <w:lang w:val="es-ES"/>
        </w:rPr>
        <w:instrText xml:space="preserve"> REF _Ref196647149 \h </w:instrText>
      </w:r>
      <w:r w:rsidR="00C26579">
        <w:rPr>
          <w:lang w:val="es-ES"/>
        </w:rPr>
      </w:r>
      <w:r w:rsidR="00C26579">
        <w:rPr>
          <w:lang w:val="es-ES"/>
        </w:rPr>
        <w:fldChar w:fldCharType="separate"/>
      </w:r>
      <w:r w:rsidR="00C26579" w:rsidRPr="00C26579">
        <w:rPr>
          <w:lang w:val="es-ES"/>
        </w:rPr>
        <w:t xml:space="preserve">Tabla </w:t>
      </w:r>
      <w:r w:rsidR="00C26579" w:rsidRPr="00C26579">
        <w:rPr>
          <w:noProof/>
          <w:lang w:val="es-ES"/>
        </w:rPr>
        <w:t>5</w:t>
      </w:r>
      <w:r w:rsidR="00C26579">
        <w:rPr>
          <w:lang w:val="es-ES"/>
        </w:rPr>
        <w:fldChar w:fldCharType="end"/>
      </w:r>
      <w:r w:rsidR="00C26579">
        <w:rPr>
          <w:lang w:val="es-ES"/>
        </w:rPr>
        <w:t>).</w:t>
      </w:r>
    </w:p>
    <w:p w14:paraId="4EA81742" w14:textId="19BA6D1E" w:rsidR="008C6E89" w:rsidRDefault="008C6E89" w:rsidP="008C6E89">
      <w:pPr>
        <w:pStyle w:val="Caption"/>
      </w:pPr>
      <w:bookmarkStart w:id="5" w:name="_Ref196647149"/>
      <w:r>
        <w:lastRenderedPageBreak/>
        <w:t xml:space="preserve">Tabla </w:t>
      </w:r>
      <w:fldSimple w:instr=" SEQ Tabla \* ARABIC ">
        <w:r>
          <w:rPr>
            <w:noProof/>
          </w:rPr>
          <w:t>5</w:t>
        </w:r>
      </w:fldSimple>
      <w:bookmarkEnd w:id="5"/>
      <w:r>
        <w:br w:type="textWrapping" w:clear="all"/>
      </w:r>
      <w:r w:rsidRPr="008C6E89">
        <w:rPr>
          <w:b w:val="0"/>
          <w:bCs/>
          <w:i/>
          <w:iCs w:val="0"/>
        </w:rPr>
        <w:t>Modelo final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110"/>
        <w:gridCol w:w="1314"/>
        <w:gridCol w:w="1350"/>
        <w:gridCol w:w="1866"/>
      </w:tblGrid>
      <w:tr w:rsidR="00CE530B" w:rsidRPr="00D1463C" w14:paraId="7E09B320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873F1" w14:textId="6BF0D4A2" w:rsidR="00D1463C" w:rsidRPr="00D1463C" w:rsidRDefault="00CE530B" w:rsidP="00D1463C">
            <w:pPr>
              <w:pStyle w:val="sinsangria"/>
              <w:jc w:val="center"/>
            </w:pPr>
            <w:r>
              <w:t>Variables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B852" w14:textId="77777777" w:rsidR="00D1463C" w:rsidRPr="00D1463C" w:rsidRDefault="00D1463C" w:rsidP="00D1463C">
            <w:pPr>
              <w:pStyle w:val="sinsangria"/>
              <w:jc w:val="center"/>
            </w:pPr>
            <w:r w:rsidRPr="00D1463C">
              <w:t>co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FE7B" w14:textId="4D3BDAAB" w:rsidR="00D1463C" w:rsidRPr="00D1463C" w:rsidRDefault="00CE530B" w:rsidP="00D1463C">
            <w:pPr>
              <w:pStyle w:val="sinsangria"/>
              <w:jc w:val="center"/>
            </w:pPr>
            <w:r>
              <w:t>Error 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5C3F" w14:textId="6EE02123" w:rsidR="00D1463C" w:rsidRPr="00D1463C" w:rsidRDefault="00D1463C" w:rsidP="00D1463C">
            <w:pPr>
              <w:pStyle w:val="sinsangria"/>
              <w:jc w:val="center"/>
            </w:pPr>
            <w:r w:rsidRPr="00D1463C">
              <w:t>Odds</w:t>
            </w:r>
            <w:r w:rsidR="00A14BC3">
              <w:t xml:space="preserve"> </w:t>
            </w:r>
            <w:r w:rsidRPr="00D1463C">
              <w:t>Ratio</w:t>
            </w:r>
          </w:p>
        </w:tc>
      </w:tr>
      <w:tr w:rsidR="008C6E89" w:rsidRPr="00D1463C" w14:paraId="0E62CC1A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573" w14:textId="77777777" w:rsidR="00D1463C" w:rsidRPr="00D1463C" w:rsidRDefault="00D1463C" w:rsidP="00D1463C">
            <w:pPr>
              <w:pStyle w:val="sinsangria"/>
            </w:pPr>
            <w:r w:rsidRPr="00D1463C">
              <w:t>(Intercept)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C50" w14:textId="2298DB14" w:rsidR="00D1463C" w:rsidRPr="00D1463C" w:rsidRDefault="00D1463C" w:rsidP="00D1463C">
            <w:pPr>
              <w:pStyle w:val="sinsangria"/>
            </w:pPr>
            <w:r w:rsidRPr="00D1463C">
              <w:t>-</w:t>
            </w:r>
            <w:r w:rsidR="00C47CDC">
              <w:t>,</w:t>
            </w:r>
            <w:r w:rsidRPr="00D1463C">
              <w:t>7</w:t>
            </w:r>
            <w:r w:rsidR="00A26A33">
              <w:t>6</w:t>
            </w:r>
            <w:r w:rsidR="00C66278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33F" w14:textId="7F037BAA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2</w:t>
            </w:r>
            <w:r w:rsidR="00B072D5"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49F" w14:textId="1E926684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46</w:t>
            </w:r>
          </w:p>
        </w:tc>
      </w:tr>
      <w:tr w:rsidR="008C6E89" w:rsidRPr="00D1463C" w14:paraId="6F27BA3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7BB" w14:textId="77777777" w:rsidR="00D1463C" w:rsidRPr="00D1463C" w:rsidRDefault="00D1463C" w:rsidP="00D1463C">
            <w:pPr>
              <w:pStyle w:val="sinsangria"/>
            </w:pPr>
            <w:r w:rsidRPr="00D1463C">
              <w:t>SEXO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AA2B" w14:textId="584EB865" w:rsidR="00D1463C" w:rsidRPr="00D1463C" w:rsidRDefault="00D1463C" w:rsidP="00D1463C">
            <w:pPr>
              <w:pStyle w:val="sinsangria"/>
            </w:pPr>
            <w:r w:rsidRPr="00D1463C">
              <w:t>-1</w:t>
            </w:r>
            <w:r w:rsidR="00C47CDC">
              <w:t>,</w:t>
            </w:r>
            <w:r w:rsidRPr="00D1463C">
              <w:t>8</w:t>
            </w:r>
            <w:r w:rsidR="00A26A33">
              <w:t>3</w:t>
            </w:r>
            <w:r w:rsidR="00622FA9" w:rsidRPr="00622FA9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990" w14:textId="43AC18A0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3</w:t>
            </w:r>
            <w:r w:rsidR="00B072D5"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044" w14:textId="71738980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16</w:t>
            </w:r>
          </w:p>
        </w:tc>
      </w:tr>
      <w:tr w:rsidR="008C6E89" w:rsidRPr="00D1463C" w14:paraId="4C55921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45C" w14:textId="77777777" w:rsidR="00D1463C" w:rsidRPr="00D1463C" w:rsidRDefault="00D1463C" w:rsidP="00D1463C">
            <w:pPr>
              <w:pStyle w:val="sinsangria"/>
            </w:pPr>
            <w:r w:rsidRPr="00D1463C">
              <w:t>EDAD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6D8" w14:textId="185F7F06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C47CDC">
              <w:t>,</w:t>
            </w:r>
            <w:r w:rsidR="00D1463C" w:rsidRPr="00D1463C">
              <w:t>0</w:t>
            </w:r>
            <w:r w:rsidR="00B072D5"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C1D" w14:textId="3C39934F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00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0BC" w14:textId="140FA21F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00</w:t>
            </w:r>
          </w:p>
        </w:tc>
      </w:tr>
      <w:tr w:rsidR="008C6E89" w:rsidRPr="00D1463C" w14:paraId="77058382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E27" w14:textId="77777777" w:rsidR="00D1463C" w:rsidRPr="00D1463C" w:rsidRDefault="00D1463C" w:rsidP="00D1463C">
            <w:pPr>
              <w:pStyle w:val="sinsangria"/>
            </w:pPr>
            <w:r w:rsidRPr="00D1463C">
              <w:t>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E92" w14:textId="5D195632" w:rsidR="00D1463C" w:rsidRPr="00D1463C" w:rsidRDefault="00D1463C" w:rsidP="00D1463C">
            <w:pPr>
              <w:pStyle w:val="sinsangria"/>
            </w:pPr>
            <w:r w:rsidRPr="00D1463C">
              <w:t>-</w:t>
            </w:r>
            <w:r w:rsidR="00C47CDC">
              <w:t>,</w:t>
            </w:r>
            <w:r w:rsidRPr="00D1463C">
              <w:t>04</w:t>
            </w:r>
            <w:r w:rsidR="00622FA9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BDEA" w14:textId="07D507BB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0</w:t>
            </w:r>
            <w:r w:rsidR="00B072D5"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2E9" w14:textId="786EF280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9</w:t>
            </w:r>
            <w:r w:rsidR="00CF6ECC">
              <w:t>6</w:t>
            </w:r>
          </w:p>
        </w:tc>
      </w:tr>
      <w:tr w:rsidR="008C6E89" w:rsidRPr="00D1463C" w14:paraId="190547E4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B47" w14:textId="77777777" w:rsidR="00D1463C" w:rsidRPr="00D1463C" w:rsidRDefault="00D1463C" w:rsidP="00D1463C">
            <w:pPr>
              <w:pStyle w:val="sinsangria"/>
            </w:pPr>
            <w:r w:rsidRPr="00D1463C">
              <w:t>SEXO:EDAD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FC0" w14:textId="300CA464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C47CDC">
              <w:t>,</w:t>
            </w:r>
            <w:r w:rsidR="00D1463C" w:rsidRPr="00D1463C">
              <w:t>0</w:t>
            </w:r>
            <w:r w:rsidR="00B072D5">
              <w:t>2</w:t>
            </w:r>
            <w:r w:rsidR="00C47CDC" w:rsidRPr="00C47CDC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AC4" w14:textId="12965618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0</w:t>
            </w:r>
            <w:r w:rsidR="00CF6ECC">
              <w:t>1</w:t>
            </w:r>
          </w:p>
        </w:tc>
        <w:tc>
          <w:tcPr>
            <w:tcW w:w="1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CE0" w14:textId="786BAB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</w:t>
            </w:r>
            <w:r w:rsidR="00CF6ECC">
              <w:t>2</w:t>
            </w:r>
          </w:p>
        </w:tc>
      </w:tr>
      <w:tr w:rsidR="008C6E89" w:rsidRPr="00D1463C" w14:paraId="2E1554BC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B97C" w14:textId="77777777" w:rsidR="00D1463C" w:rsidRPr="00D1463C" w:rsidRDefault="00D1463C" w:rsidP="00D1463C">
            <w:pPr>
              <w:pStyle w:val="sinsangria"/>
            </w:pPr>
            <w:r w:rsidRPr="00D1463C">
              <w:t>SEXO:NIVELESTENTREV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B12" w14:textId="700B5D34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C47CDC">
              <w:t>,</w:t>
            </w:r>
            <w:r w:rsidR="00D1463C" w:rsidRPr="00D1463C">
              <w:t>06</w:t>
            </w:r>
            <w:r w:rsidR="00C47CDC" w:rsidRPr="00C47CDC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69A6" w14:textId="2C71A34C" w:rsidR="00D1463C" w:rsidRPr="00D1463C" w:rsidRDefault="00C47CDC" w:rsidP="00CE530B">
            <w:pPr>
              <w:pStyle w:val="sinsangria"/>
              <w:jc w:val="right"/>
            </w:pPr>
            <w:r>
              <w:t>,</w:t>
            </w:r>
            <w:r w:rsidR="00D1463C" w:rsidRPr="00D1463C"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7E5BE" w14:textId="6FD882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06</w:t>
            </w:r>
          </w:p>
        </w:tc>
      </w:tr>
      <w:tr w:rsidR="00CE530B" w:rsidRPr="00D1463C" w14:paraId="669B5E16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58DF1E" w14:textId="531B0407" w:rsidR="00CE530B" w:rsidRPr="00D1463C" w:rsidRDefault="008C6E89" w:rsidP="00D1463C">
            <w:pPr>
              <w:pStyle w:val="sinsangria"/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&gt;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 xml:space="preserve">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&gt;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>001</w:t>
            </w:r>
            <w:r w:rsidR="004F4D9F">
              <w:rPr>
                <w:i/>
                <w:iCs/>
              </w:rPr>
              <w:t>;</w:t>
            </w:r>
            <w:r w:rsidRPr="009B288A">
              <w:rPr>
                <w:i/>
                <w:iCs/>
              </w:rPr>
              <w:t xml:space="preserve"> </w:t>
            </w:r>
            <w:r w:rsidRPr="009B288A">
              <w:rPr>
                <w:i/>
                <w:iCs/>
                <w:vertAlign w:val="superscript"/>
              </w:rPr>
              <w:t>***</w:t>
            </w:r>
            <w:r w:rsidRPr="009B288A">
              <w:rPr>
                <w:i/>
                <w:iCs/>
              </w:rPr>
              <w:t>p &gt; 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7433F4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F9D801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E07954" w14:textId="77777777" w:rsidR="00CE530B" w:rsidRPr="00D1463C" w:rsidRDefault="00CE530B" w:rsidP="00D1463C">
            <w:pPr>
              <w:pStyle w:val="sinsangria"/>
            </w:pPr>
          </w:p>
        </w:tc>
      </w:tr>
      <w:tr w:rsidR="008C6E89" w:rsidRPr="00D1463C" w14:paraId="575C68EF" w14:textId="77777777" w:rsidTr="008C6E89">
        <w:trPr>
          <w:trHeight w:val="288"/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C22A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AE88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791C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8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821FB" w14:textId="77777777" w:rsidR="008C6E89" w:rsidRPr="00D1463C" w:rsidRDefault="008C6E89" w:rsidP="00D1463C">
            <w:pPr>
              <w:pStyle w:val="sinsangria"/>
            </w:pPr>
          </w:p>
        </w:tc>
      </w:tr>
    </w:tbl>
    <w:p w14:paraId="6CBF504B" w14:textId="0F1021E9" w:rsidR="00A50DC0" w:rsidRPr="00A50DC0" w:rsidRDefault="00955821" w:rsidP="00FA0695">
      <w:pPr>
        <w:rPr>
          <w:lang w:val="es-ES"/>
        </w:rPr>
      </w:pPr>
      <w:r>
        <w:rPr>
          <w:lang w:val="es-ES"/>
        </w:rPr>
        <w:t xml:space="preserve">De acuerdo </w:t>
      </w:r>
      <w:r w:rsidR="00C94C52">
        <w:rPr>
          <w:lang w:val="es-ES"/>
        </w:rPr>
        <w:t xml:space="preserve">con estos resultados, </w:t>
      </w:r>
      <w:r w:rsidR="006E6FAB">
        <w:rPr>
          <w:lang w:val="es-ES"/>
        </w:rPr>
        <w:t>e</w:t>
      </w:r>
      <w:r w:rsidR="008223F8">
        <w:rPr>
          <w:lang w:val="es-ES"/>
        </w:rPr>
        <w:t xml:space="preserve">l sexo </w:t>
      </w:r>
      <w:r w:rsidR="00307241">
        <w:rPr>
          <w:lang w:val="es-ES"/>
        </w:rPr>
        <w:t>es la variable más importante</w:t>
      </w:r>
      <w:r w:rsidR="006E6FAB">
        <w:rPr>
          <w:lang w:val="es-ES"/>
        </w:rPr>
        <w:t xml:space="preserve"> cuando mantenemos todos los valores constantes</w:t>
      </w:r>
      <w:r w:rsidR="001F2DBB">
        <w:rPr>
          <w:lang w:val="es-ES"/>
        </w:rPr>
        <w:t xml:space="preserve">. Su valor </w:t>
      </w:r>
      <w:r w:rsidR="009F3BD8">
        <w:rPr>
          <w:lang w:val="es-ES"/>
        </w:rPr>
        <w:t>de en Odds Ratio de 0,16, en tanto que alejado</w:t>
      </w:r>
      <w:r w:rsidR="00441042">
        <w:rPr>
          <w:lang w:val="es-ES"/>
        </w:rPr>
        <w:t xml:space="preserve"> del valor neutro 1, indica una mayor probabilidad de que las mujeres orienten </w:t>
      </w:r>
      <w:r w:rsidR="006215F9">
        <w:rPr>
          <w:lang w:val="es-ES"/>
        </w:rPr>
        <w:t xml:space="preserve">su voto hacia el PSOE. La edad, </w:t>
      </w:r>
      <w:r w:rsidR="00CC77CA">
        <w:rPr>
          <w:lang w:val="es-ES"/>
        </w:rPr>
        <w:t>tomada aisladamente, no tiene influencia (O</w:t>
      </w:r>
      <w:r w:rsidR="000C22C7">
        <w:rPr>
          <w:lang w:val="es-ES"/>
        </w:rPr>
        <w:t xml:space="preserve">dds </w:t>
      </w:r>
      <w:r w:rsidR="00CC77CA">
        <w:rPr>
          <w:lang w:val="es-ES"/>
        </w:rPr>
        <w:t>R</w:t>
      </w:r>
      <w:r w:rsidR="000C22C7">
        <w:rPr>
          <w:lang w:val="es-ES"/>
        </w:rPr>
        <w:t>atio</w:t>
      </w:r>
      <w:r w:rsidR="00CC77CA">
        <w:rPr>
          <w:lang w:val="es-ES"/>
        </w:rPr>
        <w:t xml:space="preserve"> </w:t>
      </w:r>
      <w:r w:rsidR="000C22C7">
        <w:rPr>
          <w:lang w:val="es-ES"/>
        </w:rPr>
        <w:t>= 1,00</w:t>
      </w:r>
      <w:r w:rsidR="00CC77CA">
        <w:rPr>
          <w:lang w:val="es-ES"/>
        </w:rPr>
        <w:t>)</w:t>
      </w:r>
      <w:r w:rsidR="004E5A82">
        <w:rPr>
          <w:lang w:val="es-ES"/>
        </w:rPr>
        <w:t>. Sin embargo</w:t>
      </w:r>
      <w:r w:rsidR="00E501AC">
        <w:rPr>
          <w:lang w:val="es-ES"/>
        </w:rPr>
        <w:t xml:space="preserve">, su interacción con el sexo indica que los hombres de mayor edad </w:t>
      </w:r>
      <w:r w:rsidR="006C3762">
        <w:rPr>
          <w:lang w:val="es-ES"/>
        </w:rPr>
        <w:t>tienen una mayor probabilidad de votar por el PSOE</w:t>
      </w:r>
      <w:r w:rsidR="00136197">
        <w:rPr>
          <w:lang w:val="es-ES"/>
        </w:rPr>
        <w:t xml:space="preserve">. En cuanto al nivel educativo, </w:t>
      </w:r>
      <w:r w:rsidR="004E4EE2">
        <w:rPr>
          <w:lang w:val="es-ES"/>
        </w:rPr>
        <w:t>su</w:t>
      </w:r>
      <w:r w:rsidR="006448FE">
        <w:rPr>
          <w:lang w:val="es-ES"/>
        </w:rPr>
        <w:t xml:space="preserve"> coeficiente indica que un menor nivel de estudi</w:t>
      </w:r>
      <w:r w:rsidR="003E5DC3">
        <w:rPr>
          <w:lang w:val="es-ES"/>
        </w:rPr>
        <w:t>os está asociado con una probabilidad de voto hacia el PSOE</w:t>
      </w:r>
      <w:r w:rsidR="00655436">
        <w:rPr>
          <w:lang w:val="es-ES"/>
        </w:rPr>
        <w:t xml:space="preserve">. Su interacción con el sexo, </w:t>
      </w:r>
      <w:r w:rsidR="00AF1BD6">
        <w:rPr>
          <w:lang w:val="es-ES"/>
        </w:rPr>
        <w:t>indica que los hombres más educados tienen una mayor probabilidad de votar por el PSOE</w:t>
      </w:r>
      <w:r w:rsidR="008223F8">
        <w:rPr>
          <w:lang w:val="es-ES"/>
        </w:rPr>
        <w:t xml:space="preserve">. </w:t>
      </w:r>
      <w:r w:rsidR="00366FC3">
        <w:rPr>
          <w:lang w:val="es-ES"/>
        </w:rPr>
        <w:t xml:space="preserve">Estos resultados reafirman lo hallado </w:t>
      </w:r>
      <w:r w:rsidR="001F2546">
        <w:rPr>
          <w:lang w:val="es-ES"/>
        </w:rPr>
        <w:t xml:space="preserve">en otras investigaciones para </w:t>
      </w:r>
      <w:r w:rsidR="00467BEE">
        <w:rPr>
          <w:lang w:val="es-ES"/>
        </w:rPr>
        <w:t>Europa (Shorrocks, 20</w:t>
      </w:r>
      <w:r w:rsidR="00F46B31">
        <w:rPr>
          <w:lang w:val="es-ES"/>
        </w:rPr>
        <w:t>18</w:t>
      </w:r>
      <w:r w:rsidR="00467BEE">
        <w:rPr>
          <w:lang w:val="es-ES"/>
        </w:rPr>
        <w:t>).</w:t>
      </w:r>
      <w:r w:rsidR="00366FC3">
        <w:rPr>
          <w:lang w:val="es-ES"/>
        </w:rPr>
        <w:t xml:space="preserve"> </w:t>
      </w:r>
    </w:p>
    <w:p w14:paraId="705A4CF1" w14:textId="4E183AB7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D72DC2F" w14:textId="0F0F8AAE" w:rsidR="007F52DA" w:rsidRPr="003523FB" w:rsidRDefault="007F52DA" w:rsidP="007F52DA">
      <w:pPr>
        <w:pStyle w:val="referencia"/>
      </w:pPr>
      <w:r>
        <w:t>Centro de Investigaciones Sociológicas. (2023</w:t>
      </w:r>
      <w:r w:rsidR="00AC4FDB">
        <w:t>a</w:t>
      </w:r>
      <w:r>
        <w:t xml:space="preserve">). </w:t>
      </w:r>
      <w:r w:rsidRPr="009D5774">
        <w:rPr>
          <w:i/>
          <w:iCs/>
        </w:rPr>
        <w:t>3413/0 Barómetro de julio 2023</w:t>
      </w:r>
      <w:r>
        <w:t xml:space="preserve"> [</w:t>
      </w:r>
      <w:r w:rsidR="00AC4FDB">
        <w:t>Códigos de encuesta</w:t>
      </w:r>
      <w:r>
        <w:t xml:space="preserve">]. Centro de Investigaciones Sociológicas. </w:t>
      </w:r>
      <w:hyperlink r:id="rId8" w:history="1">
        <w:r w:rsidRPr="003523FB">
          <w:rPr>
            <w:rStyle w:val="Hyperlink"/>
            <w:b/>
            <w:bCs/>
          </w:rPr>
          <w:t>https://www.cis.es/es/detalle-ficha-estudio?idEstudio=14729</w:t>
        </w:r>
      </w:hyperlink>
      <w:r w:rsidRPr="003523FB">
        <w:t>.</w:t>
      </w:r>
    </w:p>
    <w:p w14:paraId="0876B245" w14:textId="6247E011" w:rsidR="0037026E" w:rsidRDefault="001C6657" w:rsidP="00562C87">
      <w:pPr>
        <w:pStyle w:val="referencia"/>
      </w:pPr>
      <w:r>
        <w:t>Centro de Investigaciones Sociológicas. (2023</w:t>
      </w:r>
      <w:r w:rsidR="00AC4FDB">
        <w:t>b</w:t>
      </w:r>
      <w:r>
        <w:t xml:space="preserve">). </w:t>
      </w:r>
      <w:r w:rsidR="00120922" w:rsidRPr="009D5774">
        <w:rPr>
          <w:i/>
          <w:iCs/>
        </w:rPr>
        <w:t>3413/0 Barómetro de julio 2023</w:t>
      </w:r>
      <w:r w:rsidR="00A77C23">
        <w:t xml:space="preserve"> </w:t>
      </w:r>
      <w:r w:rsidR="009C4C5D">
        <w:t>[Conjunto de datos]</w:t>
      </w:r>
      <w:r w:rsidR="00120922">
        <w:t>.</w:t>
      </w:r>
      <w:r w:rsidR="009D5774">
        <w:t xml:space="preserve"> Centro de </w:t>
      </w:r>
      <w:r w:rsidR="00562C87">
        <w:t>Investigaciones Sociológicas.</w:t>
      </w:r>
      <w:r w:rsidR="00F02614">
        <w:t xml:space="preserve"> </w:t>
      </w:r>
      <w:hyperlink r:id="rId9" w:history="1">
        <w:r w:rsidR="00274663" w:rsidRPr="003523FB">
          <w:rPr>
            <w:rStyle w:val="Hyperlink"/>
            <w:b/>
            <w:bCs/>
          </w:rPr>
          <w:t>https://www.cis.es/es/detalle-ficha-estudio?idEstudio=14729</w:t>
        </w:r>
      </w:hyperlink>
      <w:r w:rsidR="00F02614" w:rsidRPr="003523FB">
        <w:t>.</w:t>
      </w:r>
    </w:p>
    <w:p w14:paraId="7ED24C8B" w14:textId="6F71ED41" w:rsidR="00580A44" w:rsidRPr="005767E2" w:rsidRDefault="00580A44" w:rsidP="00580A44">
      <w:pPr>
        <w:pStyle w:val="referencia"/>
        <w:rPr>
          <w:lang w:val="en-IE"/>
        </w:rPr>
      </w:pPr>
      <w:r w:rsidRPr="00580A44">
        <w:rPr>
          <w:lang w:val="de-DE"/>
        </w:rPr>
        <w:t>Comprehensive R Archive Network</w:t>
      </w:r>
      <w:r w:rsidR="000421A1" w:rsidRPr="007B27DD">
        <w:rPr>
          <w:lang w:val="de-DE"/>
        </w:rPr>
        <w:t xml:space="preserve">. </w:t>
      </w:r>
      <w:r w:rsidR="00580F55" w:rsidRPr="005767E2">
        <w:rPr>
          <w:lang w:val="en-IE"/>
        </w:rPr>
        <w:t xml:space="preserve">(n.d.). </w:t>
      </w:r>
      <w:r w:rsidR="005767E2" w:rsidRPr="005767E2">
        <w:rPr>
          <w:i/>
          <w:iCs/>
          <w:lang w:val="en-IE"/>
        </w:rPr>
        <w:t>Collinearity Diagnostics, Model Fit &amp; Variable Contribution</w:t>
      </w:r>
      <w:r w:rsidR="005767E2">
        <w:rPr>
          <w:lang w:val="en-IE"/>
        </w:rPr>
        <w:t>.</w:t>
      </w:r>
      <w:r w:rsidR="00007FB9" w:rsidRPr="00007FB9">
        <w:rPr>
          <w:lang w:val="en-IE"/>
        </w:rPr>
        <w:t xml:space="preserve"> </w:t>
      </w:r>
      <w:r w:rsidR="00007FB9">
        <w:rPr>
          <w:lang w:val="en-IE"/>
        </w:rPr>
        <w:t>C</w:t>
      </w:r>
      <w:r w:rsidR="00007FB9" w:rsidRPr="00007FB9">
        <w:rPr>
          <w:lang w:val="en-IE"/>
        </w:rPr>
        <w:t>ran.r-project.org</w:t>
      </w:r>
      <w:r w:rsidR="00007FB9">
        <w:rPr>
          <w:lang w:val="en-IE"/>
        </w:rPr>
        <w:t xml:space="preserve">. </w:t>
      </w:r>
      <w:r w:rsidR="00B84EB1" w:rsidRPr="00B84EB1">
        <w:rPr>
          <w:b/>
          <w:bCs/>
          <w:u w:val="single"/>
          <w:lang w:val="en-IE"/>
        </w:rPr>
        <w:t>https://cran.r-project.org/web/packages/olsrr/vignettes/regression_diagnostics.html</w:t>
      </w:r>
    </w:p>
    <w:p w14:paraId="76CC59CA" w14:textId="2E6B6E19" w:rsidR="006823AD" w:rsidRPr="00BD4555" w:rsidRDefault="006823AD" w:rsidP="00562C87">
      <w:pPr>
        <w:pStyle w:val="referencia"/>
      </w:pPr>
      <w:r w:rsidRPr="007B27DD">
        <w:rPr>
          <w:lang w:val="de-DE"/>
        </w:rPr>
        <w:t xml:space="preserve">Ortiz, Marco. </w:t>
      </w:r>
      <w:r w:rsidRPr="00BD4555">
        <w:t xml:space="preserve">(2025). </w:t>
      </w:r>
      <w:r w:rsidR="0012038D" w:rsidRPr="00BD4555">
        <w:rPr>
          <w:i/>
          <w:iCs/>
        </w:rPr>
        <w:t>ensayo_regresion_logistica.R</w:t>
      </w:r>
      <w:r w:rsidR="0012038D" w:rsidRPr="00BD4555">
        <w:t xml:space="preserve">. </w:t>
      </w:r>
      <w:r w:rsidR="00BD4555" w:rsidRPr="00BD4555">
        <w:t>G</w:t>
      </w:r>
      <w:r w:rsidR="00BD4555">
        <w:t xml:space="preserve">itHub. </w:t>
      </w:r>
      <w:r w:rsidR="00475CEB" w:rsidRPr="00475CEB">
        <w:rPr>
          <w:b/>
          <w:bCs/>
          <w:u w:val="single"/>
        </w:rPr>
        <w:t>https://github.com/ortizpalanques1/CIS/blob/main/ensayo_regresion_logistica.R</w:t>
      </w:r>
      <w:r w:rsidR="00475CEB">
        <w:t>.</w:t>
      </w:r>
    </w:p>
    <w:p w14:paraId="05833654" w14:textId="5B7AB7DA" w:rsidR="00274663" w:rsidRDefault="00274663" w:rsidP="00274663">
      <w:pPr>
        <w:pStyle w:val="referencia"/>
        <w:rPr>
          <w:lang w:val="en-IE"/>
        </w:rPr>
      </w:pPr>
      <w:r w:rsidRPr="0012038D">
        <w:rPr>
          <w:lang w:val="en-IE"/>
        </w:rPr>
        <w:lastRenderedPageBreak/>
        <w:t>R Core Team</w:t>
      </w:r>
      <w:r w:rsidR="0036477A" w:rsidRPr="0012038D">
        <w:rPr>
          <w:lang w:val="en-IE"/>
        </w:rPr>
        <w:t>.</w:t>
      </w:r>
      <w:r w:rsidRPr="0012038D">
        <w:rPr>
          <w:lang w:val="en-IE"/>
        </w:rPr>
        <w:t xml:space="preserve"> </w:t>
      </w:r>
      <w:r w:rsidRPr="00274663">
        <w:rPr>
          <w:lang w:val="en-IE"/>
        </w:rPr>
        <w:t xml:space="preserve">(2021). </w:t>
      </w:r>
      <w:r w:rsidRPr="0036477A">
        <w:rPr>
          <w:i/>
          <w:iCs/>
          <w:lang w:val="en-IE"/>
        </w:rPr>
        <w:t>R: A language and environment for statistical computing</w:t>
      </w:r>
      <w:r w:rsidRPr="00274663">
        <w:rPr>
          <w:lang w:val="en-IE"/>
        </w:rPr>
        <w:t>. R Foundation for Statistical Computing.</w:t>
      </w:r>
      <w:r>
        <w:rPr>
          <w:lang w:val="en-IE"/>
        </w:rPr>
        <w:t xml:space="preserve"> </w:t>
      </w:r>
      <w:hyperlink r:id="rId10" w:history="1">
        <w:r w:rsidR="00286951" w:rsidRPr="003134DE">
          <w:rPr>
            <w:rStyle w:val="Hyperlink"/>
            <w:b/>
            <w:bCs/>
            <w:lang w:val="en-IE"/>
          </w:rPr>
          <w:t>https://www.R-project.org/</w:t>
        </w:r>
      </w:hyperlink>
      <w:r w:rsidRPr="00274663">
        <w:rPr>
          <w:lang w:val="en-IE"/>
        </w:rPr>
        <w:t>.</w:t>
      </w:r>
    </w:p>
    <w:p w14:paraId="4C02C55C" w14:textId="1B9ABE80" w:rsidR="004D1C01" w:rsidRPr="004D1C01" w:rsidRDefault="004D1C01" w:rsidP="004D1C01">
      <w:pPr>
        <w:pStyle w:val="referencia"/>
      </w:pPr>
      <w:r w:rsidRPr="004D1C01">
        <w:rPr>
          <w:lang w:val="en-IE"/>
        </w:rPr>
        <w:t xml:space="preserve">Shorrocks, R. (2018). Cohort Change in Political Gender Gaps in Europe and Canada: The Role of Modernization. </w:t>
      </w:r>
      <w:r w:rsidRPr="004D1C01">
        <w:rPr>
          <w:i/>
          <w:iCs/>
        </w:rPr>
        <w:t>Politics &amp; Society</w:t>
      </w:r>
      <w:r w:rsidRPr="004D1C01">
        <w:t xml:space="preserve">. </w:t>
      </w:r>
      <w:r w:rsidR="003E5C52" w:rsidRPr="000810D7">
        <w:rPr>
          <w:i/>
          <w:iCs/>
        </w:rPr>
        <w:t>46</w:t>
      </w:r>
      <w:r w:rsidR="003E5C52">
        <w:t>(2)</w:t>
      </w:r>
      <w:r w:rsidR="000810D7">
        <w:t xml:space="preserve">, 135-175. </w:t>
      </w:r>
      <w:r w:rsidRPr="004D1C01">
        <w:rPr>
          <w:b/>
          <w:bCs/>
          <w:u w:val="single"/>
        </w:rPr>
        <w:t>https://doi.org/10.1177/0032329217751688</w:t>
      </w:r>
    </w:p>
    <w:p w14:paraId="630D9396" w14:textId="400584B9" w:rsidR="00D74D98" w:rsidRPr="00560D41" w:rsidRDefault="00286951" w:rsidP="00560D41">
      <w:pPr>
        <w:pStyle w:val="referencia"/>
        <w:rPr>
          <w:lang w:val="en-IE"/>
        </w:rPr>
      </w:pPr>
      <w:r w:rsidRPr="00286951">
        <w:rPr>
          <w:lang w:val="en-IE"/>
        </w:rPr>
        <w:t>Schreiber-Gregory</w:t>
      </w:r>
      <w:r>
        <w:rPr>
          <w:lang w:val="en-IE"/>
        </w:rPr>
        <w:t xml:space="preserve">, </w:t>
      </w:r>
      <w:r w:rsidR="00552DDF">
        <w:rPr>
          <w:lang w:val="en-IE"/>
        </w:rPr>
        <w:t xml:space="preserve">Deanna. (2017). </w:t>
      </w:r>
      <w:r w:rsidRPr="00B0735A">
        <w:rPr>
          <w:lang w:val="en-IE"/>
        </w:rPr>
        <w:t>Multicollinearity: What Is It, Why Should We Care, and How Can It Be Controlled?</w:t>
      </w:r>
      <w:r w:rsidR="00B0735A">
        <w:rPr>
          <w:lang w:val="en-IE"/>
        </w:rPr>
        <w:t xml:space="preserve"> </w:t>
      </w:r>
      <w:r w:rsidR="00B0735A" w:rsidRPr="00546646">
        <w:rPr>
          <w:i/>
          <w:iCs/>
          <w:lang w:val="en-IE"/>
        </w:rPr>
        <w:t>Proc</w:t>
      </w:r>
      <w:r w:rsidR="001313C3" w:rsidRPr="00546646">
        <w:rPr>
          <w:i/>
          <w:iCs/>
          <w:lang w:val="en-IE"/>
        </w:rPr>
        <w:t>eedings</w:t>
      </w:r>
      <w:r w:rsidR="008638AF" w:rsidRPr="00546646">
        <w:rPr>
          <w:i/>
          <w:iCs/>
          <w:lang w:val="en-IE"/>
        </w:rPr>
        <w:t xml:space="preserve"> SAS Global Forum</w:t>
      </w:r>
      <w:r w:rsidR="00546646">
        <w:rPr>
          <w:i/>
          <w:iCs/>
          <w:lang w:val="en-IE"/>
        </w:rPr>
        <w:t xml:space="preserve">. </w:t>
      </w:r>
      <w:r w:rsidR="001434C2" w:rsidRPr="001434C2">
        <w:rPr>
          <w:b/>
          <w:bCs/>
          <w:u w:val="single"/>
          <w:lang w:val="en-IE"/>
        </w:rPr>
        <w:t>https://support.sas.com/resources/papers/proceedings17/1404-2017</w:t>
      </w:r>
      <w:r w:rsidR="001434C2" w:rsidRPr="001434C2">
        <w:rPr>
          <w:lang w:val="en-IE"/>
        </w:rPr>
        <w:t>.pdf</w:t>
      </w:r>
      <w:r w:rsidR="001434C2">
        <w:rPr>
          <w:lang w:val="en-IE"/>
        </w:rPr>
        <w:t>.</w:t>
      </w:r>
      <w:r w:rsidR="00552DDF">
        <w:rPr>
          <w:lang w:val="en-IE"/>
        </w:rPr>
        <w:t xml:space="preserve"> </w:t>
      </w:r>
    </w:p>
    <w:sectPr w:rsidR="00D74D98" w:rsidRPr="00560D4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16F35" w14:textId="77777777" w:rsidR="00D9214A" w:rsidRDefault="00D9214A" w:rsidP="007935BC">
      <w:pPr>
        <w:spacing w:line="240" w:lineRule="auto"/>
      </w:pPr>
      <w:r>
        <w:separator/>
      </w:r>
    </w:p>
  </w:endnote>
  <w:endnote w:type="continuationSeparator" w:id="0">
    <w:p w14:paraId="36D5A97B" w14:textId="77777777" w:rsidR="00D9214A" w:rsidRDefault="00D9214A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DCBF4" w14:textId="77777777" w:rsidR="00D9214A" w:rsidRDefault="00D9214A" w:rsidP="007935BC">
      <w:pPr>
        <w:spacing w:line="240" w:lineRule="auto"/>
      </w:pPr>
      <w:r>
        <w:separator/>
      </w:r>
    </w:p>
  </w:footnote>
  <w:footnote w:type="continuationSeparator" w:id="0">
    <w:p w14:paraId="3184C92A" w14:textId="77777777" w:rsidR="00D9214A" w:rsidRDefault="00D9214A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07FB9"/>
    <w:rsid w:val="000136DD"/>
    <w:rsid w:val="00014456"/>
    <w:rsid w:val="0001756C"/>
    <w:rsid w:val="00017B2B"/>
    <w:rsid w:val="000421A1"/>
    <w:rsid w:val="00044274"/>
    <w:rsid w:val="00060425"/>
    <w:rsid w:val="00060824"/>
    <w:rsid w:val="000810D7"/>
    <w:rsid w:val="000A265E"/>
    <w:rsid w:val="000B1507"/>
    <w:rsid w:val="000C22C7"/>
    <w:rsid w:val="000C2A90"/>
    <w:rsid w:val="000C44DC"/>
    <w:rsid w:val="000C62B5"/>
    <w:rsid w:val="000D38CB"/>
    <w:rsid w:val="000E00BA"/>
    <w:rsid w:val="000F1F3F"/>
    <w:rsid w:val="000F5E63"/>
    <w:rsid w:val="000F755F"/>
    <w:rsid w:val="00101A6D"/>
    <w:rsid w:val="0010452F"/>
    <w:rsid w:val="00107249"/>
    <w:rsid w:val="0012038D"/>
    <w:rsid w:val="00120922"/>
    <w:rsid w:val="001254E8"/>
    <w:rsid w:val="001313C3"/>
    <w:rsid w:val="00133D7D"/>
    <w:rsid w:val="00136197"/>
    <w:rsid w:val="001434C2"/>
    <w:rsid w:val="00143585"/>
    <w:rsid w:val="001607F2"/>
    <w:rsid w:val="0016122E"/>
    <w:rsid w:val="001618AC"/>
    <w:rsid w:val="001865D3"/>
    <w:rsid w:val="001B755A"/>
    <w:rsid w:val="001C6657"/>
    <w:rsid w:val="001D073B"/>
    <w:rsid w:val="001D23F4"/>
    <w:rsid w:val="001D2CD4"/>
    <w:rsid w:val="001D4EF2"/>
    <w:rsid w:val="001F2546"/>
    <w:rsid w:val="001F2DBB"/>
    <w:rsid w:val="002020B5"/>
    <w:rsid w:val="0020355F"/>
    <w:rsid w:val="00210A04"/>
    <w:rsid w:val="00211A86"/>
    <w:rsid w:val="00221EA0"/>
    <w:rsid w:val="0022258C"/>
    <w:rsid w:val="00222F33"/>
    <w:rsid w:val="002460D2"/>
    <w:rsid w:val="00256CAB"/>
    <w:rsid w:val="00260861"/>
    <w:rsid w:val="00260B02"/>
    <w:rsid w:val="00265833"/>
    <w:rsid w:val="00274663"/>
    <w:rsid w:val="00277CFC"/>
    <w:rsid w:val="00286951"/>
    <w:rsid w:val="00287D19"/>
    <w:rsid w:val="00292739"/>
    <w:rsid w:val="0029614F"/>
    <w:rsid w:val="002A78DF"/>
    <w:rsid w:val="002C3E6C"/>
    <w:rsid w:val="002C56BF"/>
    <w:rsid w:val="002D0155"/>
    <w:rsid w:val="002D4A43"/>
    <w:rsid w:val="002E1E36"/>
    <w:rsid w:val="002E2EDD"/>
    <w:rsid w:val="00302863"/>
    <w:rsid w:val="00303C21"/>
    <w:rsid w:val="00304943"/>
    <w:rsid w:val="00305DE2"/>
    <w:rsid w:val="00307241"/>
    <w:rsid w:val="00312C4E"/>
    <w:rsid w:val="00323095"/>
    <w:rsid w:val="00323F92"/>
    <w:rsid w:val="00325266"/>
    <w:rsid w:val="003262A2"/>
    <w:rsid w:val="003369E2"/>
    <w:rsid w:val="00336A32"/>
    <w:rsid w:val="00337B68"/>
    <w:rsid w:val="003401B4"/>
    <w:rsid w:val="00341EE4"/>
    <w:rsid w:val="003446EC"/>
    <w:rsid w:val="003523FB"/>
    <w:rsid w:val="00360455"/>
    <w:rsid w:val="003633B6"/>
    <w:rsid w:val="0036477A"/>
    <w:rsid w:val="00366FC3"/>
    <w:rsid w:val="0037026E"/>
    <w:rsid w:val="00393D19"/>
    <w:rsid w:val="003A124F"/>
    <w:rsid w:val="003A25FD"/>
    <w:rsid w:val="003B030D"/>
    <w:rsid w:val="003B0539"/>
    <w:rsid w:val="003B1DA9"/>
    <w:rsid w:val="003C7104"/>
    <w:rsid w:val="003E1139"/>
    <w:rsid w:val="003E19D6"/>
    <w:rsid w:val="003E5C52"/>
    <w:rsid w:val="003E5DC3"/>
    <w:rsid w:val="003F1393"/>
    <w:rsid w:val="003F5B94"/>
    <w:rsid w:val="003F7C1A"/>
    <w:rsid w:val="0040159D"/>
    <w:rsid w:val="00411EC2"/>
    <w:rsid w:val="00415161"/>
    <w:rsid w:val="00420326"/>
    <w:rsid w:val="00426314"/>
    <w:rsid w:val="00427E1F"/>
    <w:rsid w:val="004310CB"/>
    <w:rsid w:val="00431904"/>
    <w:rsid w:val="00433D3B"/>
    <w:rsid w:val="004365E2"/>
    <w:rsid w:val="00441042"/>
    <w:rsid w:val="00442AF2"/>
    <w:rsid w:val="00467BEE"/>
    <w:rsid w:val="00475CEB"/>
    <w:rsid w:val="00476F88"/>
    <w:rsid w:val="00477139"/>
    <w:rsid w:val="0048070D"/>
    <w:rsid w:val="004968CE"/>
    <w:rsid w:val="004B0DCA"/>
    <w:rsid w:val="004B2C43"/>
    <w:rsid w:val="004C0483"/>
    <w:rsid w:val="004D1C01"/>
    <w:rsid w:val="004E1E50"/>
    <w:rsid w:val="004E2176"/>
    <w:rsid w:val="004E411D"/>
    <w:rsid w:val="004E4EE2"/>
    <w:rsid w:val="004E56DE"/>
    <w:rsid w:val="004E5A82"/>
    <w:rsid w:val="004E6300"/>
    <w:rsid w:val="004F4D9F"/>
    <w:rsid w:val="005072A1"/>
    <w:rsid w:val="00512209"/>
    <w:rsid w:val="0053057A"/>
    <w:rsid w:val="005366F6"/>
    <w:rsid w:val="00541ABF"/>
    <w:rsid w:val="005430EA"/>
    <w:rsid w:val="00546646"/>
    <w:rsid w:val="00551935"/>
    <w:rsid w:val="00552DDF"/>
    <w:rsid w:val="00560D41"/>
    <w:rsid w:val="00562C87"/>
    <w:rsid w:val="005633F8"/>
    <w:rsid w:val="005635F0"/>
    <w:rsid w:val="005767E2"/>
    <w:rsid w:val="00580A44"/>
    <w:rsid w:val="00580F55"/>
    <w:rsid w:val="00581282"/>
    <w:rsid w:val="005A011F"/>
    <w:rsid w:val="005A3C9B"/>
    <w:rsid w:val="005A47F5"/>
    <w:rsid w:val="005A66B2"/>
    <w:rsid w:val="005B0914"/>
    <w:rsid w:val="005B67D7"/>
    <w:rsid w:val="005C06C7"/>
    <w:rsid w:val="005C52EE"/>
    <w:rsid w:val="005C71D7"/>
    <w:rsid w:val="005D3284"/>
    <w:rsid w:val="005E09A3"/>
    <w:rsid w:val="005E1A31"/>
    <w:rsid w:val="005F5EAE"/>
    <w:rsid w:val="00602598"/>
    <w:rsid w:val="00607B0C"/>
    <w:rsid w:val="00615205"/>
    <w:rsid w:val="00615A1A"/>
    <w:rsid w:val="006215F9"/>
    <w:rsid w:val="00621F02"/>
    <w:rsid w:val="00622301"/>
    <w:rsid w:val="00622FA9"/>
    <w:rsid w:val="00624B07"/>
    <w:rsid w:val="0062541F"/>
    <w:rsid w:val="006270B2"/>
    <w:rsid w:val="00637A11"/>
    <w:rsid w:val="006448FE"/>
    <w:rsid w:val="00655436"/>
    <w:rsid w:val="006565DF"/>
    <w:rsid w:val="00663D3C"/>
    <w:rsid w:val="00665AA1"/>
    <w:rsid w:val="00667A4C"/>
    <w:rsid w:val="006710C2"/>
    <w:rsid w:val="00671D1B"/>
    <w:rsid w:val="00672C02"/>
    <w:rsid w:val="00677B25"/>
    <w:rsid w:val="006823AD"/>
    <w:rsid w:val="00682659"/>
    <w:rsid w:val="0068605C"/>
    <w:rsid w:val="006A447D"/>
    <w:rsid w:val="006A5122"/>
    <w:rsid w:val="006C24E2"/>
    <w:rsid w:val="006C3762"/>
    <w:rsid w:val="006D124F"/>
    <w:rsid w:val="006E0EA7"/>
    <w:rsid w:val="006E6FAB"/>
    <w:rsid w:val="006F2718"/>
    <w:rsid w:val="007036FE"/>
    <w:rsid w:val="007133D5"/>
    <w:rsid w:val="007148C2"/>
    <w:rsid w:val="0071624A"/>
    <w:rsid w:val="00733B94"/>
    <w:rsid w:val="00741895"/>
    <w:rsid w:val="00760E50"/>
    <w:rsid w:val="00766888"/>
    <w:rsid w:val="00791D1B"/>
    <w:rsid w:val="00792ACE"/>
    <w:rsid w:val="007935BC"/>
    <w:rsid w:val="007A1B52"/>
    <w:rsid w:val="007A2039"/>
    <w:rsid w:val="007A6571"/>
    <w:rsid w:val="007B27DD"/>
    <w:rsid w:val="007D653C"/>
    <w:rsid w:val="007E07D6"/>
    <w:rsid w:val="007E7FE1"/>
    <w:rsid w:val="007F52DA"/>
    <w:rsid w:val="007F675D"/>
    <w:rsid w:val="007F7BDF"/>
    <w:rsid w:val="00806B0F"/>
    <w:rsid w:val="00817DEE"/>
    <w:rsid w:val="008223F8"/>
    <w:rsid w:val="0082569F"/>
    <w:rsid w:val="00826277"/>
    <w:rsid w:val="00827B51"/>
    <w:rsid w:val="008372A7"/>
    <w:rsid w:val="00851005"/>
    <w:rsid w:val="008638AF"/>
    <w:rsid w:val="0086697F"/>
    <w:rsid w:val="00874451"/>
    <w:rsid w:val="0087535E"/>
    <w:rsid w:val="008911BC"/>
    <w:rsid w:val="008A2490"/>
    <w:rsid w:val="008B0FE1"/>
    <w:rsid w:val="008C19D9"/>
    <w:rsid w:val="008C6B5F"/>
    <w:rsid w:val="008C6E89"/>
    <w:rsid w:val="008C709F"/>
    <w:rsid w:val="008D0A6C"/>
    <w:rsid w:val="008E6E58"/>
    <w:rsid w:val="008F1D6E"/>
    <w:rsid w:val="008F387F"/>
    <w:rsid w:val="008F5669"/>
    <w:rsid w:val="008F7498"/>
    <w:rsid w:val="009026BA"/>
    <w:rsid w:val="00925FC2"/>
    <w:rsid w:val="009515B8"/>
    <w:rsid w:val="009519C5"/>
    <w:rsid w:val="00954228"/>
    <w:rsid w:val="00955821"/>
    <w:rsid w:val="009564CD"/>
    <w:rsid w:val="009A21E6"/>
    <w:rsid w:val="009A69C1"/>
    <w:rsid w:val="009B288A"/>
    <w:rsid w:val="009B6970"/>
    <w:rsid w:val="009B70B6"/>
    <w:rsid w:val="009C0DA4"/>
    <w:rsid w:val="009C2D71"/>
    <w:rsid w:val="009C4C5D"/>
    <w:rsid w:val="009D3DD5"/>
    <w:rsid w:val="009D5774"/>
    <w:rsid w:val="009E5220"/>
    <w:rsid w:val="009F3BD8"/>
    <w:rsid w:val="009F6E3E"/>
    <w:rsid w:val="009F7DCF"/>
    <w:rsid w:val="00A0223F"/>
    <w:rsid w:val="00A05D9D"/>
    <w:rsid w:val="00A14BC3"/>
    <w:rsid w:val="00A14F08"/>
    <w:rsid w:val="00A16D96"/>
    <w:rsid w:val="00A20129"/>
    <w:rsid w:val="00A20715"/>
    <w:rsid w:val="00A25120"/>
    <w:rsid w:val="00A26A33"/>
    <w:rsid w:val="00A335FE"/>
    <w:rsid w:val="00A404B8"/>
    <w:rsid w:val="00A4367E"/>
    <w:rsid w:val="00A50DC0"/>
    <w:rsid w:val="00A61B9F"/>
    <w:rsid w:val="00A72666"/>
    <w:rsid w:val="00A77C23"/>
    <w:rsid w:val="00A90F58"/>
    <w:rsid w:val="00A91B58"/>
    <w:rsid w:val="00AB06E7"/>
    <w:rsid w:val="00AC4FDB"/>
    <w:rsid w:val="00AC69A1"/>
    <w:rsid w:val="00AD18F5"/>
    <w:rsid w:val="00AE1D81"/>
    <w:rsid w:val="00AF1BD6"/>
    <w:rsid w:val="00AF3A40"/>
    <w:rsid w:val="00B072D5"/>
    <w:rsid w:val="00B0735A"/>
    <w:rsid w:val="00B14184"/>
    <w:rsid w:val="00B236A7"/>
    <w:rsid w:val="00B24A56"/>
    <w:rsid w:val="00B35BE9"/>
    <w:rsid w:val="00B41327"/>
    <w:rsid w:val="00B45EC8"/>
    <w:rsid w:val="00B46D4A"/>
    <w:rsid w:val="00B574E1"/>
    <w:rsid w:val="00B579C8"/>
    <w:rsid w:val="00B62E21"/>
    <w:rsid w:val="00B74932"/>
    <w:rsid w:val="00B84EB1"/>
    <w:rsid w:val="00B902BC"/>
    <w:rsid w:val="00BA38CE"/>
    <w:rsid w:val="00BB064E"/>
    <w:rsid w:val="00BC6635"/>
    <w:rsid w:val="00BD4555"/>
    <w:rsid w:val="00BE21F9"/>
    <w:rsid w:val="00C00F6D"/>
    <w:rsid w:val="00C03112"/>
    <w:rsid w:val="00C03276"/>
    <w:rsid w:val="00C26579"/>
    <w:rsid w:val="00C34708"/>
    <w:rsid w:val="00C45C87"/>
    <w:rsid w:val="00C47CDC"/>
    <w:rsid w:val="00C555D3"/>
    <w:rsid w:val="00C56122"/>
    <w:rsid w:val="00C66278"/>
    <w:rsid w:val="00C70526"/>
    <w:rsid w:val="00C7082D"/>
    <w:rsid w:val="00C72837"/>
    <w:rsid w:val="00C74085"/>
    <w:rsid w:val="00C80957"/>
    <w:rsid w:val="00C94C52"/>
    <w:rsid w:val="00CB13F6"/>
    <w:rsid w:val="00CB1F7C"/>
    <w:rsid w:val="00CB2A34"/>
    <w:rsid w:val="00CB5C40"/>
    <w:rsid w:val="00CC3A16"/>
    <w:rsid w:val="00CC77CA"/>
    <w:rsid w:val="00CC7A8C"/>
    <w:rsid w:val="00CE530B"/>
    <w:rsid w:val="00CE5BD8"/>
    <w:rsid w:val="00CE68CC"/>
    <w:rsid w:val="00CF4BAF"/>
    <w:rsid w:val="00CF500C"/>
    <w:rsid w:val="00CF6ECC"/>
    <w:rsid w:val="00D011F3"/>
    <w:rsid w:val="00D01D7E"/>
    <w:rsid w:val="00D02426"/>
    <w:rsid w:val="00D05F64"/>
    <w:rsid w:val="00D1463C"/>
    <w:rsid w:val="00D2253F"/>
    <w:rsid w:val="00D27C9D"/>
    <w:rsid w:val="00D426AE"/>
    <w:rsid w:val="00D57495"/>
    <w:rsid w:val="00D643D1"/>
    <w:rsid w:val="00D74D98"/>
    <w:rsid w:val="00D9214A"/>
    <w:rsid w:val="00DA72BB"/>
    <w:rsid w:val="00DB2FAA"/>
    <w:rsid w:val="00DB3361"/>
    <w:rsid w:val="00DC5366"/>
    <w:rsid w:val="00DD136A"/>
    <w:rsid w:val="00DD54A4"/>
    <w:rsid w:val="00DE1E52"/>
    <w:rsid w:val="00DE2A2D"/>
    <w:rsid w:val="00DE3E67"/>
    <w:rsid w:val="00DF3068"/>
    <w:rsid w:val="00E05519"/>
    <w:rsid w:val="00E118C6"/>
    <w:rsid w:val="00E1195C"/>
    <w:rsid w:val="00E12FC5"/>
    <w:rsid w:val="00E33021"/>
    <w:rsid w:val="00E339B8"/>
    <w:rsid w:val="00E44DB2"/>
    <w:rsid w:val="00E45D75"/>
    <w:rsid w:val="00E501AC"/>
    <w:rsid w:val="00E613F3"/>
    <w:rsid w:val="00E629A2"/>
    <w:rsid w:val="00E62E82"/>
    <w:rsid w:val="00E65B09"/>
    <w:rsid w:val="00E66582"/>
    <w:rsid w:val="00E744A3"/>
    <w:rsid w:val="00E90767"/>
    <w:rsid w:val="00E90D01"/>
    <w:rsid w:val="00ED65FF"/>
    <w:rsid w:val="00ED7644"/>
    <w:rsid w:val="00EE49A9"/>
    <w:rsid w:val="00EF1D42"/>
    <w:rsid w:val="00F02614"/>
    <w:rsid w:val="00F03D17"/>
    <w:rsid w:val="00F12CC6"/>
    <w:rsid w:val="00F17453"/>
    <w:rsid w:val="00F177CD"/>
    <w:rsid w:val="00F330D2"/>
    <w:rsid w:val="00F33591"/>
    <w:rsid w:val="00F343AE"/>
    <w:rsid w:val="00F40DFB"/>
    <w:rsid w:val="00F42914"/>
    <w:rsid w:val="00F42BDA"/>
    <w:rsid w:val="00F45B34"/>
    <w:rsid w:val="00F46B31"/>
    <w:rsid w:val="00F551F6"/>
    <w:rsid w:val="00F60C06"/>
    <w:rsid w:val="00F6419B"/>
    <w:rsid w:val="00F65C76"/>
    <w:rsid w:val="00F82850"/>
    <w:rsid w:val="00F974B6"/>
    <w:rsid w:val="00FA0695"/>
    <w:rsid w:val="00FA42B5"/>
    <w:rsid w:val="00FD30A5"/>
    <w:rsid w:val="00FD3D44"/>
    <w:rsid w:val="00FE2CB0"/>
    <w:rsid w:val="00FE4694"/>
    <w:rsid w:val="00FF36F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87"/>
    <w:pPr>
      <w:spacing w:before="2880" w:after="960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87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F7DCF"/>
    <w:pPr>
      <w:keepNext/>
      <w:ind w:firstLine="0"/>
    </w:pPr>
    <w:rPr>
      <w:b/>
      <w:iCs/>
      <w:szCs w:val="18"/>
    </w:rPr>
  </w:style>
  <w:style w:type="paragraph" w:customStyle="1" w:styleId="sinsangria">
    <w:name w:val="sin_sangria"/>
    <w:basedOn w:val="Normal"/>
    <w:link w:val="sinsangriaChar"/>
    <w:qFormat/>
    <w:rsid w:val="009B70B6"/>
    <w:pPr>
      <w:keepNext/>
      <w:ind w:firstLine="0"/>
    </w:pPr>
    <w:rPr>
      <w:lang w:eastAsia="en-IE"/>
    </w:rPr>
  </w:style>
  <w:style w:type="character" w:customStyle="1" w:styleId="sinsangriaChar">
    <w:name w:val="sin_sangria Char"/>
    <w:basedOn w:val="DefaultParagraphFont"/>
    <w:link w:val="sinsangria"/>
    <w:rsid w:val="009B70B6"/>
    <w:rPr>
      <w:rFonts w:ascii="Times New Roman" w:hAnsi="Times New Roman"/>
      <w:lang w:eastAsia="en-IE"/>
    </w:rPr>
  </w:style>
  <w:style w:type="character" w:styleId="Hyperlink">
    <w:name w:val="Hyperlink"/>
    <w:basedOn w:val="DefaultParagraphFont"/>
    <w:uiPriority w:val="99"/>
    <w:unhideWhenUsed/>
    <w:rsid w:val="00F55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1F6"/>
    <w:rPr>
      <w:color w:val="605E5C"/>
      <w:shd w:val="clear" w:color="auto" w:fill="E1DFDD"/>
    </w:rPr>
  </w:style>
  <w:style w:type="paragraph" w:customStyle="1" w:styleId="referencia">
    <w:name w:val="referencia"/>
    <w:basedOn w:val="Normal"/>
    <w:link w:val="referenciaChar"/>
    <w:qFormat/>
    <w:rsid w:val="00562C87"/>
    <w:pPr>
      <w:ind w:left="720" w:hanging="720"/>
    </w:pPr>
    <w:rPr>
      <w:lang w:val="es-ES"/>
    </w:rPr>
  </w:style>
  <w:style w:type="character" w:customStyle="1" w:styleId="referenciaChar">
    <w:name w:val="referencia Char"/>
    <w:basedOn w:val="DefaultParagraphFont"/>
    <w:link w:val="referencia"/>
    <w:rsid w:val="00562C87"/>
    <w:rPr>
      <w:rFonts w:ascii="Times New Roman" w:hAnsi="Times New Roman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3B030D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47F5"/>
    <w:rPr>
      <w:color w:val="666666"/>
    </w:rPr>
  </w:style>
  <w:style w:type="paragraph" w:customStyle="1" w:styleId="afiliacion">
    <w:name w:val="afiliacion"/>
    <w:basedOn w:val="Normal"/>
    <w:qFormat/>
    <w:rsid w:val="00F974B6"/>
    <w:pPr>
      <w:ind w:firstLine="0"/>
      <w:jc w:val="center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es/es/detalle-ficha-estudio?idEstudio=1472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s.es/es/detalle-ficha-estudio?idEstudio=14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395</cp:revision>
  <dcterms:created xsi:type="dcterms:W3CDTF">2025-04-23T17:40:00Z</dcterms:created>
  <dcterms:modified xsi:type="dcterms:W3CDTF">2025-04-27T12:54:00Z</dcterms:modified>
</cp:coreProperties>
</file>