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[Title]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[XX/XX/XX]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25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