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Calibri" w:cs="Calibri" w:eastAsia="Calibri" w:hAnsi="Calibri"/>
          <w:b/>
          <w:bCs/>
          <w:color w:val="000000"/>
          <w:sz w:val="30"/>
          <w:szCs w:val="30"/>
        </w:rPr>
        <w:t xml:space="preserve">HARSHNI COUPPOUSSAMY</w:t>
      </w:r>
    </w:p>
    <w:p>
      <w:pPr>
        <w:spacing w:after="14" w:before="0"/>
        <w:jc w:val="center"/>
      </w:pPr>
      <w:r>
        <w:rPr>
          <w:rFonts w:ascii="Calibri" w:cs="Calibri" w:eastAsia="Calibri" w:hAnsi="Calibri"/>
          <w:i/>
          <w:iCs/>
          <w:color w:val="000000"/>
          <w:sz w:val="18"/>
          <w:szCs w:val="18"/>
        </w:rPr>
        <w:t xml:space="preserve">Cybersecurity Graduate  |  Salesforce Security &amp; DevSecOps  |  London, UK</w:t>
      </w:r>
    </w:p>
    <w:p>
      <w:pPr>
        <w:spacing w:after="60" w:before="0"/>
        <w:jc w:val="center"/>
      </w:pPr>
      <w:r>
        <w:rPr>
          <w:rFonts w:ascii="Calibri" w:cs="Calibri" w:eastAsia="Calibri" w:hAnsi="Calibri"/>
          <w:color w:val="000000"/>
          <w:sz w:val="17"/>
          <w:szCs w:val="17"/>
        </w:rPr>
        <w:t xml:space="preserve">07799 663823</w:t>
      </w:r>
      <w:r>
        <w:rPr>
          <w:rFonts w:ascii="Calibri" w:cs="Calibri" w:eastAsia="Calibri" w:hAnsi="Calibri"/>
          <w:color w:val="000000"/>
          <w:sz w:val="17"/>
          <w:szCs w:val="17"/>
        </w:rPr>
        <w:t xml:space="preserve">   |   </w:t>
      </w:r>
      <w:r>
        <w:rPr>
          <w:rFonts w:ascii="Calibri" w:cs="Calibri" w:eastAsia="Calibri" w:hAnsi="Calibri"/>
          <w:color w:val="000000"/>
          <w:sz w:val="17"/>
          <w:szCs w:val="17"/>
        </w:rPr>
        <w:t xml:space="preserve">harshnisamy2001@gmail.com</w:t>
      </w:r>
      <w:r>
        <w:rPr>
          <w:rFonts w:ascii="Calibri" w:cs="Calibri" w:eastAsia="Calibri" w:hAnsi="Calibri"/>
          <w:color w:val="000000"/>
          <w:sz w:val="17"/>
          <w:szCs w:val="17"/>
        </w:rPr>
        <w:t xml:space="preserve">   |   </w:t>
      </w:r>
      <w:r>
        <w:rPr>
          <w:rFonts w:ascii="Calibri" w:cs="Calibri" w:eastAsia="Calibri" w:hAnsi="Calibri"/>
          <w:color w:val="000000"/>
          <w:sz w:val="17"/>
          <w:szCs w:val="17"/>
        </w:rPr>
        <w:t xml:space="preserve">LinkedIn</w:t>
      </w:r>
      <w:r>
        <w:rPr>
          <w:rFonts w:ascii="Calibri" w:cs="Calibri" w:eastAsia="Calibri" w:hAnsi="Calibri"/>
          <w:color w:val="000000"/>
          <w:sz w:val="17"/>
          <w:szCs w:val="17"/>
        </w:rPr>
        <w:t xml:space="preserve">   |   </w:t>
      </w:r>
      <w:r>
        <w:rPr>
          <w:rFonts w:ascii="Calibri" w:cs="Calibri" w:eastAsia="Calibri" w:hAnsi="Calibri"/>
          <w:color w:val="000000"/>
          <w:sz w:val="17"/>
          <w:szCs w:val="17"/>
        </w:rPr>
        <w:t xml:space="preserve">London, UK</w:t>
      </w:r>
    </w:p>
    <w:p>
      <w:pPr>
        <w:pBdr>
          <w:bottom w:val="single" w:color="000000" w:sz="6"/>
        </w:pBdr>
        <w:spacing w:after="28" w:before="70"/>
      </w:pPr>
      <w:r>
        <w:rPr>
          <w:rFonts w:ascii="Calibri" w:cs="Calibri" w:eastAsia="Calibri" w:hAnsi="Calibri"/>
          <w:b/>
          <w:bCs/>
          <w:color w:val="000000"/>
          <w:sz w:val="20"/>
          <w:szCs w:val="20"/>
        </w:rPr>
        <w:t xml:space="preserve">PROFESSIONAL PROFILE</w:t>
      </w:r>
    </w:p>
    <w:p>
      <w:pPr>
        <w:spacing w:after="36" w:before="24"/>
      </w:pPr>
      <w:r>
        <w:rPr>
          <w:rFonts w:ascii="Calibri" w:cs="Calibri" w:eastAsia="Calibri" w:hAnsi="Calibri"/>
          <w:color w:val="000000"/>
          <w:sz w:val="17"/>
          <w:szCs w:val="17"/>
        </w:rPr>
        <w:t xml:space="preserve">MSc Cybersecurity graduate with 2.5 years of professional experience at Accenture delivering security architecture, vulnerability analysis, threat modelling, and incident response across Salesforce and enterprise environments. Skilled in identity and access management, risk assessment, CVSS-based prioritisation, NIST and ISO/SOC compliance, and DevSecOps — bringing both hands-on technical depth and clear stakeholder communication to every engagement. Genuinely passionate about cyber risk reduction and excited to contribute to Asda's vulnerability management programme while earning the L4 Cyber Security Analyst qualification.</w:t>
      </w:r>
    </w:p>
    <w:p>
      <w:pPr>
        <w:pBdr>
          <w:bottom w:val="single" w:color="000000" w:sz="6"/>
        </w:pBdr>
        <w:spacing w:after="28" w:before="70"/>
      </w:pPr>
      <w:r>
        <w:rPr>
          <w:rFonts w:ascii="Calibri" w:cs="Calibri" w:eastAsia="Calibri" w:hAnsi="Calibri"/>
          <w:b/>
          <w:bCs/>
          <w:color w:val="000000"/>
          <w:sz w:val="20"/>
          <w:szCs w:val="20"/>
        </w:rPr>
        <w:t xml:space="preserve">KEY SKILLS &amp; TECHNICAL COMPETENCIES</w:t>
      </w:r>
    </w:p>
    <w:p>
      <w:pPr>
        <w:spacing w:after="0" w:before="16"/>
      </w:pPr>
      <w:r>
        <w:rPr>
          <w:rFonts w:ascii="Calibri" w:cs="Calibri" w:eastAsia="Calibri" w:hAnsi="Calibri"/>
          <w:color w:val="000000"/>
          <w:sz w:val="18"/>
          <w:szCs w:val="1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3200"/>
        <w:gridCol w:w="2960"/>
      </w:tblGrid>
      <w:tr>
        <w:tc>
          <w:tcPr>
            <w:tcW w:type="dxa" w:w="3200"/>
            <w:tcBorders>
              <w:top w:val="none" w:color="FFFFFF" w:sz="0"/>
              <w:left w:val="none" w:color="FFFFFF" w:sz="0"/>
              <w:bottom w:val="none" w:color="FFFFFF" w:sz="0"/>
              <w:right w:val="none" w:color="FFFFFF" w:sz="0"/>
            </w:tcBorders>
            <w:tcMar>
              <w:top w:type="dxa" w:w="16"/>
              <w:left w:type="dxa" w:w="0"/>
              <w:bottom w:type="dxa" w:w="16"/>
              <w:right w:type="dxa" w:w="50"/>
            </w:tcMar>
          </w:tcPr>
          <w:p>
            <w:r>
              <w:rPr>
                <w:rFonts w:ascii="Calibri" w:cs="Calibri" w:eastAsia="Calibri" w:hAnsi="Calibri"/>
                <w:color w:val="000000"/>
                <w:sz w:val="17"/>
                <w:szCs w:val="17"/>
              </w:rPr>
              <w:t xml:space="preserve">▪  Vulnerability Management</w:t>
            </w:r>
          </w:p>
        </w:tc>
        <w:tc>
          <w:tcPr>
            <w:tcW w:type="dxa" w:w="320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CVSS &amp; Risk Prioritisation</w:t>
            </w:r>
          </w:p>
        </w:tc>
        <w:tc>
          <w:tcPr>
            <w:tcW w:type="dxa" w:w="296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NIST &amp; ISO 27001</w:t>
            </w:r>
          </w:p>
        </w:tc>
      </w:tr>
      <w:tr>
        <w:tc>
          <w:tcPr>
            <w:tcW w:type="dxa" w:w="3200"/>
            <w:tcBorders>
              <w:top w:val="none" w:color="FFFFFF" w:sz="0"/>
              <w:left w:val="none" w:color="FFFFFF" w:sz="0"/>
              <w:bottom w:val="none" w:color="FFFFFF" w:sz="0"/>
              <w:right w:val="none" w:color="FFFFFF" w:sz="0"/>
            </w:tcBorders>
            <w:tcMar>
              <w:top w:type="dxa" w:w="16"/>
              <w:left w:type="dxa" w:w="0"/>
              <w:bottom w:type="dxa" w:w="16"/>
              <w:right w:type="dxa" w:w="50"/>
            </w:tcMar>
          </w:tcPr>
          <w:p>
            <w:r>
              <w:rPr>
                <w:rFonts w:ascii="Calibri" w:cs="Calibri" w:eastAsia="Calibri" w:hAnsi="Calibri"/>
                <w:color w:val="000000"/>
                <w:sz w:val="17"/>
                <w:szCs w:val="17"/>
              </w:rPr>
              <w:t xml:space="preserve">▪  Threat Modelling &amp; Risk Assessment</w:t>
            </w:r>
          </w:p>
        </w:tc>
        <w:tc>
          <w:tcPr>
            <w:tcW w:type="dxa" w:w="320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Incident Response</w:t>
            </w:r>
          </w:p>
        </w:tc>
        <w:tc>
          <w:tcPr>
            <w:tcW w:type="dxa" w:w="296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OWASP &amp; Security Controls</w:t>
            </w:r>
          </w:p>
        </w:tc>
      </w:tr>
      <w:tr>
        <w:tc>
          <w:tcPr>
            <w:tcW w:type="dxa" w:w="3200"/>
            <w:tcBorders>
              <w:top w:val="none" w:color="FFFFFF" w:sz="0"/>
              <w:left w:val="none" w:color="FFFFFF" w:sz="0"/>
              <w:bottom w:val="none" w:color="FFFFFF" w:sz="0"/>
              <w:right w:val="none" w:color="FFFFFF" w:sz="0"/>
            </w:tcBorders>
            <w:tcMar>
              <w:top w:type="dxa" w:w="16"/>
              <w:left w:type="dxa" w:w="0"/>
              <w:bottom w:type="dxa" w:w="16"/>
              <w:right w:type="dxa" w:w="50"/>
            </w:tcMar>
          </w:tcPr>
          <w:p>
            <w:r>
              <w:rPr>
                <w:rFonts w:ascii="Calibri" w:cs="Calibri" w:eastAsia="Calibri" w:hAnsi="Calibri"/>
                <w:color w:val="000000"/>
                <w:sz w:val="17"/>
                <w:szCs w:val="17"/>
              </w:rPr>
              <w:t xml:space="preserve">▪  Identity &amp; Access Management</w:t>
            </w:r>
          </w:p>
        </w:tc>
        <w:tc>
          <w:tcPr>
            <w:tcW w:type="dxa" w:w="320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Encryption (AES-256, RSA)</w:t>
            </w:r>
          </w:p>
        </w:tc>
        <w:tc>
          <w:tcPr>
            <w:tcW w:type="dxa" w:w="296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DevSecOps &amp; CI/CD</w:t>
            </w:r>
          </w:p>
        </w:tc>
      </w:tr>
      <w:tr>
        <w:tc>
          <w:tcPr>
            <w:tcW w:type="dxa" w:w="3200"/>
            <w:tcBorders>
              <w:top w:val="none" w:color="FFFFFF" w:sz="0"/>
              <w:left w:val="none" w:color="FFFFFF" w:sz="0"/>
              <w:bottom w:val="none" w:color="FFFFFF" w:sz="0"/>
              <w:right w:val="none" w:color="FFFFFF" w:sz="0"/>
            </w:tcBorders>
            <w:tcMar>
              <w:top w:type="dxa" w:w="16"/>
              <w:left w:type="dxa" w:w="0"/>
              <w:bottom w:type="dxa" w:w="16"/>
              <w:right w:type="dxa" w:w="50"/>
            </w:tcMar>
          </w:tcPr>
          <w:p>
            <w:r>
              <w:rPr>
                <w:rFonts w:ascii="Calibri" w:cs="Calibri" w:eastAsia="Calibri" w:hAnsi="Calibri"/>
                <w:color w:val="000000"/>
                <w:sz w:val="17"/>
                <w:szCs w:val="17"/>
              </w:rPr>
              <w:t xml:space="preserve">▪  Stakeholder Reporting</w:t>
            </w:r>
          </w:p>
        </w:tc>
        <w:tc>
          <w:tcPr>
            <w:tcW w:type="dxa" w:w="320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Audit &amp; Compliance (SOC)</w:t>
            </w:r>
          </w:p>
        </w:tc>
        <w:tc>
          <w:tcPr>
            <w:tcW w:type="dxa" w:w="2960"/>
            <w:tcBorders>
              <w:top w:val="none" w:color="FFFFFF" w:sz="0"/>
              <w:left w:val="none" w:color="FFFFFF" w:sz="0"/>
              <w:bottom w:val="none" w:color="FFFFFF" w:sz="0"/>
              <w:right w:val="none" w:color="FFFFFF" w:sz="0"/>
            </w:tcBorders>
            <w:tcMar>
              <w:top w:type="dxa" w:w="16"/>
              <w:left w:type="dxa" w:w="50"/>
              <w:bottom w:type="dxa" w:w="16"/>
              <w:right w:type="dxa" w:w="50"/>
            </w:tcMar>
          </w:tcPr>
          <w:p>
            <w:r>
              <w:rPr>
                <w:rFonts w:ascii="Calibri" w:cs="Calibri" w:eastAsia="Calibri" w:hAnsi="Calibri"/>
                <w:color w:val="000000"/>
                <w:sz w:val="17"/>
                <w:szCs w:val="17"/>
              </w:rPr>
              <w:t xml:space="preserve">▪  GDPR &amp; Data Privacy</w:t>
            </w:r>
          </w:p>
        </w:tc>
      </w:tr>
    </w:tbl>
    <w:p>
      <w:pPr>
        <w:spacing w:after="0" w:before="10"/>
      </w:pPr>
      <w:r>
        <w:rPr>
          <w:rFonts w:ascii="Calibri" w:cs="Calibri" w:eastAsia="Calibri" w:hAnsi="Calibri"/>
          <w:color w:val="000000"/>
          <w:sz w:val="18"/>
          <w:szCs w:val="18"/>
        </w:rPr>
        <w:t xml:space="preserve"/>
      </w:r>
    </w:p>
    <w:p>
      <w:pPr>
        <w:pBdr>
          <w:bottom w:val="single" w:color="000000" w:sz="6"/>
        </w:pBdr>
        <w:spacing w:after="28" w:before="70"/>
      </w:pPr>
      <w:r>
        <w:rPr>
          <w:rFonts w:ascii="Calibri" w:cs="Calibri" w:eastAsia="Calibri" w:hAnsi="Calibri"/>
          <w:b/>
          <w:bCs/>
          <w:color w:val="000000"/>
          <w:sz w:val="20"/>
          <w:szCs w:val="20"/>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MSc Cybersecurity Technology with Advanced Practice</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Jun 2025 – Present</w:t>
            </w:r>
          </w:p>
        </w:tc>
      </w:tr>
    </w:tbl>
    <w:p>
      <w:pPr>
        <w:spacing w:after="22" w:before="6"/>
      </w:pPr>
      <w:r>
        <w:rPr>
          <w:rFonts w:ascii="Calibri" w:cs="Calibri" w:eastAsia="Calibri" w:hAnsi="Calibri"/>
          <w:i/>
          <w:iCs/>
          <w:color w:val="000000"/>
          <w:sz w:val="17"/>
          <w:szCs w:val="17"/>
        </w:rPr>
        <w:t xml:space="preserve">Northumbria University, London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BTech, Electronics &amp; Communication Engineering</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Jun 2018 – May 2022</w:t>
            </w:r>
          </w:p>
        </w:tc>
      </w:tr>
    </w:tbl>
    <w:p>
      <w:pPr>
        <w:spacing w:after="22" w:before="6"/>
      </w:pPr>
      <w:r>
        <w:rPr>
          <w:rFonts w:ascii="Calibri" w:cs="Calibri" w:eastAsia="Calibri" w:hAnsi="Calibri"/>
          <w:i/>
          <w:iCs/>
          <w:color w:val="000000"/>
          <w:sz w:val="17"/>
          <w:szCs w:val="17"/>
        </w:rPr>
        <w:t xml:space="preserve">Pondicherry Engineering College, India</w:t>
      </w:r>
    </w:p>
    <w:p>
      <w:pPr>
        <w:pBdr>
          <w:bottom w:val="single" w:color="000000" w:sz="6"/>
        </w:pBdr>
        <w:spacing w:after="28" w:before="70"/>
      </w:pPr>
      <w:r>
        <w:rPr>
          <w:rFonts w:ascii="Calibri" w:cs="Calibri" w:eastAsia="Calibri" w:hAnsi="Calibri"/>
          <w:b/>
          <w:bCs/>
          <w:color w:val="000000"/>
          <w:sz w:val="20"/>
          <w:szCs w:val="20"/>
        </w:rPr>
        <w:t xml:space="preserve">CERTIFICATIONS</w:t>
      </w:r>
    </w:p>
    <w:p>
      <w:pPr>
        <w:spacing w:after="36" w:before="24"/>
      </w:pPr>
      <w:r>
        <w:rPr>
          <w:rFonts w:ascii="Calibri" w:cs="Calibri" w:eastAsia="Calibri" w:hAnsi="Calibri"/>
          <w:b/>
          <w:bCs/>
          <w:color w:val="000000"/>
          <w:sz w:val="17"/>
          <w:szCs w:val="17"/>
        </w:rPr>
        <w:t xml:space="preserve">Salesforce Certified Platform Developer I</w:t>
      </w:r>
      <w:r>
        <w:rPr>
          <w:rFonts w:ascii="Calibri" w:cs="Calibri" w:eastAsia="Calibri" w:hAnsi="Calibri"/>
          <w:color w:val="000000"/>
          <w:sz w:val="17"/>
          <w:szCs w:val="17"/>
        </w:rPr>
        <w:t xml:space="preserve">   |   </w:t>
      </w:r>
      <w:r>
        <w:rPr>
          <w:rFonts w:ascii="Calibri" w:cs="Calibri" w:eastAsia="Calibri" w:hAnsi="Calibri"/>
          <w:b/>
          <w:bCs/>
          <w:color w:val="000000"/>
          <w:sz w:val="17"/>
          <w:szCs w:val="17"/>
        </w:rPr>
        <w:t xml:space="preserve">Salesforce Platform App Builder</w:t>
      </w:r>
      <w:r>
        <w:rPr>
          <w:rFonts w:ascii="Calibri" w:cs="Calibri" w:eastAsia="Calibri" w:hAnsi="Calibri"/>
          <w:color w:val="000000"/>
          <w:sz w:val="17"/>
          <w:szCs w:val="17"/>
        </w:rPr>
        <w:t xml:space="preserve">   |   </w:t>
      </w:r>
      <w:r>
        <w:rPr>
          <w:rFonts w:ascii="Calibri" w:cs="Calibri" w:eastAsia="Calibri" w:hAnsi="Calibri"/>
          <w:b/>
          <w:bCs/>
          <w:color w:val="000000"/>
          <w:sz w:val="17"/>
          <w:szCs w:val="17"/>
        </w:rPr>
        <w:t xml:space="preserve">ISO &amp; SOC Compliance Awareness</w:t>
      </w:r>
    </w:p>
    <w:p>
      <w:pPr>
        <w:pBdr>
          <w:bottom w:val="single" w:color="000000" w:sz="6"/>
        </w:pBdr>
        <w:spacing w:after="28" w:before="70"/>
      </w:pPr>
      <w:r>
        <w:rPr>
          <w:rFonts w:ascii="Calibri" w:cs="Calibri" w:eastAsia="Calibri" w:hAnsi="Calibri"/>
          <w:b/>
          <w:bCs/>
          <w:color w:val="000000"/>
          <w:sz w:val="20"/>
          <w:szCs w:val="20"/>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Advanced App Engineering Analyst  –  Accenture, India</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Nov 2024 – Jun 2025</w:t>
            </w:r>
          </w:p>
        </w:tc>
      </w:tr>
    </w:tbl>
    <w:p>
      <w:pPr>
        <w:spacing w:after="0" w:before="8"/>
      </w:pPr>
      <w:r>
        <w:rPr>
          <w:rFonts w:ascii="Calibri" w:cs="Calibri" w:eastAsia="Calibri" w:hAnsi="Calibri"/>
          <w:color w:val="000000"/>
          <w:sz w:val="18"/>
          <w:szCs w:val="18"/>
        </w:rPr>
        <w:t xml:space="preserve"/>
      </w:r>
    </w:p>
    <w:p>
      <w:pPr>
        <w:pStyle w:val="ListParagraph"/>
        <w:numPr>
          <w:ilvl w:val="0"/>
          <w:numId w:val="2"/>
        </w:numPr>
        <w:spacing w:after="18" w:before="0"/>
      </w:pPr>
      <w:r>
        <w:rPr>
          <w:rFonts w:ascii="Calibri" w:cs="Calibri" w:eastAsia="Calibri" w:hAnsi="Calibri"/>
          <w:color w:val="000000"/>
          <w:sz w:val="17"/>
          <w:szCs w:val="17"/>
        </w:rPr>
        <w:t xml:space="preserve">Conducted vulnerability analysis, threat modelling, and security risk assessments across Salesforce, CRM, and CPQ environments — applying CVSS scoring to prioritise remediation and reduce risk exposure.</w:t>
      </w:r>
    </w:p>
    <w:p>
      <w:pPr>
        <w:pStyle w:val="ListParagraph"/>
        <w:numPr>
          <w:ilvl w:val="0"/>
          <w:numId w:val="2"/>
        </w:numPr>
        <w:spacing w:after="18" w:before="0"/>
      </w:pPr>
      <w:r>
        <w:rPr>
          <w:rFonts w:ascii="Calibri" w:cs="Calibri" w:eastAsia="Calibri" w:hAnsi="Calibri"/>
          <w:color w:val="000000"/>
          <w:sz w:val="17"/>
          <w:szCs w:val="17"/>
        </w:rPr>
        <w:t xml:space="preserve">Implemented and managed identity and access management controls including profiles, permission sets, role hierarchy, MFA, and sharing rules — directly aligned with vulnerability management and access risk reduction.</w:t>
      </w:r>
    </w:p>
    <w:p>
      <w:pPr>
        <w:pStyle w:val="ListParagraph"/>
        <w:numPr>
          <w:ilvl w:val="0"/>
          <w:numId w:val="2"/>
        </w:numPr>
        <w:spacing w:after="18" w:before="0"/>
      </w:pPr>
      <w:r>
        <w:rPr>
          <w:rFonts w:ascii="Calibri" w:cs="Calibri" w:eastAsia="Calibri" w:hAnsi="Calibri"/>
          <w:color w:val="000000"/>
          <w:sz w:val="17"/>
          <w:szCs w:val="17"/>
        </w:rPr>
        <w:t xml:space="preserve">Secured sensitive customer and pricing data using encryption (AES-256), data classification, secure API integrations, and key management — monitoring cyber advisories and emerging threats to inform security posture.</w:t>
      </w:r>
    </w:p>
    <w:p>
      <w:pPr>
        <w:pStyle w:val="ListParagraph"/>
        <w:numPr>
          <w:ilvl w:val="0"/>
          <w:numId w:val="2"/>
        </w:numPr>
        <w:spacing w:after="18" w:before="0"/>
      </w:pPr>
      <w:r>
        <w:rPr>
          <w:rFonts w:ascii="Calibri" w:cs="Calibri" w:eastAsia="Calibri" w:hAnsi="Calibri"/>
          <w:color w:val="000000"/>
          <w:sz w:val="17"/>
          <w:szCs w:val="17"/>
        </w:rPr>
        <w:t xml:space="preserve">Supported DevSecOps and CI/CD pipelines including secure deployments, security testing, and code reviews — producing reports and dashboards to communicate findings and remediation progress to stakeholders.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Advanced App Engineering Associate  –  Accenture, India</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Nov 2022 – Nov 2024</w:t>
            </w:r>
          </w:p>
        </w:tc>
      </w:tr>
    </w:tbl>
    <w:p>
      <w:pPr>
        <w:spacing w:after="0" w:before="8"/>
      </w:pPr>
      <w:r>
        <w:rPr>
          <w:rFonts w:ascii="Calibri" w:cs="Calibri" w:eastAsia="Calibri" w:hAnsi="Calibri"/>
          <w:color w:val="000000"/>
          <w:sz w:val="18"/>
          <w:szCs w:val="18"/>
        </w:rPr>
        <w:t xml:space="preserve"/>
      </w:r>
    </w:p>
    <w:p>
      <w:pPr>
        <w:pStyle w:val="ListParagraph"/>
        <w:numPr>
          <w:ilvl w:val="0"/>
          <w:numId w:val="2"/>
        </w:numPr>
        <w:spacing w:after="18" w:before="0"/>
      </w:pPr>
      <w:r>
        <w:rPr>
          <w:rFonts w:ascii="Calibri" w:cs="Calibri" w:eastAsia="Calibri" w:hAnsi="Calibri"/>
          <w:color w:val="000000"/>
          <w:sz w:val="17"/>
          <w:szCs w:val="17"/>
        </w:rPr>
        <w:t xml:space="preserve">Integrated Conga CPQ/CLM to Salesforce with secure data exchange controls, maintaining data integrity and compliance across document handling workflows.</w:t>
      </w:r>
    </w:p>
    <w:p>
      <w:pPr>
        <w:pStyle w:val="ListParagraph"/>
        <w:numPr>
          <w:ilvl w:val="0"/>
          <w:numId w:val="2"/>
        </w:numPr>
        <w:spacing w:after="18" w:before="0"/>
      </w:pPr>
      <w:r>
        <w:rPr>
          <w:rFonts w:ascii="Calibri" w:cs="Calibri" w:eastAsia="Calibri" w:hAnsi="Calibri"/>
          <w:color w:val="000000"/>
          <w:sz w:val="17"/>
          <w:szCs w:val="17"/>
        </w:rPr>
        <w:t xml:space="preserve">Gathered stakeholder requirements and translated them into technical security solutions, collaborating with cross-functional teams across development, QA, and business units to support risk reduction and project delivery.</w:t>
      </w:r>
    </w:p>
    <w:p>
      <w:pPr>
        <w:pBdr>
          <w:bottom w:val="single" w:color="000000" w:sz="6"/>
        </w:pBdr>
        <w:spacing w:after="28" w:before="70"/>
      </w:pPr>
      <w:r>
        <w:rPr>
          <w:rFonts w:ascii="Calibri" w:cs="Calibri" w:eastAsia="Calibri" w:hAnsi="Calibri"/>
          <w:b/>
          <w:bCs/>
          <w:color w:val="000000"/>
          <w:sz w:val="20"/>
          <w:szCs w:val="20"/>
        </w:rPr>
        <w:t xml:space="preserve">PROJECT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End-to-End Steganographic Audio Encryption System  –  Academic Project</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Jun 2022</w:t>
            </w:r>
          </w:p>
        </w:tc>
      </w:tr>
    </w:tbl>
    <w:p>
      <w:pPr>
        <w:spacing w:after="0" w:before="8"/>
      </w:pPr>
      <w:r>
        <w:rPr>
          <w:rFonts w:ascii="Calibri" w:cs="Calibri" w:eastAsia="Calibri" w:hAnsi="Calibri"/>
          <w:color w:val="000000"/>
          <w:sz w:val="18"/>
          <w:szCs w:val="18"/>
        </w:rPr>
        <w:t xml:space="preserve"/>
      </w:r>
    </w:p>
    <w:p>
      <w:pPr>
        <w:pStyle w:val="ListParagraph"/>
        <w:numPr>
          <w:ilvl w:val="0"/>
          <w:numId w:val="2"/>
        </w:numPr>
        <w:spacing w:after="18" w:before="0"/>
      </w:pPr>
      <w:r>
        <w:rPr>
          <w:rFonts w:ascii="Calibri" w:cs="Calibri" w:eastAsia="Calibri" w:hAnsi="Calibri"/>
          <w:color w:val="000000"/>
          <w:sz w:val="17"/>
          <w:szCs w:val="17"/>
        </w:rPr>
        <w:t xml:space="preserve">Built a system embedding audio messages in images using AES-256 and RSA encryption — demonstrating advanced applied cryptography and hands-on vulnerability research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pPr>
            <w:r>
              <w:rPr>
                <w:rFonts w:ascii="Calibri" w:cs="Calibri" w:eastAsia="Calibri" w:hAnsi="Calibri"/>
                <w:b/>
                <w:bCs/>
                <w:color w:val="000000"/>
                <w:sz w:val="18"/>
                <w:szCs w:val="18"/>
              </w:rPr>
              <w:t xml:space="preserve">Hierarchical LAN Network Design  –  Cisco Packet Tracer</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40"/>
              <w:jc w:val="right"/>
            </w:pPr>
            <w:r>
              <w:rPr>
                <w:rFonts w:ascii="Calibri" w:cs="Calibri" w:eastAsia="Calibri" w:hAnsi="Calibri"/>
                <w:i/>
                <w:iCs/>
                <w:color w:val="000000"/>
                <w:sz w:val="17"/>
                <w:szCs w:val="17"/>
              </w:rPr>
              <w:t xml:space="preserve">Sep 2025</w:t>
            </w:r>
          </w:p>
        </w:tc>
      </w:tr>
    </w:tbl>
    <w:p>
      <w:pPr>
        <w:spacing w:after="0" w:before="8"/>
      </w:pPr>
      <w:r>
        <w:rPr>
          <w:rFonts w:ascii="Calibri" w:cs="Calibri" w:eastAsia="Calibri" w:hAnsi="Calibri"/>
          <w:color w:val="000000"/>
          <w:sz w:val="18"/>
          <w:szCs w:val="18"/>
        </w:rPr>
        <w:t xml:space="preserve"/>
      </w:r>
    </w:p>
    <w:p>
      <w:pPr>
        <w:pStyle w:val="ListParagraph"/>
        <w:numPr>
          <w:ilvl w:val="0"/>
          <w:numId w:val="2"/>
        </w:numPr>
        <w:spacing w:after="18" w:before="0"/>
      </w:pPr>
      <w:r>
        <w:rPr>
          <w:rFonts w:ascii="Calibri" w:cs="Calibri" w:eastAsia="Calibri" w:hAnsi="Calibri"/>
          <w:color w:val="000000"/>
          <w:sz w:val="17"/>
          <w:szCs w:val="17"/>
        </w:rPr>
        <w:t xml:space="preserve">Designed a three-tier LAN architecture with VLAN segmentation, inter-VLAN routing, and HQ-branch connectivity — applying NIST-aligned security principles to reduce attack surface.</w:t>
      </w:r>
    </w:p>
    <w:sectPr>
      <w:pgSz w:w="12240" w:h="15840" w:orient="portrait"/>
      <w:pgMar w:top="540" w:right="800" w:bottom="5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8" w:before="0"/>
        <w:ind w:left="340" w:hanging="200"/>
      </w:pPr>
      <w:rPr>
        <w:rFonts w:ascii="Calibri" w:cs="Calibri" w:eastAsia="Calibri" w:hAnsi="Calibri"/>
        <w:color w:val="000000"/>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2026-06-10T17:01:56.814Z</dcterms:created>
  <dcterms:modified xsi:type="dcterms:W3CDTF">2026-06-10T17:01:56.834Z</dcterms:modified>
</cp:coreProperties>
</file>

<file path=docProps/custom.xml><?xml version="1.0" encoding="utf-8"?>
<Properties xmlns="http://schemas.openxmlformats.org/officeDocument/2006/custom-properties" xmlns:vt="http://schemas.openxmlformats.org/officeDocument/2006/docPropsVTypes"/>
</file>