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32436"/>
          <w:sz w:val="62"/>
          <w:szCs w:val="62"/>
        </w:rPr>
        <w:t xml:space="preserve">ORVYEN AGENTIC</w:t>
      </w:r>
    </w:p>
    <w:p>
      <w:pPr>
        <w:spacing w:after="0" w:before="160"/>
        <w:jc w:val="center"/>
      </w:pPr>
      <w:r>
        <w:rPr>
          <w:b/>
          <w:bCs/>
          <w:color w:val="1E7F72"/>
          <w:sz w:val="26"/>
          <w:szCs w:val="26"/>
        </w:rPr>
        <w:t xml:space="preserve">Static Security &amp; Compliance Scanning for AI Agents</w:t>
      </w:r>
    </w:p>
    <w:p>
      <w:pPr>
        <w:pBdr>
          <w:top w:val="single" w:color="C7CFD6" w:sz="6" w:space="12"/>
        </w:pBdr>
        <w:spacing w:after="0" w:before="500"/>
        <w:jc w:val="center"/>
      </w:pPr>
      <w:r>
        <w:rPr>
          <w:b/>
          <w:bCs/>
          <w:color w:val="5B6B7A"/>
          <w:sz w:val="20"/>
          <w:szCs w:val="20"/>
        </w:rPr>
        <w:t xml:space="preserve">COMPANY &amp; INVESTOR BRIEFING</w:t>
      </w:r>
    </w:p>
    <w:p>
      <w:pPr>
        <w:spacing w:after="60" w:before="700"/>
        <w:jc w:val="center"/>
      </w:pPr>
      <w:r>
        <w:rPr>
          <w:color w:val="1A1A1A"/>
          <w:sz w:val="20"/>
          <w:szCs w:val="20"/>
        </w:rPr>
        <w:t xml:space="preserve">Algorzen Pte. Ltd.  (Singapore — incorporation in progress)</w:t>
      </w:r>
    </w:p>
    <w:p>
      <w:pPr>
        <w:spacing w:after="20" w:before="20"/>
        <w:jc w:val="center"/>
      </w:pPr>
      <w:r>
        <w:rPr>
          <w:color w:val="1A1A1A"/>
          <w:sz w:val="20"/>
          <w:szCs w:val="20"/>
        </w:rPr>
        <w:t xml:space="preserve">Prepared by Ojas Singh, Founder</w:t>
      </w:r>
    </w:p>
    <w:p>
      <w:pPr>
        <w:spacing w:after="20" w:before="20"/>
        <w:jc w:val="center"/>
      </w:pPr>
      <w:r>
        <w:rPr>
          <w:color w:val="5B6B7A"/>
          <w:sz w:val="19"/>
          <w:szCs w:val="19"/>
        </w:rPr>
        <w:t xml:space="preserve">singh.ojas.555@gmail.com  |  +91 6374990641</w:t>
      </w:r>
    </w:p>
    <w:p>
      <w:pPr>
        <w:spacing w:after="0" w:before="1600"/>
        <w:jc w:val="center"/>
      </w:pPr>
      <w:r>
        <w:rPr>
          <w:i/>
          <w:iCs/>
          <w:color w:val="5B6B7A"/>
          <w:sz w:val="16"/>
          <w:szCs w:val="16"/>
        </w:rPr>
        <w:t xml:space="preserve">September 2026  ·  Confidential — prepared for discussion purposes only</w:t>
      </w:r>
    </w:p>
    <w:p>
      <w:r>
        <w:br w:type="page"/>
      </w:r>
    </w:p>
    <w:p>
      <w:pPr>
        <w:pStyle w:val="Heading1"/>
        <w:pBdr>
          <w:bottom w:val="single" w:color="1E7F72" w:sz="8" w:space="6"/>
        </w:pBdr>
        <w:spacing w:after="200" w:before="420"/>
      </w:pPr>
      <w:r>
        <w:rPr>
          <w:b/>
          <w:bCs/>
          <w:color w:val="132436"/>
          <w:sz w:val="30"/>
          <w:szCs w:val="30"/>
        </w:rPr>
        <w:t xml:space="preserve">1.  Executive Summary</w:t>
      </w:r>
    </w:p>
    <w:p>
      <w:pPr>
        <w:spacing w:after="160" w:line="300"/>
      </w:pPr>
      <w:r>
        <w:rPr>
          <w:i w:val="false"/>
          <w:iCs w:val="false"/>
          <w:color w:val="1A1A1A"/>
          <w:sz w:val="21"/>
          <w:szCs w:val="21"/>
        </w:rPr>
        <w:t xml:space="preserve">Orvyen Agentic is a static-analysis security and compliance scanner purpose-built for AI agent architectures — LangChain, LangGraph, CrewAI, and Model Context Protocol (MCP) deployments. It finds the vulnerabilities that live in an agent's code and configuration before that agent ever reaches production: over-permissioned tools, prompt-injection-vulnerable string handling, hardcoded credentials, unfiltered PII flowing into tool calls, and unbounded agent-to-agent recursion.</w:t>
      </w:r>
    </w:p>
    <w:p>
      <w:pPr>
        <w:spacing w:after="160" w:line="300"/>
      </w:pPr>
      <w:r>
        <w:rPr>
          <w:i w:val="false"/>
          <w:iCs w:val="false"/>
          <w:color w:val="1A1A1A"/>
          <w:sz w:val="21"/>
          <w:szCs w:val="21"/>
        </w:rPr>
        <w:t xml:space="preserve">The AI security market has grown quickly and is already acquisitive — more than 35 companies in the category have been acquired, 19 of them in 2026 alone — but that activity is concentrated almost entirely in runtime guardrails: tools that inspect traffic after an agent is already live. Static, pre-deployment analysis of agent architecture is comparatively open ground — the same role SAST tooling plays relative to runtime application security in traditional AppSec.</w:t>
      </w:r>
    </w:p>
    <w:p>
      <w:pPr>
        <w:spacing w:after="160" w:line="300"/>
      </w:pPr>
      <w:r>
        <w:rPr>
          <w:i w:val="false"/>
          <w:iCs w:val="false"/>
          <w:color w:val="1A1A1A"/>
          <w:sz w:val="21"/>
          <w:szCs w:val="21"/>
        </w:rPr>
        <w:t xml:space="preserve">Orvyen Agentic is not a from-scratch bet. It extends Orvyen, an already-published, adopted static-analysis engine for SQL/dbt pipelines (8 production checks, sub-100ms scans across 500 models, live on npm), built by a founder with two years in offensive security and active CTF competition, who has also independently built and shipped a four-product data intelligence suite — Eviden, Vigil, Pulse, and Helix — now used by 1,000+ monthly active users.</w:t>
      </w:r>
    </w:p>
    <w:p>
      <w:pPr>
        <w:spacing w:after="160" w:line="300"/>
      </w:pPr>
      <w:r>
        <w:rPr>
          <w:i w:val="false"/>
          <w:iCs w:val="false"/>
          <w:color w:val="1A1A1A"/>
          <w:sz w:val="21"/>
          <w:szCs w:val="21"/>
        </w:rPr>
        <w:t xml:space="preserve">The company is incorporating in Singapore, where a newly updated national framework for agentic AI governance (IMDA, May 2026) creates direct, immediate demand for exactly this kind of pre-deployment technical control — and where the founder intends to build toward a strategic acquisition by a developer-security or observability platform within 12–18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7CFD6" w:sz="4"/>
              <w:left w:val="single" w:color="C7CFD6" w:sz="4"/>
              <w:bottom w:val="single" w:color="C7CFD6" w:sz="4"/>
              <w:right w:val="single" w:color="C7CFD6" w:sz="4"/>
            </w:tcBorders>
            <w:shd w:fill="F4F6F8" w:color="auto" w:val="clear"/>
            <w:tcMar>
              <w:top w:type="dxa" w:w="180"/>
              <w:left w:type="dxa" w:w="120"/>
              <w:bottom w:type="dxa" w:w="180"/>
              <w:right w:type="dxa" w:w="120"/>
            </w:tcMar>
          </w:tcPr>
          <w:p>
            <w:pPr>
              <w:spacing w:after="40"/>
              <w:jc w:val="center"/>
            </w:pPr>
            <w:r>
              <w:rPr>
                <w:b/>
                <w:bCs/>
                <w:color w:val="1E7F72"/>
                <w:sz w:val="30"/>
                <w:szCs w:val="30"/>
              </w:rPr>
              <w:t xml:space="preserve">35+</w:t>
            </w:r>
          </w:p>
          <w:p>
            <w:pPr>
              <w:jc w:val="center"/>
            </w:pPr>
            <w:r>
              <w:rPr>
                <w:color w:val="5B6B7A"/>
                <w:sz w:val="17"/>
                <w:szCs w:val="17"/>
              </w:rPr>
              <w:t xml:space="preserve">AI security companies
acquired to date</w:t>
            </w:r>
          </w:p>
        </w:tc>
        <w:tc>
          <w:tcPr>
            <w:tcW w:type="dxa" w:w="2256"/>
            <w:tcBorders>
              <w:top w:val="single" w:color="C7CFD6" w:sz="4"/>
              <w:left w:val="single" w:color="C7CFD6" w:sz="4"/>
              <w:bottom w:val="single" w:color="C7CFD6" w:sz="4"/>
              <w:right w:val="single" w:color="C7CFD6" w:sz="4"/>
            </w:tcBorders>
            <w:shd w:fill="F4F6F8" w:color="auto" w:val="clear"/>
            <w:tcMar>
              <w:top w:type="dxa" w:w="180"/>
              <w:left w:type="dxa" w:w="120"/>
              <w:bottom w:type="dxa" w:w="180"/>
              <w:right w:type="dxa" w:w="120"/>
            </w:tcMar>
          </w:tcPr>
          <w:p>
            <w:pPr>
              <w:spacing w:after="40"/>
              <w:jc w:val="center"/>
            </w:pPr>
            <w:r>
              <w:rPr>
                <w:b/>
                <w:bCs/>
                <w:color w:val="1E7F72"/>
                <w:sz w:val="30"/>
                <w:szCs w:val="30"/>
              </w:rPr>
              <w:t xml:space="preserve">19</w:t>
            </w:r>
          </w:p>
          <w:p>
            <w:pPr>
              <w:jc w:val="center"/>
            </w:pPr>
            <w:r>
              <w:rPr>
                <w:color w:val="5B6B7A"/>
                <w:sz w:val="17"/>
                <w:szCs w:val="17"/>
              </w:rPr>
              <w:t xml:space="preserve">of those acquisitions
closed in 2026 alone</w:t>
            </w:r>
          </w:p>
        </w:tc>
        <w:tc>
          <w:tcPr>
            <w:tcW w:type="dxa" w:w="2256"/>
            <w:tcBorders>
              <w:top w:val="single" w:color="C7CFD6" w:sz="4"/>
              <w:left w:val="single" w:color="C7CFD6" w:sz="4"/>
              <w:bottom w:val="single" w:color="C7CFD6" w:sz="4"/>
              <w:right w:val="single" w:color="C7CFD6" w:sz="4"/>
            </w:tcBorders>
            <w:shd w:fill="F4F6F8" w:color="auto" w:val="clear"/>
            <w:tcMar>
              <w:top w:type="dxa" w:w="180"/>
              <w:left w:type="dxa" w:w="120"/>
              <w:bottom w:type="dxa" w:w="180"/>
              <w:right w:type="dxa" w:w="120"/>
            </w:tcMar>
          </w:tcPr>
          <w:p>
            <w:pPr>
              <w:spacing w:after="40"/>
              <w:jc w:val="center"/>
            </w:pPr>
            <w:r>
              <w:rPr>
                <w:b/>
                <w:bCs/>
                <w:color w:val="1E7F72"/>
                <w:sz w:val="30"/>
                <w:szCs w:val="30"/>
              </w:rPr>
              <w:t xml:space="preserve">76%</w:t>
            </w:r>
          </w:p>
          <w:p>
            <w:pPr>
              <w:jc w:val="center"/>
            </w:pPr>
            <w:r>
              <w:rPr>
                <w:color w:val="5B6B7A"/>
                <w:sz w:val="17"/>
                <w:szCs w:val="17"/>
              </w:rPr>
              <w:t xml:space="preserve">of AI security vendors are
run-time focused, not static</w:t>
            </w:r>
          </w:p>
        </w:tc>
        <w:tc>
          <w:tcPr>
            <w:tcW w:type="dxa" w:w="2256"/>
            <w:tcBorders>
              <w:top w:val="single" w:color="C7CFD6" w:sz="4"/>
              <w:left w:val="single" w:color="C7CFD6" w:sz="4"/>
              <w:bottom w:val="single" w:color="C7CFD6" w:sz="4"/>
              <w:right w:val="single" w:color="C7CFD6" w:sz="4"/>
            </w:tcBorders>
            <w:shd w:fill="F4F6F8" w:color="auto" w:val="clear"/>
            <w:tcMar>
              <w:top w:type="dxa" w:w="180"/>
              <w:left w:type="dxa" w:w="120"/>
              <w:bottom w:type="dxa" w:w="180"/>
              <w:right w:type="dxa" w:w="120"/>
            </w:tcMar>
          </w:tcPr>
          <w:p>
            <w:pPr>
              <w:spacing w:after="40"/>
              <w:jc w:val="center"/>
            </w:pPr>
            <w:r>
              <w:rPr>
                <w:b/>
                <w:bCs/>
                <w:color w:val="1E7F72"/>
                <w:sz w:val="30"/>
                <w:szCs w:val="30"/>
              </w:rPr>
              <w:t xml:space="preserve">4 wks</w:t>
            </w:r>
          </w:p>
          <w:p>
            <w:pPr>
              <w:jc w:val="center"/>
            </w:pPr>
            <w:r>
              <w:rPr>
                <w:color w:val="5B6B7A"/>
                <w:sz w:val="17"/>
                <w:szCs w:val="17"/>
              </w:rPr>
              <w:t xml:space="preserve">MVP build time from
existing Orvyen codebase</w:t>
            </w:r>
          </w:p>
        </w:tc>
      </w:tr>
    </w:tbl>
    <w:p>
      <w:pPr>
        <w:pStyle w:val="Heading1"/>
        <w:pBdr>
          <w:bottom w:val="single" w:color="1E7F72" w:sz="8" w:space="6"/>
        </w:pBdr>
        <w:spacing w:after="200" w:before="420"/>
      </w:pPr>
      <w:r>
        <w:rPr>
          <w:b/>
          <w:bCs/>
          <w:color w:val="132436"/>
          <w:sz w:val="30"/>
          <w:szCs w:val="30"/>
        </w:rPr>
        <w:t xml:space="preserve">2.  The Problem</w:t>
      </w:r>
    </w:p>
    <w:p>
      <w:pPr>
        <w:spacing w:after="160" w:line="300"/>
      </w:pPr>
      <w:r>
        <w:rPr>
          <w:i w:val="false"/>
          <w:iCs w:val="false"/>
          <w:color w:val="1A1A1A"/>
          <w:sz w:val="21"/>
          <w:szCs w:val="21"/>
        </w:rPr>
        <w:t xml:space="preserve">Agent frameworks let a language model call tools, retrieve documents, and take real actions autonomously. That autonomy is exactly what turns a text-generation bug into an action-taking bug: a successful prompt injection no longer just produces bad output — it can trigger a real tool call. A database write. An email sent. A refund issued. An invoice auto-approved. The blast radius of an AI security bug changed the moment agents started acting on the world instead of only describing it.</w:t>
      </w:r>
    </w:p>
    <w:p>
      <w:pPr>
        <w:pStyle w:val="Heading2"/>
        <w:spacing w:after="140" w:before="280"/>
      </w:pPr>
      <w:r>
        <w:rPr>
          <w:b/>
          <w:bCs/>
          <w:color w:val="1E7F72"/>
          <w:sz w:val="24"/>
          <w:szCs w:val="24"/>
        </w:rPr>
        <w:t xml:space="preserve">The failure modes nobody is scanning for pre-deployment</w:t>
      </w:r>
    </w:p>
    <w:p>
      <w:pPr>
        <w:pStyle w:val="ListParagraph"/>
        <w:numPr>
          <w:ilvl w:val="0"/>
          <w:numId w:val="2"/>
        </w:numPr>
        <w:spacing w:after="100" w:line="280"/>
      </w:pPr>
      <w:r>
        <w:rPr>
          <w:b/>
          <w:bCs/>
          <w:color w:val="132436"/>
          <w:sz w:val="21"/>
          <w:szCs w:val="21"/>
        </w:rPr>
        <w:t xml:space="preserve">Tool over-permissioning — </w:t>
      </w:r>
      <w:r>
        <w:rPr>
          <w:sz w:val="21"/>
          <w:szCs w:val="21"/>
        </w:rPr>
        <w:t xml:space="preserve">agents routinely given broader read/write/delete scope than the task requires, because scoping tool access is manual and easy to skip under deadline pressure.</w:t>
      </w:r>
    </w:p>
    <w:p>
      <w:pPr>
        <w:pStyle w:val="ListParagraph"/>
        <w:numPr>
          <w:ilvl w:val="0"/>
          <w:numId w:val="2"/>
        </w:numPr>
        <w:spacing w:after="100" w:line="280"/>
      </w:pPr>
      <w:r>
        <w:rPr>
          <w:b/>
          <w:bCs/>
          <w:color w:val="132436"/>
          <w:sz w:val="21"/>
          <w:szCs w:val="21"/>
        </w:rPr>
        <w:t xml:space="preserve">Prompt-injection-vulnerable construction — </w:t>
      </w:r>
      <w:r>
        <w:rPr>
          <w:sz w:val="21"/>
          <w:szCs w:val="21"/>
        </w:rPr>
        <w:t xml:space="preserve">unsanitized user or retrieved content concatenated directly into system prompts, the single most common root cause behind both direct and indirect injection attacks.</w:t>
      </w:r>
    </w:p>
    <w:p>
      <w:pPr>
        <w:pStyle w:val="ListParagraph"/>
        <w:numPr>
          <w:ilvl w:val="0"/>
          <w:numId w:val="2"/>
        </w:numPr>
        <w:spacing w:after="100" w:line="280"/>
      </w:pPr>
      <w:r>
        <w:rPr>
          <w:b/>
          <w:bCs/>
          <w:color w:val="132436"/>
          <w:sz w:val="21"/>
          <w:szCs w:val="21"/>
        </w:rPr>
        <w:t xml:space="preserve">Hardcoded secrets in agent config — </w:t>
      </w:r>
      <w:r>
        <w:rPr>
          <w:sz w:val="21"/>
          <w:szCs w:val="21"/>
        </w:rPr>
        <w:t xml:space="preserve">API keys and credentials checked into LangChain/LangGraph configuration files the same way they used to be checked into application code a decade ago.</w:t>
      </w:r>
    </w:p>
    <w:p>
      <w:pPr>
        <w:pStyle w:val="ListParagraph"/>
        <w:numPr>
          <w:ilvl w:val="0"/>
          <w:numId w:val="2"/>
        </w:numPr>
        <w:spacing w:after="100" w:line="280"/>
      </w:pPr>
      <w:r>
        <w:rPr>
          <w:b/>
          <w:bCs/>
          <w:color w:val="132436"/>
          <w:sz w:val="21"/>
          <w:szCs w:val="21"/>
        </w:rPr>
        <w:t xml:space="preserve">Unfiltered PII into tool calls and logs — </w:t>
      </w:r>
      <w:r>
        <w:rPr>
          <w:sz w:val="21"/>
          <w:szCs w:val="21"/>
        </w:rPr>
        <w:t xml:space="preserve">personal data flowing into third-party tool calls and observability logs with no redaction layer in between.</w:t>
      </w:r>
    </w:p>
    <w:p>
      <w:pPr>
        <w:pStyle w:val="ListParagraph"/>
        <w:numPr>
          <w:ilvl w:val="0"/>
          <w:numId w:val="2"/>
        </w:numPr>
        <w:spacing w:after="100" w:line="280"/>
      </w:pPr>
      <w:r>
        <w:rPr>
          <w:b/>
          <w:bCs/>
          <w:color w:val="132436"/>
          <w:sz w:val="21"/>
          <w:szCs w:val="21"/>
        </w:rPr>
        <w:t xml:space="preserve">Unbounded agent-to-agent recursion — </w:t>
      </w:r>
      <w:r>
        <w:rPr>
          <w:sz w:val="21"/>
          <w:szCs w:val="21"/>
        </w:rPr>
        <w:t xml:space="preserve">multi-agent systems with no circuit breaker on recursive delegation, a resource-exhaustion and runaway-cost risk as much as a security one.</w:t>
      </w:r>
    </w:p>
    <w:p>
      <w:pPr>
        <w:pStyle w:val="ListParagraph"/>
        <w:numPr>
          <w:ilvl w:val="0"/>
          <w:numId w:val="2"/>
        </w:numPr>
        <w:spacing w:after="100" w:line="280"/>
      </w:pPr>
      <w:r>
        <w:rPr>
          <w:b/>
          <w:bCs/>
          <w:color w:val="132436"/>
          <w:sz w:val="21"/>
          <w:szCs w:val="21"/>
        </w:rPr>
        <w:t xml:space="preserve">Orphaned, undocumented tools and MCP servers — </w:t>
      </w:r>
      <w:r>
        <w:rPr>
          <w:sz w:val="21"/>
          <w:szCs w:val="21"/>
        </w:rPr>
        <w:t xml:space="preserve">tools wired into an agent during a prototype phase and never removed, left reachable in production with no owner and no review trail.</w:t>
      </w:r>
    </w:p>
    <w:p>
      <w:pPr>
        <w:pStyle w:val="Heading2"/>
        <w:spacing w:after="140" w:before="280"/>
      </w:pPr>
      <w:r>
        <w:rPr>
          <w:b/>
          <w:bCs/>
          <w:color w:val="1E7F72"/>
          <w:sz w:val="24"/>
          <w:szCs w:val="24"/>
        </w:rPr>
        <w:t xml:space="preserve">Where today's tooling stops</w:t>
      </w:r>
    </w:p>
    <w:p>
      <w:pPr>
        <w:spacing w:after="160" w:line="300"/>
      </w:pPr>
      <w:r>
        <w:rPr>
          <w:i w:val="false"/>
          <w:iCs w:val="false"/>
          <w:color w:val="1A1A1A"/>
          <w:sz w:val="21"/>
          <w:szCs w:val="21"/>
        </w:rPr>
        <w:t xml:space="preserve">Most commercial AI security products — Lakera, Prompt Security, and the runtime guardrail layer Snyk built through its acquisition of Invariant Labs — operate at runtime: they inspect a live prompt or a live tool call and decide, in milliseconds, whether to block it. That is necessary, and it works. But it is also downstream. Nothing in mainstream use today treats an agent's source code and configuration the way SAST tools treat application code: scanned automatically, in CI, before a single line of it runs in production. Orvyen Agentic is built to sit in that gap.</w:t>
      </w:r>
    </w:p>
    <w:p>
      <w:pPr>
        <w:pStyle w:val="Heading1"/>
        <w:pBdr>
          <w:bottom w:val="single" w:color="1E7F72" w:sz="8" w:space="6"/>
        </w:pBdr>
        <w:spacing w:after="200" w:before="420"/>
      </w:pPr>
      <w:r>
        <w:rPr>
          <w:b/>
          <w:bCs/>
          <w:color w:val="132436"/>
          <w:sz w:val="30"/>
          <w:szCs w:val="30"/>
        </w:rPr>
        <w:t xml:space="preserve">3.  The Solution — Orvyen Agentic</w:t>
      </w:r>
    </w:p>
    <w:p>
      <w:pPr>
        <w:spacing w:after="160" w:line="300"/>
      </w:pPr>
      <w:r>
        <w:rPr>
          <w:i w:val="false"/>
          <w:iCs w:val="false"/>
          <w:color w:val="1A1A1A"/>
          <w:sz w:val="21"/>
          <w:szCs w:val="21"/>
        </w:rPr>
        <w:t xml:space="preserve">Orvyen Agentic is a CLI-first static analyzer with a CI/CD-native SaaS layer on top. It parses an agent codebase and its MCP manifests the same way Orvyen already parses a dbt project graph, then runs an agent-specific rule pack against that structure — catching the failure modes above before code merges, not after an incident.</w:t>
      </w:r>
    </w:p>
    <w:p>
      <w:pPr>
        <w:pStyle w:val="Heading2"/>
        <w:spacing w:after="140" w:before="280"/>
      </w:pPr>
      <w:r>
        <w:rPr>
          <w:b/>
          <w:bCs/>
          <w:color w:val="1E7F72"/>
          <w:sz w:val="24"/>
          <w:szCs w:val="24"/>
        </w:rPr>
        <w:t xml:space="preserve">The rule pack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Check</w:t>
            </w:r>
          </w:p>
        </w:tc>
        <w:tc>
          <w:tcPr>
            <w:tcW w:type="dxa" w:w="5826"/>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What it catches</w:t>
            </w:r>
          </w:p>
        </w:tc>
      </w:tr>
      <w:tr>
        <w:tc>
          <w:tcPr>
            <w:tcW w:type="dxa" w:w="32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Tool permission scope</w:t>
            </w:r>
          </w:p>
        </w:tc>
        <w:tc>
          <w:tcPr>
            <w:tcW w:type="dxa" w:w="58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Tools granted broader access than their declared purpose requires</w:t>
            </w:r>
          </w:p>
        </w:tc>
      </w:tr>
      <w:tr>
        <w:tc>
          <w:tcPr>
            <w:tcW w:type="dxa" w:w="32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Injection surface detection</w:t>
            </w:r>
          </w:p>
        </w:tc>
        <w:tc>
          <w:tcPr>
            <w:tcW w:type="dxa" w:w="58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Unsanitized input concatenated directly into system prompts</w:t>
            </w:r>
          </w:p>
        </w:tc>
      </w:tr>
      <w:tr>
        <w:tc>
          <w:tcPr>
            <w:tcW w:type="dxa" w:w="32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Hardcoded secrets</w:t>
            </w:r>
          </w:p>
        </w:tc>
        <w:tc>
          <w:tcPr>
            <w:tcW w:type="dxa" w:w="58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API keys, tokens, and credentials committed into agent config</w:t>
            </w:r>
          </w:p>
        </w:tc>
      </w:tr>
      <w:tr>
        <w:tc>
          <w:tcPr>
            <w:tcW w:type="dxa" w:w="32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PII flow tracing</w:t>
            </w:r>
          </w:p>
        </w:tc>
        <w:tc>
          <w:tcPr>
            <w:tcW w:type="dxa" w:w="58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Personal data reaching tool calls or logs without a redaction step</w:t>
            </w:r>
          </w:p>
        </w:tc>
      </w:tr>
      <w:tr>
        <w:tc>
          <w:tcPr>
            <w:tcW w:type="dxa" w:w="32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Recursion bounds</w:t>
            </w:r>
          </w:p>
        </w:tc>
        <w:tc>
          <w:tcPr>
            <w:tcW w:type="dxa" w:w="58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Agent-to-agent delegation with no depth or cost circuit breaker</w:t>
            </w:r>
          </w:p>
        </w:tc>
      </w:tr>
      <w:tr>
        <w:tc>
          <w:tcPr>
            <w:tcW w:type="dxa" w:w="32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Orphaned tools</w:t>
            </w:r>
          </w:p>
        </w:tc>
        <w:tc>
          <w:tcPr>
            <w:tcW w:type="dxa" w:w="58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Tools and MCP servers wired in but no longer referenced or owned</w:t>
            </w:r>
          </w:p>
        </w:tc>
      </w:tr>
      <w:tr>
        <w:tc>
          <w:tcPr>
            <w:tcW w:type="dxa" w:w="32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Rate-limit coverage</w:t>
            </w:r>
          </w:p>
        </w:tc>
        <w:tc>
          <w:tcPr>
            <w:tcW w:type="dxa" w:w="58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Autonomous loops missing a rate limit or step budget</w:t>
            </w:r>
          </w:p>
        </w:tc>
      </w:tr>
      <w:tr>
        <w:tc>
          <w:tcPr>
            <w:tcW w:type="dxa" w:w="32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Audit logging</w:t>
            </w:r>
          </w:p>
        </w:tc>
        <w:tc>
          <w:tcPr>
            <w:tcW w:type="dxa" w:w="58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Tool calls executing with no logged record of what was invoked and why</w:t>
            </w:r>
          </w:p>
        </w:tc>
      </w:tr>
    </w:tbl>
    <w:p>
      <w:pPr>
        <w:spacing w:after="260" w:before="100"/>
        <w:jc w:val="center"/>
      </w:pPr>
      <w:r>
        <w:rPr>
          <w:i/>
          <w:iCs/>
          <w:color w:val="5B6B7A"/>
          <w:sz w:val="18"/>
          <w:szCs w:val="18"/>
        </w:rPr>
        <w:t xml:space="preserve">Table 1 — Orvyen Agentic's initial rule pack, extending Orvyen's existing 8-check architecture into agent code.</w:t>
      </w:r>
    </w:p>
    <w:p>
      <w:pPr>
        <w:pStyle w:val="Heading2"/>
        <w:spacing w:after="140" w:before="280"/>
      </w:pPr>
      <w:r>
        <w:rPr>
          <w:b/>
          <w:bCs/>
          <w:color w:val="1E7F72"/>
          <w:sz w:val="24"/>
          <w:szCs w:val="24"/>
        </w:rPr>
        <w:t xml:space="preserve">The compliance artifact: Agent Bill of Materials (AIBOM)</w:t>
      </w:r>
    </w:p>
    <w:p>
      <w:pPr>
        <w:spacing w:after="160" w:line="300"/>
      </w:pPr>
      <w:r>
        <w:rPr>
          <w:i w:val="false"/>
          <w:iCs w:val="false"/>
          <w:color w:val="1A1A1A"/>
          <w:sz w:val="21"/>
          <w:szCs w:val="21"/>
        </w:rPr>
        <w:t xml:space="preserve">Every scan also produces an Agent Bill of Materials — an inventory of every tool, permission, and data flow in the agent, auto-mapped to the OWASP LLM Top 10 and to the four-pillar structure of Singapore's Model AI Governance Framework for Agentic AI. A compliance officer can hand this directly to an internal auditor or an MAS reviewer without commissioning a separate consulting engagement. This is the same conceptual move SBOMs made for software supply-chain security, applied to the agent layer — a framing Snyk's own research already uses to describe where the category is heading.</w:t>
      </w:r>
    </w:p>
    <w:p>
      <w:pPr>
        <w:pStyle w:val="Heading2"/>
        <w:spacing w:after="140" w:before="280"/>
      </w:pPr>
      <w:r>
        <w:rPr>
          <w:b/>
          <w:bCs/>
          <w:color w:val="1E7F72"/>
          <w:sz w:val="24"/>
          <w:szCs w:val="24"/>
        </w:rPr>
        <w:t xml:space="preserve">Output formats</w:t>
      </w:r>
    </w:p>
    <w:p>
      <w:pPr>
        <w:pStyle w:val="ListParagraph"/>
        <w:numPr>
          <w:ilvl w:val="0"/>
          <w:numId w:val="2"/>
        </w:numPr>
        <w:spacing w:after="100" w:line="280"/>
      </w:pPr>
      <w:r>
        <w:rPr>
          <w:sz w:val="21"/>
          <w:szCs w:val="21"/>
        </w:rPr>
        <w:t xml:space="preserve">Terminal output for local development (pass/fail, inline)</w:t>
      </w:r>
    </w:p>
    <w:p>
      <w:pPr>
        <w:pStyle w:val="ListParagraph"/>
        <w:numPr>
          <w:ilvl w:val="0"/>
          <w:numId w:val="2"/>
        </w:numPr>
        <w:spacing w:after="100" w:line="280"/>
      </w:pPr>
      <w:r>
        <w:rPr>
          <w:sz w:val="21"/>
          <w:szCs w:val="21"/>
        </w:rPr>
        <w:t xml:space="preserve">JSON and HTML reports for CI/CD pipelines and dashboards</w:t>
      </w:r>
    </w:p>
    <w:p>
      <w:pPr>
        <w:pStyle w:val="ListParagraph"/>
        <w:numPr>
          <w:ilvl w:val="0"/>
          <w:numId w:val="2"/>
        </w:numPr>
        <w:spacing w:after="100" w:line="280"/>
      </w:pPr>
      <w:r>
        <w:rPr>
          <w:sz w:val="21"/>
          <w:szCs w:val="21"/>
        </w:rPr>
        <w:t xml:space="preserve">AIBOM PDF for compliance and audit handoff</w:t>
      </w:r>
    </w:p>
    <w:p>
      <w:pPr>
        <w:pStyle w:val="ListParagraph"/>
        <w:numPr>
          <w:ilvl w:val="0"/>
          <w:numId w:val="2"/>
        </w:numPr>
        <w:spacing w:after="100" w:line="280"/>
      </w:pPr>
      <w:r>
        <w:rPr>
          <w:sz w:val="21"/>
          <w:szCs w:val="21"/>
        </w:rPr>
        <w:t xml:space="preserve">Slack/webhook alerts for the paid CI tier</w:t>
      </w:r>
    </w:p>
    <w:p>
      <w:r>
        <w:br w:type="page"/>
      </w:r>
    </w:p>
    <w:p>
      <w:pPr>
        <w:pStyle w:val="Heading1"/>
        <w:pBdr>
          <w:bottom w:val="single" w:color="1E7F72" w:sz="8" w:space="6"/>
        </w:pBdr>
        <w:spacing w:after="200" w:before="420"/>
      </w:pPr>
      <w:r>
        <w:rPr>
          <w:b/>
          <w:bCs/>
          <w:color w:val="132436"/>
          <w:sz w:val="30"/>
          <w:szCs w:val="30"/>
        </w:rPr>
        <w:t xml:space="preserve">4.  Why Now</w:t>
      </w:r>
    </w:p>
    <w:p>
      <w:pPr>
        <w:pStyle w:val="Heading2"/>
        <w:spacing w:after="140" w:before="280"/>
      </w:pPr>
      <w:r>
        <w:rPr>
          <w:b/>
          <w:bCs/>
          <w:color w:val="1E7F72"/>
          <w:sz w:val="24"/>
          <w:szCs w:val="24"/>
        </w:rPr>
        <w:t xml:space="preserve">Regulatory tailwind</w:t>
      </w:r>
    </w:p>
    <w:p>
      <w:pPr>
        <w:pStyle w:val="ListParagraph"/>
        <w:numPr>
          <w:ilvl w:val="0"/>
          <w:numId w:val="2"/>
        </w:numPr>
        <w:spacing w:after="100" w:line="280"/>
      </w:pPr>
      <w:r>
        <w:rPr>
          <w:b/>
          <w:bCs/>
          <w:color w:val="132436"/>
          <w:sz w:val="21"/>
          <w:szCs w:val="21"/>
        </w:rPr>
        <w:t xml:space="preserve">Singapore — Model AI Governance Framework for Agentic AI (IMDA, v1.5, May 20 2026): </w:t>
      </w:r>
      <w:r>
        <w:rPr>
          <w:sz w:val="21"/>
          <w:szCs w:val="21"/>
        </w:rPr>
        <w:t xml:space="preserve">updated with real-world case studies, retains a four-pillar structure — assess and bound risk upfront, make humans meaningfully accountable, implement technical controls, enable end-user responsibility. “Technical controls” is a direct demand signal for pre-deployment scanning.</w:t>
      </w:r>
    </w:p>
    <w:p>
      <w:pPr>
        <w:pStyle w:val="ListParagraph"/>
        <w:numPr>
          <w:ilvl w:val="0"/>
          <w:numId w:val="2"/>
        </w:numPr>
        <w:spacing w:after="100" w:line="280"/>
      </w:pPr>
      <w:r>
        <w:rPr>
          <w:b/>
          <w:bCs/>
          <w:color w:val="132436"/>
          <w:sz w:val="21"/>
          <w:szCs w:val="21"/>
        </w:rPr>
        <w:t xml:space="preserve">Singapore — MAS AI Risk Management Guidelines (Nov 2025): </w:t>
      </w:r>
      <w:r>
        <w:rPr>
          <w:sz w:val="21"/>
          <w:szCs w:val="21"/>
        </w:rPr>
        <w:t xml:space="preserve">apply to all MAS-regulated financial institutions, require a comprehensive AI inventory and board-level oversight, and explicitly extend to third-party AI tools — institutions cannot outsource governance to a vendor and walk away.</w:t>
      </w:r>
    </w:p>
    <w:p>
      <w:pPr>
        <w:pStyle w:val="ListParagraph"/>
        <w:numPr>
          <w:ilvl w:val="0"/>
          <w:numId w:val="2"/>
        </w:numPr>
        <w:spacing w:after="100" w:line="280"/>
      </w:pPr>
      <w:r>
        <w:rPr>
          <w:b/>
          <w:bCs/>
          <w:color w:val="132436"/>
          <w:sz w:val="21"/>
          <w:szCs w:val="21"/>
        </w:rPr>
        <w:t xml:space="preserve">Global — EU AI Act GPAI rules: </w:t>
      </w:r>
      <w:r>
        <w:rPr>
          <w:sz w:val="21"/>
          <w:szCs w:val="21"/>
        </w:rPr>
        <w:t xml:space="preserve">in effect since August 2025, part of a broader regulatory convergence that makes “show your AI governance evidence” an increasingly normal procurement question, not a niche one.</w:t>
      </w:r>
    </w:p>
    <w:p>
      <w:pPr>
        <w:pStyle w:val="Heading2"/>
        <w:spacing w:after="140" w:before="280"/>
      </w:pPr>
      <w:r>
        <w:rPr>
          <w:b/>
          <w:bCs/>
          <w:color w:val="1E7F72"/>
          <w:sz w:val="24"/>
          <w:szCs w:val="24"/>
        </w:rPr>
        <w:t xml:space="preserve">Market validation: this category is already exit-active</w:t>
      </w:r>
    </w:p>
    <w:p>
      <w:pPr>
        <w:spacing w:after="160" w:line="300"/>
      </w:pPr>
      <w:r>
        <w:rPr>
          <w:i w:val="false"/>
          <w:iCs w:val="false"/>
          <w:color w:val="1A1A1A"/>
          <w:sz w:val="21"/>
          <w:szCs w:val="21"/>
        </w:rPr>
        <w:t xml:space="preserve">AI security is not a hypothetical category waiting for its first exit — it already has a visible acquisition cadence:</w:t>
      </w:r>
    </w:p>
    <w:p>
      <w:pPr>
        <w:pStyle w:val="ListParagraph"/>
        <w:numPr>
          <w:ilvl w:val="0"/>
          <w:numId w:val="2"/>
        </w:numPr>
        <w:spacing w:after="100" w:line="280"/>
      </w:pPr>
      <w:r>
        <w:rPr>
          <w:b/>
          <w:bCs/>
          <w:color w:val="132436"/>
          <w:sz w:val="21"/>
          <w:szCs w:val="21"/>
        </w:rPr>
        <w:t xml:space="preserve">Lakera → Check Point, </w:t>
      </w:r>
      <w:r>
        <w:rPr>
          <w:sz w:val="21"/>
          <w:szCs w:val="21"/>
        </w:rPr>
        <w:t xml:space="preserve">September 2025 — a direct comparable, acquired to anchor Check Point's AI security platform.</w:t>
      </w:r>
    </w:p>
    <w:p>
      <w:pPr>
        <w:pStyle w:val="ListParagraph"/>
        <w:numPr>
          <w:ilvl w:val="0"/>
          <w:numId w:val="2"/>
        </w:numPr>
        <w:spacing w:after="100" w:line="280"/>
      </w:pPr>
      <w:r>
        <w:rPr>
          <w:b/>
          <w:bCs/>
          <w:color w:val="132436"/>
          <w:sz w:val="21"/>
          <w:szCs w:val="21"/>
        </w:rPr>
        <w:t xml:space="preserve">Invariant Labs → Snyk, </w:t>
      </w:r>
      <w:r>
        <w:rPr>
          <w:sz w:val="21"/>
          <w:szCs w:val="21"/>
        </w:rPr>
        <w:t xml:space="preserve">June 2025 — bought specifically for agentic AI threat research and guardrails, folded into Snyk's AI Trust Platform.</w:t>
      </w:r>
    </w:p>
    <w:p>
      <w:pPr>
        <w:pStyle w:val="ListParagraph"/>
        <w:numPr>
          <w:ilvl w:val="0"/>
          <w:numId w:val="2"/>
        </w:numPr>
        <w:spacing w:after="100" w:line="280"/>
      </w:pPr>
      <w:r>
        <w:rPr>
          <w:b/>
          <w:bCs/>
          <w:color w:val="132436"/>
          <w:sz w:val="21"/>
          <w:szCs w:val="21"/>
        </w:rPr>
        <w:t xml:space="preserve">Probely → Snyk, </w:t>
      </w:r>
      <w:r>
        <w:rPr>
          <w:sz w:val="21"/>
          <w:szCs w:val="21"/>
        </w:rPr>
        <w:t xml:space="preserve">November 2024 — API security testing, acquired as AI-native application usage grew.</w:t>
      </w:r>
    </w:p>
    <w:p>
      <w:pPr>
        <w:pStyle w:val="ListParagraph"/>
        <w:numPr>
          <w:ilvl w:val="0"/>
          <w:numId w:val="2"/>
        </w:numPr>
        <w:spacing w:after="100" w:line="280"/>
      </w:pPr>
      <w:r>
        <w:rPr>
          <w:b/>
          <w:bCs/>
          <w:color w:val="132436"/>
          <w:sz w:val="21"/>
          <w:szCs w:val="21"/>
        </w:rPr>
        <w:t xml:space="preserve">Metaplane → Datadog</w:t>
      </w:r>
      <w:r>
        <w:rPr>
          <w:b w:val="false"/>
          <w:bCs w:val="false"/>
          <w:sz w:val="21"/>
          <w:szCs w:val="21"/>
        </w:rPr>
        <w:t xml:space="preserve"> and </w:t>
      </w:r>
      <w:r>
        <w:rPr>
          <w:b/>
          <w:bCs/>
          <w:color w:val="132436"/>
          <w:sz w:val="21"/>
          <w:szCs w:val="21"/>
        </w:rPr>
        <w:t xml:space="preserve">Eppo → Datadog, </w:t>
      </w:r>
      <w:r>
        <w:rPr>
          <w:b w:val="false"/>
          <w:bCs w:val="false"/>
          <w:sz w:val="21"/>
          <w:szCs w:val="21"/>
        </w:rPr>
        <w:t xml:space="preserve">April–May 2025 — data observability and experimentation tooling folded into Datadog's platform.</w:t>
      </w:r>
    </w:p>
    <w:p>
      <w:pPr>
        <w:spacing w:after="160" w:line="300"/>
      </w:pPr>
      <w:r>
        <w:rPr>
          <w:i w:val="false"/>
          <w:iCs w:val="false"/>
          <w:color w:val="1A1A1A"/>
          <w:sz w:val="21"/>
          <w:szCs w:val="21"/>
        </w:rPr>
        <w:t xml:space="preserve">Across the category: 35 companies acquired to date, 19 of those acquisitions in 2026 alone, with 76% of vendors concentrated in the US or Israel — and almost all of them building runtime guardrails rather than pre-deployment static analysis. That concentration is the opening.</w:t>
      </w:r>
    </w:p>
    <w:p>
      <w:pPr>
        <w:pStyle w:val="Heading1"/>
        <w:pBdr>
          <w:bottom w:val="single" w:color="1E7F72" w:sz="8" w:space="6"/>
        </w:pBdr>
        <w:spacing w:after="200" w:before="420"/>
      </w:pPr>
      <w:r>
        <w:rPr>
          <w:b/>
          <w:bCs/>
          <w:color w:val="132436"/>
          <w:sz w:val="30"/>
          <w:szCs w:val="30"/>
        </w:rPr>
        <w:t xml:space="preserve">5.  Product Architecture</w:t>
      </w:r>
    </w:p>
    <w:p>
      <w:pPr>
        <w:spacing w:after="160" w:line="300"/>
      </w:pPr>
      <w:r>
        <w:rPr>
          <w:i w:val="false"/>
          <w:iCs w:val="false"/>
          <w:color w:val="1A1A1A"/>
          <w:sz w:val="21"/>
          <w:szCs w:val="21"/>
        </w:rPr>
        <w:t xml:space="preserve">Orvyen Agentic is a three-stage pipeline: parse the agent's code and configuration, run it through an agent-aware rule pack, and emit outputs shaped for both developers and compliance reviewers.</w:t>
      </w:r>
    </w:p>
    <w:p>
      <w:pPr>
        <w:spacing w:after="80" w:before="200"/>
        <w:jc w:val="center"/>
      </w:pPr>
      <w:r>
        <w:drawing>
          <wp:inline distT="0" distB="0" distL="0" distR="0">
            <wp:extent cx="5905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43200"/>
                    </a:xfrm>
                    <a:prstGeom prst="rect">
                      <a:avLst/>
                    </a:prstGeom>
                  </pic:spPr>
                </pic:pic>
              </a:graphicData>
            </a:graphic>
          </wp:inline>
        </w:drawing>
      </w:r>
    </w:p>
    <w:p>
      <w:pPr>
        <w:spacing w:after="260" w:before="100"/>
        <w:jc w:val="center"/>
      </w:pPr>
      <w:r>
        <w:rPr>
          <w:i/>
          <w:iCs/>
          <w:color w:val="5B6B7A"/>
          <w:sz w:val="18"/>
          <w:szCs w:val="18"/>
        </w:rPr>
        <w:t xml:space="preserve">Figure 1 — Orvyen Agentic pipeline: inputs, engine, outputs.</w:t>
      </w:r>
    </w:p>
    <w:p>
      <w:pPr>
        <w:spacing w:after="160" w:line="300"/>
      </w:pPr>
      <w:r>
        <w:rPr>
          <w:i w:val="false"/>
          <w:iCs w:val="false"/>
          <w:color w:val="1A1A1A"/>
          <w:sz w:val="21"/>
          <w:szCs w:val="21"/>
        </w:rPr>
        <w:t xml:space="preserve">The parser layer is a fork of Orvyen's existing AST engine, extended with LangChain/LangGraph Python parsing and a JSON/YAML parser for MCP server manifests. Because the underlying engine already handles graph-structured code (dbt model DAGs) at sub-100ms for 500 models, extending it to agent graphs is additive work on a proven core — not a new engine written from zero.</w:t>
      </w:r>
    </w:p>
    <w:p>
      <w:pPr>
        <w:pStyle w:val="Heading1"/>
        <w:pBdr>
          <w:bottom w:val="single" w:color="1E7F72" w:sz="8" w:space="6"/>
        </w:pBdr>
        <w:spacing w:after="200" w:before="420"/>
      </w:pPr>
      <w:r>
        <w:rPr>
          <w:b/>
          <w:bCs/>
          <w:color w:val="132436"/>
          <w:sz w:val="30"/>
          <w:szCs w:val="30"/>
        </w:rPr>
        <w:t xml:space="preserve">6.  Competitive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13"/>
        <w:gridCol w:w="2013"/>
      </w:tblGrid>
      <w:tr>
        <w:trPr>
          <w:tblHeader/>
        </w:trPr>
        <w:tc>
          <w:tcPr>
            <w:tcW w:type="dxa" w:w="24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
            </w:r>
          </w:p>
        </w:tc>
        <w:tc>
          <w:tcPr>
            <w:tcW w:type="dxa" w:w="24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Layer</w:t>
            </w:r>
          </w:p>
        </w:tc>
        <w:tc>
          <w:tcPr>
            <w:tcW w:type="dxa" w:w="2213"/>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Agent-aware</w:t>
            </w:r>
          </w:p>
        </w:tc>
        <w:tc>
          <w:tcPr>
            <w:tcW w:type="dxa" w:w="2013"/>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Pre-deployment</w:t>
            </w:r>
          </w:p>
        </w:tc>
      </w:tr>
      <w:tr>
        <w:tc>
          <w:tcPr>
            <w:tcW w:type="dxa" w:w="24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Lakera / Prompt Security</w:t>
            </w:r>
          </w:p>
        </w:tc>
        <w:tc>
          <w:tcPr>
            <w:tcW w:type="dxa" w:w="24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Runtime guardrail</w:t>
            </w:r>
          </w:p>
        </w:tc>
        <w:tc>
          <w:tcPr>
            <w:tcW w:type="dxa" w:w="2213"/>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Partial</w:t>
            </w:r>
          </w:p>
        </w:tc>
        <w:tc>
          <w:tcPr>
            <w:tcW w:type="dxa" w:w="2013"/>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No</w:t>
            </w:r>
          </w:p>
        </w:tc>
      </w:tr>
      <w:tr>
        <w:tc>
          <w:tcPr>
            <w:tcW w:type="dxa" w:w="24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Snyk (Invariant Labs)</w:t>
            </w:r>
          </w:p>
        </w:tc>
        <w:tc>
          <w:tcPr>
            <w:tcW w:type="dxa" w:w="24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Runtime + SDLC</w:t>
            </w:r>
          </w:p>
        </w:tc>
        <w:tc>
          <w:tcPr>
            <w:tcW w:type="dxa" w:w="2213"/>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Yes</w:t>
            </w:r>
          </w:p>
        </w:tc>
        <w:tc>
          <w:tcPr>
            <w:tcW w:type="dxa" w:w="2013"/>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Partial</w:t>
            </w:r>
          </w:p>
        </w:tc>
      </w:tr>
      <w:tr>
        <w:tc>
          <w:tcPr>
            <w:tcW w:type="dxa" w:w="24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Snyk Code / Checkmarx</w:t>
            </w:r>
          </w:p>
        </w:tc>
        <w:tc>
          <w:tcPr>
            <w:tcW w:type="dxa" w:w="24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SAST (app code)</w:t>
            </w:r>
          </w:p>
        </w:tc>
        <w:tc>
          <w:tcPr>
            <w:tcW w:type="dxa" w:w="2213"/>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No</w:t>
            </w:r>
          </w:p>
        </w:tc>
        <w:tc>
          <w:tcPr>
            <w:tcW w:type="dxa" w:w="2013"/>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Yes</w:t>
            </w:r>
          </w:p>
        </w:tc>
      </w:tr>
      <w:tr>
        <w:tc>
          <w:tcPr>
            <w:tcW w:type="dxa" w:w="2400"/>
            <w:tcBorders>
              <w:top w:val="single" w:color="C7CFD6" w:sz="4"/>
              <w:left w:val="single" w:color="C7CFD6" w:sz="4"/>
              <w:bottom w:val="single" w:color="C7CFD6" w:sz="4"/>
              <w:right w:val="single" w:color="C7CFD6" w:sz="4"/>
            </w:tcBorders>
            <w:shd w:fill="E4EFEC" w:color="auto" w:val="clear"/>
            <w:tcMar>
              <w:top w:type="dxa" w:w="100"/>
              <w:left w:type="dxa" w:w="120"/>
              <w:bottom w:type="dxa" w:w="100"/>
              <w:right w:type="dxa" w:w="120"/>
            </w:tcMar>
            <w:vAlign w:val="center"/>
          </w:tcPr>
          <w:p>
            <w:r>
              <w:rPr>
                <w:b w:val="false"/>
                <w:bCs w:val="false"/>
                <w:color w:val="1A1A1A"/>
                <w:sz w:val="19"/>
                <w:szCs w:val="19"/>
              </w:rPr>
              <w:t xml:space="preserve">Orvyen Agentic</w:t>
            </w:r>
          </w:p>
        </w:tc>
        <w:tc>
          <w:tcPr>
            <w:tcW w:type="dxa" w:w="2400"/>
            <w:tcBorders>
              <w:top w:val="single" w:color="C7CFD6" w:sz="4"/>
              <w:left w:val="single" w:color="C7CFD6" w:sz="4"/>
              <w:bottom w:val="single" w:color="C7CFD6" w:sz="4"/>
              <w:right w:val="single" w:color="C7CFD6" w:sz="4"/>
            </w:tcBorders>
            <w:shd w:fill="E4EFEC" w:color="auto" w:val="clear"/>
            <w:tcMar>
              <w:top w:type="dxa" w:w="100"/>
              <w:left w:type="dxa" w:w="120"/>
              <w:bottom w:type="dxa" w:w="100"/>
              <w:right w:type="dxa" w:w="120"/>
            </w:tcMar>
            <w:vAlign w:val="center"/>
          </w:tcPr>
          <w:p>
            <w:r>
              <w:rPr>
                <w:b w:val="false"/>
                <w:bCs w:val="false"/>
                <w:color w:val="1A1A1A"/>
                <w:sz w:val="19"/>
                <w:szCs w:val="19"/>
              </w:rPr>
              <w:t xml:space="preserve">Static analysis (agent code)</w:t>
            </w:r>
          </w:p>
        </w:tc>
        <w:tc>
          <w:tcPr>
            <w:tcW w:type="dxa" w:w="2213"/>
            <w:tcBorders>
              <w:top w:val="single" w:color="C7CFD6" w:sz="4"/>
              <w:left w:val="single" w:color="C7CFD6" w:sz="4"/>
              <w:bottom w:val="single" w:color="C7CFD6" w:sz="4"/>
              <w:right w:val="single" w:color="C7CFD6" w:sz="4"/>
            </w:tcBorders>
            <w:shd w:fill="E4EFEC" w:color="auto" w:val="clear"/>
            <w:tcMar>
              <w:top w:type="dxa" w:w="100"/>
              <w:left w:type="dxa" w:w="120"/>
              <w:bottom w:type="dxa" w:w="100"/>
              <w:right w:type="dxa" w:w="120"/>
            </w:tcMar>
            <w:vAlign w:val="center"/>
          </w:tcPr>
          <w:p>
            <w:r>
              <w:rPr>
                <w:b w:val="false"/>
                <w:bCs w:val="false"/>
                <w:color w:val="1A1A1A"/>
                <w:sz w:val="19"/>
                <w:szCs w:val="19"/>
              </w:rPr>
              <w:t xml:space="preserve">Yes</w:t>
            </w:r>
          </w:p>
        </w:tc>
        <w:tc>
          <w:tcPr>
            <w:tcW w:type="dxa" w:w="2013"/>
            <w:tcBorders>
              <w:top w:val="single" w:color="C7CFD6" w:sz="4"/>
              <w:left w:val="single" w:color="C7CFD6" w:sz="4"/>
              <w:bottom w:val="single" w:color="C7CFD6" w:sz="4"/>
              <w:right w:val="single" w:color="C7CFD6" w:sz="4"/>
            </w:tcBorders>
            <w:shd w:fill="E4EFEC" w:color="auto" w:val="clear"/>
            <w:tcMar>
              <w:top w:type="dxa" w:w="100"/>
              <w:left w:type="dxa" w:w="120"/>
              <w:bottom w:type="dxa" w:w="100"/>
              <w:right w:type="dxa" w:w="120"/>
            </w:tcMar>
            <w:vAlign w:val="center"/>
          </w:tcPr>
          <w:p>
            <w:r>
              <w:rPr>
                <w:b w:val="false"/>
                <w:bCs w:val="false"/>
                <w:color w:val="1A1A1A"/>
                <w:sz w:val="19"/>
                <w:szCs w:val="19"/>
              </w:rPr>
              <w:t xml:space="preserve">Yes</w:t>
            </w:r>
          </w:p>
        </w:tc>
      </w:tr>
    </w:tbl>
    <w:p>
      <w:pPr>
        <w:spacing w:after="260" w:before="100"/>
        <w:jc w:val="center"/>
      </w:pPr>
      <w:r>
        <w:rPr>
          <w:i/>
          <w:iCs/>
          <w:color w:val="5B6B7A"/>
          <w:sz w:val="18"/>
          <w:szCs w:val="18"/>
        </w:rPr>
        <w:t xml:space="preserve">Table 2 — Orvyen Agentic is the only entrant that is both agent-native and pre-deployment.</w:t>
      </w:r>
    </w:p>
    <w:p>
      <w:pPr>
        <w:spacing w:after="160" w:line="300"/>
      </w:pPr>
      <w:r>
        <w:rPr>
          <w:i w:val="false"/>
          <w:iCs w:val="false"/>
          <w:color w:val="1A1A1A"/>
          <w:sz w:val="21"/>
          <w:szCs w:val="21"/>
        </w:rPr>
        <w:t xml:space="preserve">This is deliberately a narrow wedge, not a platform claim. The thesis is that a well-scoped static analyzer for agent architecture is acquired into a larger platform (as Invariant Labs and Probely were acquired into Snyk's platform), not that it stays independent and competes head-on with funded runtime vendors.</w:t>
      </w:r>
    </w:p>
    <w:p>
      <w:r>
        <w:br w:type="page"/>
      </w:r>
    </w:p>
    <w:p>
      <w:pPr>
        <w:pStyle w:val="Heading1"/>
        <w:pBdr>
          <w:bottom w:val="single" w:color="1E7F72" w:sz="8" w:space="6"/>
        </w:pBdr>
        <w:spacing w:after="200" w:before="420"/>
      </w:pPr>
      <w:r>
        <w:rPr>
          <w:b/>
          <w:bCs/>
          <w:color w:val="132436"/>
          <w:sz w:val="30"/>
          <w:szCs w:val="30"/>
        </w:rPr>
        <w:t xml:space="preserve">7.  Business Model &amp;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Tier</w:t>
            </w:r>
          </w:p>
        </w:tc>
        <w:tc>
          <w:tcPr>
            <w:tcW w:type="dxa" w:w="18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Price</w:t>
            </w:r>
          </w:p>
        </w:tc>
        <w:tc>
          <w:tcPr>
            <w:tcW w:type="dxa" w:w="5426"/>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What's included</w:t>
            </w:r>
          </w:p>
        </w:tc>
      </w:tr>
      <w:tr>
        <w:tc>
          <w:tcPr>
            <w:tcW w:type="dxa" w:w="18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Free (CLI)</w:t>
            </w:r>
          </w:p>
        </w:tc>
        <w:tc>
          <w:tcPr>
            <w:tcW w:type="dxa" w:w="18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S$0</w:t>
            </w:r>
          </w:p>
        </w:tc>
        <w:tc>
          <w:tcPr>
            <w:tcW w:type="dxa" w:w="54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Open-core CLI, local scans, terminal/JSON output — the adoption engine</w:t>
            </w:r>
          </w:p>
        </w:tc>
      </w:tr>
      <w:tr>
        <w:tc>
          <w:tcPr>
            <w:tcW w:type="dxa" w:w="18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Team</w:t>
            </w:r>
          </w:p>
        </w:tc>
        <w:tc>
          <w:tcPr>
            <w:tcW w:type="dxa" w:w="18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S$149/mo</w:t>
            </w:r>
          </w:p>
        </w:tc>
        <w:tc>
          <w:tcPr>
            <w:tcW w:type="dxa" w:w="54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Up to 5 repos, CI/CD integration, HTML report export</w:t>
            </w:r>
          </w:p>
        </w:tc>
      </w:tr>
      <w:tr>
        <w:tc>
          <w:tcPr>
            <w:tcW w:type="dxa" w:w="18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Business</w:t>
            </w:r>
          </w:p>
        </w:tc>
        <w:tc>
          <w:tcPr>
            <w:tcW w:type="dxa" w:w="18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S$499/mo</w:t>
            </w:r>
          </w:p>
        </w:tc>
        <w:tc>
          <w:tcPr>
            <w:tcW w:type="dxa" w:w="54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Unlimited repos, AIBOM PDF export, Slack alerts, audit log retention</w:t>
            </w:r>
          </w:p>
        </w:tc>
      </w:tr>
      <w:tr>
        <w:tc>
          <w:tcPr>
            <w:tcW w:type="dxa" w:w="18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Enterprise</w:t>
            </w:r>
          </w:p>
        </w:tc>
        <w:tc>
          <w:tcPr>
            <w:tcW w:type="dxa" w:w="18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Custom</w:t>
            </w:r>
          </w:p>
        </w:tc>
        <w:tc>
          <w:tcPr>
            <w:tcW w:type="dxa" w:w="54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Annual contract, SSO, dedicated support, evidence packages for regulated buyers</w:t>
            </w:r>
          </w:p>
        </w:tc>
      </w:tr>
    </w:tbl>
    <w:p>
      <w:pPr>
        <w:spacing w:after="260" w:before="100"/>
        <w:jc w:val="center"/>
      </w:pPr>
      <w:r>
        <w:rPr>
          <w:i/>
          <w:iCs/>
          <w:color w:val="5B6B7A"/>
          <w:sz w:val="18"/>
          <w:szCs w:val="18"/>
        </w:rPr>
        <w:t xml:space="preserve">Table 3 — Land with the free CLI, convert on the CI/CD dashboard and compliance layer.</w:t>
      </w:r>
    </w:p>
    <w:p>
      <w:pPr>
        <w:spacing w:after="160" w:line="300"/>
      </w:pPr>
      <w:r>
        <w:rPr>
          <w:i w:val="false"/>
          <w:iCs w:val="false"/>
          <w:color w:val="1A1A1A"/>
          <w:sz w:val="21"/>
          <w:szCs w:val="21"/>
        </w:rPr>
        <w:t xml:space="preserve">The free-to-paid motion mirrors Orvyen's own trajectory: a free CLI drives adoption (Orvyen's own npm package and 2,000+ Kaggle dataset downloads are direct evidence this founder can get developer tools discovered without a sales team), and the paid tiers monetize the CI/CD and compliance workflow a security-conscious team needs once the tool is already part of their pipeline. Developer-tool gross margins are structurally high (typically 85%+) once hosting and support costs are accounted for, and customer acquisition is community- and content-led rather than outbound-sales-led in the early stages.</w:t>
      </w:r>
    </w:p>
    <w:p>
      <w:pPr>
        <w:pStyle w:val="Heading1"/>
        <w:pBdr>
          <w:bottom w:val="single" w:color="1E7F72" w:sz="8" w:space="6"/>
        </w:pBdr>
        <w:spacing w:after="200" w:before="420"/>
      </w:pPr>
      <w:r>
        <w:rPr>
          <w:b/>
          <w:bCs/>
          <w:color w:val="132436"/>
          <w:sz w:val="30"/>
          <w:szCs w:val="30"/>
        </w:rPr>
        <w:t xml:space="preserve">8.  Go-to-Market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Phase</w:t>
            </w:r>
          </w:p>
        </w:tc>
        <w:tc>
          <w:tcPr>
            <w:tcW w:type="dxa" w:w="7026"/>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Activity</w:t>
            </w:r>
          </w:p>
        </w:tc>
      </w:tr>
      <w:tr>
        <w:tc>
          <w:tcPr>
            <w:tcW w:type="dxa" w:w="20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Month 1</w:t>
            </w:r>
          </w:p>
        </w:tc>
        <w:tc>
          <w:tcPr>
            <w:tcW w:type="dxa" w:w="70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Free CLI launch on npm; Product Hunt / Hacker News launch; direct outreach in Singapore developer communities</w:t>
            </w:r>
          </w:p>
        </w:tc>
      </w:tr>
      <w:tr>
        <w:tc>
          <w:tcPr>
            <w:tcW w:type="dxa" w:w="20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Month 2–3</w:t>
            </w:r>
          </w:p>
        </w:tc>
        <w:tc>
          <w:tcPr>
            <w:tcW w:type="dxa" w:w="70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Ship CI/CD paid dashboard tier; publish agent-security case-study content; targeted outreach to Singapore fintech and RegTech engineering teams</w:t>
            </w:r>
          </w:p>
        </w:tc>
      </w:tr>
      <w:tr>
        <w:tc>
          <w:tcPr>
            <w:tcW w:type="dxa" w:w="20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Month 4–6</w:t>
            </w:r>
          </w:p>
        </w:tc>
        <w:tc>
          <w:tcPr>
            <w:tcW w:type="dxa" w:w="70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Land 2–3 design-partner pilots; use the AIBOM compliance mapping as the explicit hook for compliance-conscious buyers</w:t>
            </w:r>
          </w:p>
        </w:tc>
      </w:tr>
      <w:tr>
        <w:tc>
          <w:tcPr>
            <w:tcW w:type="dxa" w:w="20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Month 7–18</w:t>
            </w:r>
          </w:p>
        </w:tc>
        <w:tc>
          <w:tcPr>
            <w:tcW w:type="dxa" w:w="70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Scale ARR and case studies; open strategic conversations with platform acquirers once revenue and logos are defensible</w:t>
            </w:r>
          </w:p>
        </w:tc>
      </w:tr>
    </w:tbl>
    <w:p>
      <w:pPr>
        <w:pStyle w:val="Heading1"/>
        <w:pBdr>
          <w:bottom w:val="single" w:color="1E7F72" w:sz="8" w:space="6"/>
        </w:pBdr>
        <w:spacing w:after="200" w:before="420"/>
      </w:pPr>
      <w:r>
        <w:rPr>
          <w:b/>
          <w:bCs/>
          <w:color w:val="132436"/>
          <w:sz w:val="30"/>
          <w:szCs w:val="30"/>
        </w:rPr>
        <w:t xml:space="preserve">9.  Founder &amp; Traction</w:t>
      </w:r>
    </w:p>
    <w:p>
      <w:pPr>
        <w:spacing w:after="160" w:line="300"/>
      </w:pPr>
      <w:r>
        <w:rPr>
          <w:i w:val="false"/>
          <w:iCs w:val="false"/>
          <w:color w:val="1A1A1A"/>
          <w:sz w:val="21"/>
          <w:szCs w:val="21"/>
        </w:rPr>
        <w:t xml:space="preserve">Ojas Singh — Founder. BTech, Computer Science with a Data Science specialisation, Vellore Institute of Technology (2025).</w:t>
      </w:r>
    </w:p>
    <w:p>
      <w:pPr>
        <w:pStyle w:val="ListParagraph"/>
        <w:numPr>
          <w:ilvl w:val="0"/>
          <w:numId w:val="2"/>
        </w:numPr>
        <w:spacing w:after="100" w:line="280"/>
      </w:pPr>
      <w:r>
        <w:rPr>
          <w:b/>
          <w:bCs/>
          <w:color w:val="132436"/>
          <w:sz w:val="21"/>
          <w:szCs w:val="21"/>
        </w:rPr>
        <w:t xml:space="preserve">Offensive security &amp; CTF — </w:t>
      </w:r>
      <w:r>
        <w:rPr>
          <w:sz w:val="21"/>
          <w:szCs w:val="21"/>
        </w:rPr>
        <w:t xml:space="preserve">two years of hands-on offensive security work and active competition across web, binary exploitation, reverse engineering, and Active Directory categories — the same attacker mindset this product is built to encode into a rule pack.</w:t>
      </w:r>
    </w:p>
    <w:p>
      <w:pPr>
        <w:pStyle w:val="ListParagraph"/>
        <w:numPr>
          <w:ilvl w:val="0"/>
          <w:numId w:val="2"/>
        </w:numPr>
        <w:spacing w:after="100" w:line="280"/>
      </w:pPr>
      <w:r>
        <w:rPr>
          <w:b/>
          <w:bCs/>
          <w:color w:val="132436"/>
          <w:sz w:val="21"/>
          <w:szCs w:val="21"/>
        </w:rPr>
        <w:t xml:space="preserve">Orvyen — </w:t>
      </w:r>
      <w:r>
        <w:rPr>
          <w:sz w:val="21"/>
          <w:szCs w:val="21"/>
        </w:rPr>
        <w:t xml:space="preserve">a published, adopted SQL/dbt static-analysis linter (npm package, 8 production checks, sub-100ms scans across 500 models) that Orvyen Agentic directly extends rather than replaces.</w:t>
      </w:r>
    </w:p>
    <w:p>
      <w:pPr>
        <w:pStyle w:val="ListParagraph"/>
        <w:numPr>
          <w:ilvl w:val="0"/>
          <w:numId w:val="2"/>
        </w:numPr>
        <w:spacing w:after="100" w:line="280"/>
      </w:pPr>
      <w:r>
        <w:rPr>
          <w:b/>
          <w:bCs/>
          <w:color w:val="132436"/>
          <w:sz w:val="21"/>
          <w:szCs w:val="21"/>
        </w:rPr>
        <w:t xml:space="preserve">Algorzen Intelligence Suite — </w:t>
      </w:r>
      <w:r>
        <w:rPr>
          <w:sz w:val="21"/>
          <w:szCs w:val="21"/>
        </w:rPr>
        <w:t xml:space="preserve">founder of Algorzen (October 2024–present), building Eviden (autonomous BI reporting), Vigil (drift and anomaly detection), Pulse (real-time monitoring), and Helix (forecasting and driver intelligence) — a four-product suite averaging 1,000+ monthly active users.</w:t>
      </w:r>
    </w:p>
    <w:p>
      <w:pPr>
        <w:pStyle w:val="ListParagraph"/>
        <w:numPr>
          <w:ilvl w:val="0"/>
          <w:numId w:val="2"/>
        </w:numPr>
        <w:spacing w:after="100" w:line="280"/>
      </w:pPr>
      <w:r>
        <w:rPr>
          <w:b/>
          <w:bCs/>
          <w:color w:val="132436"/>
          <w:sz w:val="21"/>
          <w:szCs w:val="21"/>
        </w:rPr>
        <w:t xml:space="preserve">Applied ML research — </w:t>
      </w:r>
      <w:r>
        <w:rPr>
          <w:sz w:val="21"/>
          <w:szCs w:val="21"/>
        </w:rPr>
        <w:t xml:space="preserve">a machine-learning research project acquired and patented by VIT University (patent filed), with an accompanying published research paper carrying a DOI.</w:t>
      </w:r>
    </w:p>
    <w:p>
      <w:pPr>
        <w:pStyle w:val="ListParagraph"/>
        <w:numPr>
          <w:ilvl w:val="0"/>
          <w:numId w:val="2"/>
        </w:numPr>
        <w:spacing w:after="100" w:line="280"/>
      </w:pPr>
      <w:r>
        <w:rPr>
          <w:b/>
          <w:bCs/>
          <w:color w:val="132436"/>
          <w:sz w:val="21"/>
          <w:szCs w:val="21"/>
        </w:rPr>
        <w:t xml:space="preserve">Regulatory/compliance experience — </w:t>
      </w:r>
      <w:r>
        <w:rPr>
          <w:sz w:val="21"/>
          <w:szCs w:val="21"/>
        </w:rPr>
        <w:t xml:space="preserve">a project internship at Tata Elxsi researching and implementing UNECE WP.29 Cybersecurity Management System (CSMS) regulations for EVs, integrating regulatory requirements into production software and supporting formal certification processes — direct, unusual prior experience turning a regulatory framework into a technical checklist, the exact exercise the AIBOM/IMDA mapping requires.</w:t>
      </w:r>
    </w:p>
    <w:p>
      <w:pPr>
        <w:pStyle w:val="ListParagraph"/>
        <w:numPr>
          <w:ilvl w:val="0"/>
          <w:numId w:val="2"/>
        </w:numPr>
        <w:spacing w:after="100" w:line="280"/>
      </w:pPr>
      <w:r>
        <w:rPr>
          <w:b/>
          <w:bCs/>
          <w:color w:val="132436"/>
          <w:sz w:val="21"/>
          <w:szCs w:val="21"/>
        </w:rPr>
        <w:t xml:space="preserve">Public credibility — </w:t>
      </w:r>
      <w:r>
        <w:rPr>
          <w:sz w:val="21"/>
          <w:szCs w:val="21"/>
        </w:rPr>
        <w:t xml:space="preserve">4 enterprise-grade synthetic datasets on Kaggle (2,000+ combined downloads, cited in GitHub projects and academic work) and a Tableau Public “Viz of the Day” featured dashboard (11,000+ views).</w:t>
      </w:r>
    </w:p>
    <w:p>
      <w:pPr>
        <w:spacing w:after="160" w:line="300"/>
      </w:pPr>
      <w:r>
        <w:rPr>
          <w:i w:val="false"/>
          <w:iCs w:val="false"/>
          <w:color w:val="1A1A1A"/>
          <w:sz w:val="21"/>
          <w:szCs w:val="21"/>
        </w:rPr>
        <w:t xml:space="preserve">Taken together, this is an unusual combination for a single founder: someone who has shipped and grown developer tools, has formal applied-ML research and patent credentials, and has hands-on experience translating a real automotive cybersecurity regulation into working compliance software — which is precisely the translation Orvyen Agentic needs to make for Singapore's agentic AI framework.</w:t>
      </w:r>
    </w:p>
    <w:p>
      <w:r>
        <w:br w:type="page"/>
      </w:r>
    </w:p>
    <w:p>
      <w:pPr>
        <w:pStyle w:val="Heading1"/>
        <w:pBdr>
          <w:bottom w:val="single" w:color="1E7F72" w:sz="8" w:space="6"/>
        </w:pBdr>
        <w:spacing w:after="200" w:before="420"/>
      </w:pPr>
      <w:r>
        <w:rPr>
          <w:b/>
          <w:bCs/>
          <w:color w:val="132436"/>
          <w:sz w:val="30"/>
          <w:szCs w:val="30"/>
        </w:rPr>
        <w:t xml:space="preserve">10.  Financial Snapshot</w:t>
      </w:r>
    </w:p>
    <w:p>
      <w:pPr>
        <w:spacing w:after="160" w:line="300"/>
      </w:pPr>
      <w:r>
        <w:rPr>
          <w:i/>
          <w:iCs/>
          <w:color w:val="5B6B7A"/>
          <w:sz w:val="21"/>
          <w:szCs w:val="21"/>
        </w:rPr>
        <w:t xml:space="preserve">Illustrative Year 1 ramp based on founder assumptions, not a forecast or a guarantee of performance. Figures are in Singapore dollars and assume the pricing in Section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
            </w:r>
          </w:p>
        </w:tc>
        <w:tc>
          <w:tcPr>
            <w:tcW w:type="dxa" w:w="18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Q1</w:t>
            </w:r>
          </w:p>
        </w:tc>
        <w:tc>
          <w:tcPr>
            <w:tcW w:type="dxa" w:w="18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Q2</w:t>
            </w:r>
          </w:p>
        </w:tc>
        <w:tc>
          <w:tcPr>
            <w:tcW w:type="dxa" w:w="18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Q3</w:t>
            </w:r>
          </w:p>
        </w:tc>
        <w:tc>
          <w:tcPr>
            <w:tcW w:type="dxa" w:w="1826"/>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Q4</w:t>
            </w:r>
          </w:p>
        </w:tc>
      </w:tr>
      <w:tr>
        <w:tc>
          <w:tcPr>
            <w:tcW w:type="dxa" w:w="18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Free CLI installs (cum.)</w:t>
            </w:r>
          </w:p>
        </w:tc>
        <w:tc>
          <w:tcPr>
            <w:tcW w:type="dxa" w:w="18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500</w:t>
            </w:r>
          </w:p>
        </w:tc>
        <w:tc>
          <w:tcPr>
            <w:tcW w:type="dxa" w:w="18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2,000</w:t>
            </w:r>
          </w:p>
        </w:tc>
        <w:tc>
          <w:tcPr>
            <w:tcW w:type="dxa" w:w="18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5,000</w:t>
            </w:r>
          </w:p>
        </w:tc>
        <w:tc>
          <w:tcPr>
            <w:tcW w:type="dxa" w:w="18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10,000</w:t>
            </w:r>
          </w:p>
        </w:tc>
      </w:tr>
      <w:tr>
        <w:tc>
          <w:tcPr>
            <w:tcW w:type="dxa" w:w="18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Paying teams</w:t>
            </w:r>
          </w:p>
        </w:tc>
        <w:tc>
          <w:tcPr>
            <w:tcW w:type="dxa" w:w="18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3–5</w:t>
            </w:r>
          </w:p>
        </w:tc>
        <w:tc>
          <w:tcPr>
            <w:tcW w:type="dxa" w:w="18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12–18</w:t>
            </w:r>
          </w:p>
        </w:tc>
        <w:tc>
          <w:tcPr>
            <w:tcW w:type="dxa" w:w="18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25–35</w:t>
            </w:r>
          </w:p>
        </w:tc>
        <w:tc>
          <w:tcPr>
            <w:tcW w:type="dxa" w:w="18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40–60</w:t>
            </w:r>
          </w:p>
        </w:tc>
      </w:tr>
      <w:tr>
        <w:tc>
          <w:tcPr>
            <w:tcW w:type="dxa" w:w="18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Illustrative MRR (S$)</w:t>
            </w:r>
          </w:p>
        </w:tc>
        <w:tc>
          <w:tcPr>
            <w:tcW w:type="dxa" w:w="18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~600</w:t>
            </w:r>
          </w:p>
        </w:tc>
        <w:tc>
          <w:tcPr>
            <w:tcW w:type="dxa" w:w="18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~2,800</w:t>
            </w:r>
          </w:p>
        </w:tc>
        <w:tc>
          <w:tcPr>
            <w:tcW w:type="dxa" w:w="18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~7,500</w:t>
            </w:r>
          </w:p>
        </w:tc>
        <w:tc>
          <w:tcPr>
            <w:tcW w:type="dxa" w:w="18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~14,000</w:t>
            </w:r>
          </w:p>
        </w:tc>
      </w:tr>
      <w:tr>
        <w:tc>
          <w:tcPr>
            <w:tcW w:type="dxa" w:w="18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Design-partner pilots</w:t>
            </w:r>
          </w:p>
        </w:tc>
        <w:tc>
          <w:tcPr>
            <w:tcW w:type="dxa" w:w="18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0</w:t>
            </w:r>
          </w:p>
        </w:tc>
        <w:tc>
          <w:tcPr>
            <w:tcW w:type="dxa" w:w="18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1</w:t>
            </w:r>
          </w:p>
        </w:tc>
        <w:tc>
          <w:tcPr>
            <w:tcW w:type="dxa" w:w="18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2–3</w:t>
            </w:r>
          </w:p>
        </w:tc>
        <w:tc>
          <w:tcPr>
            <w:tcW w:type="dxa" w:w="18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3–4</w:t>
            </w:r>
          </w:p>
        </w:tc>
      </w:tr>
    </w:tbl>
    <w:p>
      <w:pPr>
        <w:spacing w:after="260" w:before="100"/>
        <w:jc w:val="center"/>
      </w:pPr>
      <w:r>
        <w:rPr>
          <w:i/>
          <w:iCs/>
          <w:color w:val="5B6B7A"/>
          <w:sz w:val="18"/>
          <w:szCs w:val="18"/>
        </w:rPr>
        <w:t xml:space="preserve">Table 4 — Illustrative, assumption-driven ramp. Conversion rates, sales cycle length, and enterprise pilot timing are the key variables to validate in the first 90 days.</w:t>
      </w:r>
    </w:p>
    <w:p>
      <w:pPr>
        <w:spacing w:after="160" w:line="300"/>
      </w:pPr>
      <w:r>
        <w:rPr>
          <w:i w:val="false"/>
          <w:iCs w:val="false"/>
          <w:color w:val="1A1A1A"/>
          <w:sz w:val="21"/>
          <w:szCs w:val="21"/>
        </w:rPr>
        <w:t xml:space="preserve">The near-term cash story does not depend on this ramp alone: Startup SG Tech (Proof-of-Concept funding up to S$400,000, Proof-of-Value up to S$800,000, milestone-based) is a realistic non-dilutive source once local shareholding requirements are met, alongside Startup SG Founder (S$20,000–50,000) for first-time founders. Both are treated here as upside, not baseline.</w:t>
      </w:r>
    </w:p>
    <w:p>
      <w:pPr>
        <w:pStyle w:val="Heading1"/>
        <w:pBdr>
          <w:bottom w:val="single" w:color="1E7F72" w:sz="8" w:space="6"/>
        </w:pBdr>
        <w:spacing w:after="200" w:before="420"/>
      </w:pPr>
      <w:r>
        <w:rPr>
          <w:b/>
          <w:bCs/>
          <w:color w:val="132436"/>
          <w:sz w:val="30"/>
          <w:szCs w:val="30"/>
        </w:rPr>
        <w:t xml:space="preserve">11.  Exit Strategy &amp; Comparable 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Acquirer</w:t>
            </w:r>
          </w:p>
        </w:tc>
        <w:tc>
          <w:tcPr>
            <w:tcW w:type="dxa" w:w="22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Target</w:t>
            </w:r>
          </w:p>
        </w:tc>
        <w:tc>
          <w:tcPr>
            <w:tcW w:type="dxa" w:w="22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Date</w:t>
            </w:r>
          </w:p>
        </w:tc>
        <w:tc>
          <w:tcPr>
            <w:tcW w:type="dxa" w:w="2226"/>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Rationale</w:t>
            </w:r>
          </w:p>
        </w:tc>
      </w:tr>
      <w:tr>
        <w:tc>
          <w:tcPr>
            <w:tcW w:type="dxa" w:w="24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Check Point</w:t>
            </w:r>
          </w:p>
        </w:tc>
        <w:tc>
          <w:tcPr>
            <w:tcW w:type="dxa" w:w="22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Lakera</w:t>
            </w:r>
          </w:p>
        </w:tc>
        <w:tc>
          <w:tcPr>
            <w:tcW w:type="dxa" w:w="22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Sep 2025</w:t>
            </w:r>
          </w:p>
        </w:tc>
        <w:tc>
          <w:tcPr>
            <w:tcW w:type="dxa" w:w="22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Anchor for AI security platform</w:t>
            </w:r>
          </w:p>
        </w:tc>
      </w:tr>
      <w:tr>
        <w:tc>
          <w:tcPr>
            <w:tcW w:type="dxa" w:w="24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Snyk</w:t>
            </w:r>
          </w:p>
        </w:tc>
        <w:tc>
          <w:tcPr>
            <w:tcW w:type="dxa" w:w="22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Invariant Labs</w:t>
            </w:r>
          </w:p>
        </w:tc>
        <w:tc>
          <w:tcPr>
            <w:tcW w:type="dxa" w:w="22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Jun 2025</w:t>
            </w:r>
          </w:p>
        </w:tc>
        <w:tc>
          <w:tcPr>
            <w:tcW w:type="dxa" w:w="22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Agentic AI threat research + guardrails</w:t>
            </w:r>
          </w:p>
        </w:tc>
      </w:tr>
      <w:tr>
        <w:tc>
          <w:tcPr>
            <w:tcW w:type="dxa" w:w="24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Snyk</w:t>
            </w:r>
          </w:p>
        </w:tc>
        <w:tc>
          <w:tcPr>
            <w:tcW w:type="dxa" w:w="22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Probely</w:t>
            </w:r>
          </w:p>
        </w:tc>
        <w:tc>
          <w:tcPr>
            <w:tcW w:type="dxa" w:w="22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Nov 2024</w:t>
            </w:r>
          </w:p>
        </w:tc>
        <w:tc>
          <w:tcPr>
            <w:tcW w:type="dxa" w:w="22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API security for AI-native apps</w:t>
            </w:r>
          </w:p>
        </w:tc>
      </w:tr>
      <w:tr>
        <w:tc>
          <w:tcPr>
            <w:tcW w:type="dxa" w:w="24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Datadog</w:t>
            </w:r>
          </w:p>
        </w:tc>
        <w:tc>
          <w:tcPr>
            <w:tcW w:type="dxa" w:w="22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Metaplane</w:t>
            </w:r>
          </w:p>
        </w:tc>
        <w:tc>
          <w:tcPr>
            <w:tcW w:type="dxa" w:w="22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Apr 2025</w:t>
            </w:r>
          </w:p>
        </w:tc>
        <w:tc>
          <w:tcPr>
            <w:tcW w:type="dxa" w:w="22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Data observability tuck-in</w:t>
            </w:r>
          </w:p>
        </w:tc>
      </w:tr>
      <w:tr>
        <w:tc>
          <w:tcPr>
            <w:tcW w:type="dxa" w:w="24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Datadog</w:t>
            </w:r>
          </w:p>
        </w:tc>
        <w:tc>
          <w:tcPr>
            <w:tcW w:type="dxa" w:w="22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Eppo</w:t>
            </w:r>
          </w:p>
        </w:tc>
        <w:tc>
          <w:tcPr>
            <w:tcW w:type="dxa" w:w="22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May 2025</w:t>
            </w:r>
          </w:p>
        </w:tc>
        <w:tc>
          <w:tcPr>
            <w:tcW w:type="dxa" w:w="22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Experimentation / feature flags</w:t>
            </w:r>
          </w:p>
        </w:tc>
      </w:tr>
      <w:tr>
        <w:tc>
          <w:tcPr>
            <w:tcW w:type="dxa" w:w="24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Google Cloud</w:t>
            </w:r>
          </w:p>
        </w:tc>
        <w:tc>
          <w:tcPr>
            <w:tcW w:type="dxa" w:w="22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Wiz</w:t>
            </w:r>
          </w:p>
        </w:tc>
        <w:tc>
          <w:tcPr>
            <w:tcW w:type="dxa" w:w="22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Mar 2026</w:t>
            </w:r>
          </w:p>
        </w:tc>
        <w:tc>
          <w:tcPr>
            <w:tcW w:type="dxa" w:w="22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$32B — largest cloud security deal ever</w:t>
            </w:r>
          </w:p>
        </w:tc>
      </w:tr>
    </w:tbl>
    <w:p>
      <w:pPr>
        <w:spacing w:after="260" w:before="100"/>
        <w:jc w:val="center"/>
      </w:pPr>
      <w:r>
        <w:rPr>
          <w:i/>
          <w:iCs/>
          <w:color w:val="5B6B7A"/>
          <w:sz w:val="18"/>
          <w:szCs w:val="18"/>
        </w:rPr>
        <w:t xml:space="preserve">Table 5 — Deal terms for the smaller tuck-ins were not publicly disclosed; the Wiz transaction is included to illustrate the ceiling of the category, not as a direct size comparable.</w:t>
      </w:r>
    </w:p>
    <w:p>
      <w:pPr>
        <w:pStyle w:val="Heading2"/>
        <w:spacing w:after="140" w:before="280"/>
      </w:pPr>
      <w:r>
        <w:rPr>
          <w:b/>
          <w:bCs/>
          <w:color w:val="1E7F72"/>
          <w:sz w:val="24"/>
          <w:szCs w:val="24"/>
        </w:rPr>
        <w:t xml:space="preserve">Primary target: Snyk</w:t>
      </w:r>
    </w:p>
    <w:p>
      <w:pPr>
        <w:spacing w:after="160" w:line="300"/>
      </w:pPr>
      <w:r>
        <w:rPr>
          <w:i w:val="false"/>
          <w:iCs w:val="false"/>
          <w:color w:val="1A1A1A"/>
          <w:sz w:val="21"/>
          <w:szCs w:val="21"/>
        </w:rPr>
        <w:t xml:space="preserve">Snyk has relied on at least a dozen tuck-in acquisitions since its founding in 2015, and its two most recent AI-security moves are structurally close to this thesis: Invariant Labs (agentic AI threat research and guardrails, folded into the AI Trust Platform) and Probely (API security for AI-native applications). Orvyen Agentic is the missing static, pre-deployment half of that platform — Snyk's current AI coverage is concentrated at runtime.</w:t>
      </w:r>
    </w:p>
    <w:p>
      <w:pPr>
        <w:pStyle w:val="Heading2"/>
        <w:spacing w:after="140" w:before="280"/>
      </w:pPr>
      <w:r>
        <w:rPr>
          <w:b/>
          <w:bCs/>
          <w:color w:val="1E7F72"/>
          <w:sz w:val="24"/>
          <w:szCs w:val="24"/>
        </w:rPr>
        <w:t xml:space="preserve">Secondary targets</w:t>
      </w:r>
    </w:p>
    <w:p>
      <w:pPr>
        <w:pStyle w:val="ListParagraph"/>
        <w:numPr>
          <w:ilvl w:val="0"/>
          <w:numId w:val="2"/>
        </w:numPr>
        <w:spacing w:after="100" w:line="280"/>
      </w:pPr>
      <w:r>
        <w:rPr>
          <w:b/>
          <w:bCs/>
          <w:color w:val="132436"/>
          <w:sz w:val="21"/>
          <w:szCs w:val="21"/>
        </w:rPr>
        <w:t xml:space="preserve">Datadog — </w:t>
      </w:r>
      <w:r>
        <w:rPr>
          <w:sz w:val="21"/>
          <w:szCs w:val="21"/>
        </w:rPr>
        <w:t xml:space="preserve">an active acquirer of developer-adjacent tooling (Metaplane, Eppo, and Adaptive ML in 2025–26) assembling a full-stack observability-plus-security story that a static agent scanner plausibly extends.</w:t>
      </w:r>
    </w:p>
    <w:p>
      <w:pPr>
        <w:pStyle w:val="ListParagraph"/>
        <w:numPr>
          <w:ilvl w:val="0"/>
          <w:numId w:val="2"/>
        </w:numPr>
        <w:spacing w:after="100" w:line="280"/>
      </w:pPr>
      <w:r>
        <w:rPr>
          <w:b/>
          <w:bCs/>
          <w:color w:val="132436"/>
          <w:sz w:val="21"/>
          <w:szCs w:val="21"/>
        </w:rPr>
        <w:t xml:space="preserve">GitLab / JFrog — </w:t>
      </w:r>
      <w:r>
        <w:rPr>
          <w:sz w:val="21"/>
          <w:szCs w:val="21"/>
        </w:rPr>
        <w:t xml:space="preserve">existing SCA/SAST platforms with a structural gap in agent-native coverage.</w:t>
      </w:r>
    </w:p>
    <w:p>
      <w:pPr>
        <w:pStyle w:val="Heading1"/>
        <w:pBdr>
          <w:bottom w:val="single" w:color="1E7F72" w:sz="8" w:space="6"/>
        </w:pBdr>
        <w:spacing w:after="200" w:before="420"/>
      </w:pPr>
      <w:r>
        <w:rPr>
          <w:b/>
          <w:bCs/>
          <w:color w:val="132436"/>
          <w:sz w:val="30"/>
          <w:szCs w:val="30"/>
        </w:rPr>
        <w:t xml:space="preserve">12.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Risk</w:t>
            </w:r>
          </w:p>
        </w:tc>
        <w:tc>
          <w:tcPr>
            <w:tcW w:type="dxa" w:w="4626"/>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Mitigation</w:t>
            </w:r>
          </w:p>
        </w:tc>
      </w:tr>
      <w:tr>
        <w:tc>
          <w:tcPr>
            <w:tcW w:type="dxa" w:w="44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Crowded adjacent market (runtime guardrails are well-funded)</w:t>
            </w:r>
          </w:p>
        </w:tc>
        <w:tc>
          <w:tcPr>
            <w:tcW w:type="dxa" w:w="46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Stay deliberately narrow — pre-deployment/static only — rather than competing head-on at runtime</w:t>
            </w:r>
          </w:p>
        </w:tc>
      </w:tr>
      <w:tr>
        <w:tc>
          <w:tcPr>
            <w:tcW w:type="dxa" w:w="44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Agent frameworks change fast (LangChain/LangGraph API churn)</w:t>
            </w:r>
          </w:p>
        </w:tc>
        <w:tc>
          <w:tcPr>
            <w:tcW w:type="dxa" w:w="46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Parser layer is isolated from rule logic, matching how Orvyen already absorbs dbt version changes</w:t>
            </w:r>
          </w:p>
        </w:tc>
      </w:tr>
      <w:tr>
        <w:tc>
          <w:tcPr>
            <w:tcW w:type="dxa" w:w="44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Solo-founder execution risk</w:t>
            </w:r>
          </w:p>
        </w:tc>
        <w:tc>
          <w:tcPr>
            <w:tcW w:type="dxa" w:w="46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MVP scoped to 4 weeks on an existing codebase; first hire targeted post first paying cohort</w:t>
            </w:r>
          </w:p>
        </w:tc>
      </w:tr>
      <w:tr>
        <w:tc>
          <w:tcPr>
            <w:tcW w:type="dxa" w:w="44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Governance frameworks are voluntary, not law</w:t>
            </w:r>
          </w:p>
        </w:tc>
        <w:tc>
          <w:tcPr>
            <w:tcW w:type="dxa" w:w="46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Position as “audit-ready evidence,” valuable regardless of legal enforceability, and track EU AI Act convergence</w:t>
            </w:r>
          </w:p>
        </w:tc>
      </w:tr>
      <w:tr>
        <w:tc>
          <w:tcPr>
            <w:tcW w:type="dxa" w:w="44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Enterprise sales cycle risk</w:t>
            </w:r>
          </w:p>
        </w:tc>
        <w:tc>
          <w:tcPr>
            <w:tcW w:type="dxa" w:w="46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Self-serve CLI and Team tier generate revenue independent of any enterprise cycle</w:t>
            </w:r>
          </w:p>
        </w:tc>
      </w:tr>
    </w:tbl>
    <w:p>
      <w:r>
        <w:br w:type="page"/>
      </w:r>
    </w:p>
    <w:p>
      <w:pPr>
        <w:pStyle w:val="Heading1"/>
        <w:pBdr>
          <w:bottom w:val="single" w:color="1E7F72" w:sz="8" w:space="6"/>
        </w:pBdr>
        <w:spacing w:after="200" w:before="420"/>
      </w:pPr>
      <w:r>
        <w:rPr>
          <w:b/>
          <w:bCs/>
          <w:color w:val="132436"/>
          <w:sz w:val="30"/>
          <w:szCs w:val="30"/>
        </w:rPr>
        <w:t xml:space="preserve">13.  Roadmap &amp;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Window</w:t>
            </w:r>
          </w:p>
        </w:tc>
        <w:tc>
          <w:tcPr>
            <w:tcW w:type="dxa" w:w="7526"/>
            <w:tcBorders>
              <w:top w:val="single" w:color="C7CFD6" w:sz="4"/>
              <w:left w:val="single" w:color="C7CFD6" w:sz="4"/>
              <w:bottom w:val="single" w:color="C7CFD6" w:sz="4"/>
              <w:right w:val="single" w:color="C7CFD6" w:sz="4"/>
            </w:tcBorders>
            <w:shd w:fill="132436" w:color="auto" w:val="clear"/>
            <w:tcMar>
              <w:top w:type="dxa" w:w="100"/>
              <w:left w:type="dxa" w:w="120"/>
              <w:bottom w:type="dxa" w:w="100"/>
              <w:right w:type="dxa" w:w="120"/>
            </w:tcMar>
            <w:vAlign w:val="center"/>
          </w:tcPr>
          <w:p>
            <w:r>
              <w:rPr>
                <w:b/>
                <w:bCs/>
                <w:color w:val="FFFFFF"/>
                <w:sz w:val="19"/>
                <w:szCs w:val="19"/>
              </w:rPr>
              <w:t xml:space="preserve">Milestones</w:t>
            </w:r>
          </w:p>
        </w:tc>
      </w:tr>
      <w:tr>
        <w:tc>
          <w:tcPr>
            <w:tcW w:type="dxa" w:w="15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Days 1–7</w:t>
            </w:r>
          </w:p>
        </w:tc>
        <w:tc>
          <w:tcPr>
            <w:tcW w:type="dxa" w:w="75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Pte Ltd incorporation filed; LangChain/LangGraph AST parser + MCP manifest parser built</w:t>
            </w:r>
          </w:p>
        </w:tc>
      </w:tr>
      <w:tr>
        <w:tc>
          <w:tcPr>
            <w:tcW w:type="dxa" w:w="15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Days 8–14</w:t>
            </w:r>
          </w:p>
        </w:tc>
        <w:tc>
          <w:tcPr>
            <w:tcW w:type="dxa" w:w="75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6 agent-specific checks shipped; AIBOM report generator live on Eviden's existing PDF engine</w:t>
            </w:r>
          </w:p>
        </w:tc>
      </w:tr>
      <w:tr>
        <w:tc>
          <w:tcPr>
            <w:tcW w:type="dxa" w:w="15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Days 15–21</w:t>
            </w:r>
          </w:p>
        </w:tc>
        <w:tc>
          <w:tcPr>
            <w:tcW w:type="dxa" w:w="75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CLI published to npm; Stripe-gated CI dashboard; corporate bank account application filed</w:t>
            </w:r>
          </w:p>
        </w:tc>
      </w:tr>
      <w:tr>
        <w:tc>
          <w:tcPr>
            <w:tcW w:type="dxa" w:w="15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Days 22–30</w:t>
            </w:r>
          </w:p>
        </w:tc>
        <w:tc>
          <w:tcPr>
            <w:tcW w:type="dxa" w:w="75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Public launch; outreach to Singapore dev/fintech communities; target first 5 paying Team-tier customers</w:t>
            </w:r>
          </w:p>
        </w:tc>
      </w:tr>
      <w:tr>
        <w:tc>
          <w:tcPr>
            <w:tcW w:type="dxa" w:w="15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Month 2–3</w:t>
            </w:r>
          </w:p>
        </w:tc>
        <w:tc>
          <w:tcPr>
            <w:tcW w:type="dxa" w:w="75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CI dashboard iteration; first published case study; EntrePass filed on IP/patent criterion</w:t>
            </w:r>
          </w:p>
        </w:tc>
      </w:tr>
      <w:tr>
        <w:tc>
          <w:tcPr>
            <w:tcW w:type="dxa" w:w="15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Month 4–6</w:t>
            </w:r>
          </w:p>
        </w:tc>
        <w:tc>
          <w:tcPr>
            <w:tcW w:type="dxa" w:w="75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2–3 design-partner pilots; AIBOM positioned explicitly for compliance-led sales</w:t>
            </w:r>
          </w:p>
        </w:tc>
      </w:tr>
      <w:tr>
        <w:tc>
          <w:tcPr>
            <w:tcW w:type="dxa" w:w="1500"/>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Month 7–12</w:t>
            </w:r>
          </w:p>
        </w:tc>
        <w:tc>
          <w:tcPr>
            <w:tcW w:type="dxa" w:w="7526"/>
            <w:tcBorders>
              <w:top w:val="single" w:color="C7CFD6" w:sz="4"/>
              <w:left w:val="single" w:color="C7CFD6" w:sz="4"/>
              <w:bottom w:val="single" w:color="C7CFD6" w:sz="4"/>
              <w:right w:val="single" w:color="C7CFD6" w:sz="4"/>
            </w:tcBorders>
            <w:shd w:fill="F4F6F8" w:color="auto" w:val="clear"/>
            <w:tcMar>
              <w:top w:type="dxa" w:w="100"/>
              <w:left w:type="dxa" w:w="120"/>
              <w:bottom w:type="dxa" w:w="100"/>
              <w:right w:type="dxa" w:w="120"/>
            </w:tcMar>
            <w:vAlign w:val="center"/>
          </w:tcPr>
          <w:p>
            <w:r>
              <w:rPr>
                <w:b w:val="false"/>
                <w:bCs w:val="false"/>
                <w:color w:val="1A1A1A"/>
                <w:sz w:val="19"/>
                <w:szCs w:val="19"/>
              </w:rPr>
              <w:t xml:space="preserve">ARR scale-up; Startup SG Tech application once shareholding structure allows</w:t>
            </w:r>
          </w:p>
        </w:tc>
      </w:tr>
      <w:tr>
        <w:tc>
          <w:tcPr>
            <w:tcW w:type="dxa" w:w="1500"/>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Month 12–18</w:t>
            </w:r>
          </w:p>
        </w:tc>
        <w:tc>
          <w:tcPr>
            <w:tcW w:type="dxa" w:w="7526"/>
            <w:tcBorders>
              <w:top w:val="single" w:color="C7CFD6" w:sz="4"/>
              <w:left w:val="single" w:color="C7CFD6" w:sz="4"/>
              <w:bottom w:val="single" w:color="C7CFD6" w:sz="4"/>
              <w:right w:val="single" w:color="C7CFD6" w:sz="4"/>
            </w:tcBorders>
            <w:shd w:fill="FFFFFF" w:color="auto" w:val="clear"/>
            <w:tcMar>
              <w:top w:type="dxa" w:w="100"/>
              <w:left w:type="dxa" w:w="120"/>
              <w:bottom w:type="dxa" w:w="100"/>
              <w:right w:type="dxa" w:w="120"/>
            </w:tcMar>
            <w:vAlign w:val="center"/>
          </w:tcPr>
          <w:p>
            <w:r>
              <w:rPr>
                <w:b w:val="false"/>
                <w:bCs w:val="false"/>
                <w:color w:val="1A1A1A"/>
                <w:sz w:val="19"/>
                <w:szCs w:val="19"/>
              </w:rPr>
              <w:t xml:space="preserve">Open strategic conversations with Snyk and secondary targets on the back of revenue and logos</w:t>
            </w:r>
          </w:p>
        </w:tc>
      </w:tr>
    </w:tbl>
    <w:p>
      <w:pPr>
        <w:pStyle w:val="Heading1"/>
        <w:pBdr>
          <w:bottom w:val="single" w:color="1E7F72" w:sz="8" w:space="6"/>
        </w:pBdr>
        <w:spacing w:after="200" w:before="420"/>
      </w:pPr>
      <w:r>
        <w:rPr>
          <w:b/>
          <w:bCs/>
          <w:color w:val="132436"/>
          <w:sz w:val="30"/>
          <w:szCs w:val="30"/>
        </w:rPr>
        <w:t xml:space="preserve">14.  The Ask</w:t>
      </w:r>
    </w:p>
    <w:p>
      <w:pPr>
        <w:spacing w:after="160" w:line="300"/>
      </w:pPr>
      <w:r>
        <w:rPr>
          <w:i w:val="false"/>
          <w:iCs w:val="false"/>
          <w:color w:val="1A1A1A"/>
          <w:sz w:val="21"/>
          <w:szCs w:val="21"/>
        </w:rPr>
        <w:t xml:space="preserve">This briefing is built to work in two conversations: with an angel or pre-seed investor, and with a grant reviewer or mentor assessing the company independent of equity funding. The illustrative ask below is a starting point for discussion, not a fixed term.</w:t>
      </w:r>
    </w:p>
    <w:p>
      <w:pPr>
        <w:pStyle w:val="ListParagraph"/>
        <w:numPr>
          <w:ilvl w:val="0"/>
          <w:numId w:val="2"/>
        </w:numPr>
        <w:spacing w:after="100" w:line="280"/>
      </w:pPr>
      <w:r>
        <w:rPr>
          <w:b/>
          <w:bCs/>
          <w:color w:val="132436"/>
          <w:sz w:val="21"/>
          <w:szCs w:val="21"/>
        </w:rPr>
        <w:t xml:space="preserve">Illustrative raise: </w:t>
      </w:r>
      <w:r>
        <w:rPr>
          <w:sz w:val="21"/>
          <w:szCs w:val="21"/>
        </w:rPr>
        <w:t xml:space="preserve">S$150,000–300,000 pre-seed / angel, to extend runway 12–18 months and fund the first 1–2 hires (a second engineer and, once revenue supports it, a Singapore-based compliance/GTM hire).</w:t>
      </w:r>
    </w:p>
    <w:p>
      <w:pPr>
        <w:pStyle w:val="ListParagraph"/>
        <w:numPr>
          <w:ilvl w:val="0"/>
          <w:numId w:val="2"/>
        </w:numPr>
        <w:spacing w:after="100" w:line="280"/>
      </w:pPr>
      <w:r>
        <w:rPr>
          <w:b/>
          <w:bCs/>
          <w:color w:val="132436"/>
          <w:sz w:val="21"/>
          <w:szCs w:val="21"/>
        </w:rPr>
        <w:t xml:space="preserve">Use of funds: </w:t>
      </w:r>
      <w:r>
        <w:rPr>
          <w:sz w:val="21"/>
          <w:szCs w:val="21"/>
        </w:rPr>
        <w:t xml:space="preserve">engineering headcount, Singapore market entry (compliance-led sales motion), and working capital to bridge the milestone-based disbursement of any non-dilutive grant secured in parallel.</w:t>
      </w:r>
    </w:p>
    <w:p>
      <w:pPr>
        <w:pStyle w:val="ListParagraph"/>
        <w:numPr>
          <w:ilvl w:val="0"/>
          <w:numId w:val="2"/>
        </w:numPr>
        <w:spacing w:after="100" w:line="280"/>
      </w:pPr>
      <w:r>
        <w:rPr>
          <w:b/>
          <w:bCs/>
          <w:color w:val="132436"/>
          <w:sz w:val="21"/>
          <w:szCs w:val="21"/>
        </w:rPr>
        <w:t xml:space="preserve">Non-dilutive complement: </w:t>
      </w:r>
      <w:r>
        <w:rPr>
          <w:sz w:val="21"/>
          <w:szCs w:val="21"/>
        </w:rPr>
        <w:t xml:space="preserve">Startup SG Tech (PoC up to S$400,000 / PoV up to S$800,000) once the 30% local-shareholding requirement is structured for; Startup SG Founder (S$20,000–50,000) in the interim.</w:t>
      </w:r>
    </w:p>
    <w:p>
      <w:pPr>
        <w:pStyle w:val="Heading1"/>
        <w:pBdr>
          <w:bottom w:val="single" w:color="1E7F72" w:sz="8" w:space="6"/>
        </w:pBdr>
        <w:spacing w:after="200" w:before="420"/>
      </w:pPr>
      <w:r>
        <w:rPr>
          <w:b/>
          <w:bCs/>
          <w:color w:val="132436"/>
          <w:sz w:val="30"/>
          <w:szCs w:val="30"/>
        </w:rPr>
        <w:t xml:space="preserve">15.  Sources &amp; References</w:t>
      </w:r>
    </w:p>
    <w:p>
      <w:pPr>
        <w:spacing w:after="160" w:line="300"/>
      </w:pPr>
      <w:r>
        <w:rPr>
          <w:i/>
          <w:iCs/>
          <w:color w:val="5B6B7A"/>
          <w:sz w:val="21"/>
          <w:szCs w:val="21"/>
        </w:rPr>
        <w:t xml:space="preserve">Public reporting and regulatory publications referenced in this briefing:</w:t>
      </w:r>
    </w:p>
    <w:p>
      <w:pPr>
        <w:pStyle w:val="ListParagraph"/>
        <w:numPr>
          <w:ilvl w:val="0"/>
          <w:numId w:val="2"/>
        </w:numPr>
        <w:spacing w:after="100" w:line="280"/>
      </w:pPr>
      <w:r>
        <w:rPr>
          <w:sz w:val="21"/>
          <w:szCs w:val="21"/>
        </w:rPr>
        <w:t xml:space="preserve">Google Cloud — “Google Completes Acquisition of Wiz,” March 11, 2026</w:t>
      </w:r>
    </w:p>
    <w:p>
      <w:pPr>
        <w:pStyle w:val="ListParagraph"/>
        <w:numPr>
          <w:ilvl w:val="0"/>
          <w:numId w:val="2"/>
        </w:numPr>
        <w:spacing w:after="100" w:line="280"/>
      </w:pPr>
      <w:r>
        <w:rPr>
          <w:sz w:val="21"/>
          <w:szCs w:val="21"/>
        </w:rPr>
        <w:t xml:space="preserve">Snyk — “Snyk Acquires Invariant Labs to Accelerate Agentic AI Security Innovation,” June 24, 2025</w:t>
      </w:r>
    </w:p>
    <w:p>
      <w:pPr>
        <w:pStyle w:val="ListParagraph"/>
        <w:numPr>
          <w:ilvl w:val="0"/>
          <w:numId w:val="2"/>
        </w:numPr>
        <w:spacing w:after="100" w:line="280"/>
      </w:pPr>
      <w:r>
        <w:rPr>
          <w:sz w:val="21"/>
          <w:szCs w:val="21"/>
        </w:rPr>
        <w:t xml:space="preserve">Information Security Media Group — “Snyk Acquires Probely to Strengthen API Security for AI Apps,” November 12, 2024</w:t>
      </w:r>
    </w:p>
    <w:p>
      <w:pPr>
        <w:pStyle w:val="ListParagraph"/>
        <w:numPr>
          <w:ilvl w:val="0"/>
          <w:numId w:val="2"/>
        </w:numPr>
        <w:spacing w:after="100" w:line="280"/>
      </w:pPr>
      <w:r>
        <w:rPr>
          <w:sz w:val="21"/>
          <w:szCs w:val="21"/>
        </w:rPr>
        <w:t xml:space="preserve">BankInfoSecurity — “Snyk Reportedly Cuts 90 Jobs to Accelerate AI Strategy” (tuck-in acquisition history)</w:t>
      </w:r>
    </w:p>
    <w:p>
      <w:pPr>
        <w:pStyle w:val="ListParagraph"/>
        <w:numPr>
          <w:ilvl w:val="0"/>
          <w:numId w:val="2"/>
        </w:numPr>
        <w:spacing w:after="100" w:line="280"/>
      </w:pPr>
      <w:r>
        <w:rPr>
          <w:sz w:val="21"/>
          <w:szCs w:val="21"/>
        </w:rPr>
        <w:t xml:space="preserve">Datadog — press releases, Metaplane (Apr 23, 2025), Eppo (May 5, 2025), Adaptive ML (Jun 30, 2026)</w:t>
      </w:r>
    </w:p>
    <w:p>
      <w:pPr>
        <w:pStyle w:val="ListParagraph"/>
        <w:numPr>
          <w:ilvl w:val="0"/>
          <w:numId w:val="2"/>
        </w:numPr>
        <w:spacing w:after="100" w:line="280"/>
      </w:pPr>
      <w:r>
        <w:rPr>
          <w:sz w:val="21"/>
          <w:szCs w:val="21"/>
        </w:rPr>
        <w:t xml:space="preserve">Prompt Security — AI Security Startups Map (landscape statistics)</w:t>
      </w:r>
    </w:p>
    <w:p>
      <w:pPr>
        <w:pStyle w:val="ListParagraph"/>
        <w:numPr>
          <w:ilvl w:val="0"/>
          <w:numId w:val="2"/>
        </w:numPr>
        <w:spacing w:after="100" w:line="280"/>
      </w:pPr>
      <w:r>
        <w:rPr>
          <w:sz w:val="21"/>
          <w:szCs w:val="21"/>
        </w:rPr>
        <w:t xml:space="preserve">AppSecSanta — “Lakera Guard 2026” (Check Point acquisition, September 2025)</w:t>
      </w:r>
    </w:p>
    <w:p>
      <w:pPr>
        <w:pStyle w:val="ListParagraph"/>
        <w:numPr>
          <w:ilvl w:val="0"/>
          <w:numId w:val="2"/>
        </w:numPr>
        <w:spacing w:after="100" w:line="280"/>
      </w:pPr>
      <w:r>
        <w:rPr>
          <w:sz w:val="21"/>
          <w:szCs w:val="21"/>
        </w:rPr>
        <w:t xml:space="preserve">Baker McKenzie — “Singapore: IMDA updates Model AI Governance Framework for Agentic AI,” May 20, 2026</w:t>
      </w:r>
    </w:p>
    <w:p>
      <w:pPr>
        <w:pStyle w:val="ListParagraph"/>
        <w:numPr>
          <w:ilvl w:val="0"/>
          <w:numId w:val="2"/>
        </w:numPr>
        <w:spacing w:after="100" w:line="280"/>
      </w:pPr>
      <w:r>
        <w:rPr>
          <w:sz w:val="21"/>
          <w:szCs w:val="21"/>
        </w:rPr>
        <w:t xml:space="preserve">Hogan Lovells — “From principles to practice: Maturing AI supervision in Singapore's Financial Sector”</w:t>
      </w:r>
    </w:p>
    <w:p>
      <w:pPr>
        <w:pStyle w:val="ListParagraph"/>
        <w:numPr>
          <w:ilvl w:val="0"/>
          <w:numId w:val="2"/>
        </w:numPr>
        <w:spacing w:after="100" w:line="280"/>
      </w:pPr>
      <w:r>
        <w:rPr>
          <w:sz w:val="21"/>
          <w:szCs w:val="21"/>
        </w:rPr>
        <w:t xml:space="preserve">GrantLA — “Startup SG Tech Grant: PoC vs PoV Eligibility,” verified July 11, 2026</w:t>
      </w:r>
    </w:p>
    <w:p>
      <w:pPr>
        <w:pStyle w:val="ListParagraph"/>
        <w:numPr>
          <w:ilvl w:val="0"/>
          <w:numId w:val="2"/>
        </w:numPr>
        <w:spacing w:after="100" w:line="280"/>
      </w:pPr>
      <w:r>
        <w:rPr>
          <w:sz w:val="21"/>
          <w:szCs w:val="21"/>
        </w:rPr>
        <w:t xml:space="preserve">Raffles Corporate Services — “Singapore EntrePass 2026: Eligibility, COMPASS &amp; Application Guide”</w:t>
      </w:r>
    </w:p>
    <w:p>
      <w:pPr>
        <w:pStyle w:val="ListParagraph"/>
        <w:numPr>
          <w:ilvl w:val="0"/>
          <w:numId w:val="2"/>
        </w:numPr>
        <w:spacing w:after="100" w:line="280"/>
      </w:pPr>
      <w:r>
        <w:rPr>
          <w:sz w:val="21"/>
          <w:szCs w:val="21"/>
        </w:rPr>
        <w:t xml:space="preserve">HevoData / TechZine — Fivetran and dbt Labs merger completion coverage, June 1, 2026</w:t>
      </w:r>
    </w:p>
    <w:p>
      <w:pPr>
        <w:spacing w:after="160" w:line="300"/>
      </w:pPr>
      <w:r>
        <w:rPr>
          <w:i/>
          <w:iCs/>
          <w:color w:val="5B6B7A"/>
          <w:sz w:val="21"/>
          <w:szCs w:val="21"/>
        </w:rPr>
        <w:t xml:space="preserve">This document contains illustrative projections and founder estimates. It is not audited, does not constitute financial or legal advice, and all figures should be independently verified before relying on them for investment or regulatory decisions.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A"/>
        <w:sz w:val="15"/>
        <w:szCs w:val="15"/>
      </w:rPr>
      <w:t xml:space="preserve">Algorzen Pte. Ltd.  ·  </w:t>
    </w:r>
    <w:r>
      <w:rPr>
        <w:color w:val="5B6B7A"/>
        <w:sz w:val="15"/>
        <w:szCs w:val="15"/>
      </w:rPr>
      <w:t xml:space="preserve">Page </w:t>
    </w:r>
    <w:r>
      <w:rPr>
        <w:color w:val="5B6B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FD6" w:sz="4" w:space="4"/>
      </w:pBdr>
      <w:jc w:val="right"/>
    </w:pPr>
    <w:r>
      <w:rPr>
        <w:color w:val="5B6B7A"/>
        <w:sz w:val="15"/>
        <w:szCs w:val="15"/>
      </w:rPr>
      <w:t xml:space="preserve">ORVYEN AGENTIC — CONFIDENTIAL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a57d27cb455354240148b660322d934250798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2026-09-02T03:45:08.322Z</dcterms:created>
  <dcterms:modified xsi:type="dcterms:W3CDTF">2026-09-02T03:45:08.323Z</dcterms:modified>
</cp:coreProperties>
</file>

<file path=docProps/custom.xml><?xml version="1.0" encoding="utf-8"?>
<Properties xmlns="http://schemas.openxmlformats.org/officeDocument/2006/custom-properties" xmlns:vt="http://schemas.openxmlformats.org/officeDocument/2006/docPropsVTypes"/>
</file>