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Scenario</w:t>
      </w:r>
      <w:r>
        <w:t xml:space="preserve"> </w:t>
      </w:r>
      <w:r>
        <w:t xml:space="preserve">Anaysis:</w:t>
      </w:r>
      <w:r>
        <w:t xml:space="preserve"> </w:t>
      </w:r>
      <w:r>
        <w:t xml:space="preserve">Impact</w:t>
      </w:r>
      <w:r>
        <w:t xml:space="preserve"> </w:t>
      </w:r>
      <w:r>
        <w:t xml:space="preserve">on</w:t>
      </w:r>
      <w:r>
        <w:t xml:space="preserve"> </w:t>
      </w:r>
      <w:r>
        <w:t xml:space="preserve">mental</w:t>
      </w:r>
      <w:r>
        <w:t xml:space="preserve"> </w:t>
      </w:r>
      <w:r>
        <w:t xml:space="preserve">disorder</w:t>
      </w:r>
      <w:r>
        <w:t xml:space="preserve"> </w:t>
      </w:r>
      <w:r>
        <w:t xml:space="preserve">prevalence</w:t>
      </w:r>
      <w:r>
        <w:t xml:space="preserve"> </w:t>
      </w:r>
      <w:r>
        <w:t xml:space="preserve">due</w:t>
      </w:r>
      <w:r>
        <w:t xml:space="preserve"> </w:t>
      </w:r>
      <w:r>
        <w:t xml:space="preserve">to</w:t>
      </w:r>
      <w:r>
        <w:t xml:space="preserve"> </w:t>
      </w:r>
      <w:r>
        <w:t xml:space="preserve">COVID-19</w:t>
      </w:r>
      <w:r>
        <w:t xml:space="preserve"> </w:t>
      </w:r>
      <w:r>
        <w:t xml:space="preserve">Systemic</w:t>
      </w:r>
      <w:r>
        <w:t xml:space="preserve"> </w:t>
      </w:r>
      <w:r>
        <w:t xml:space="preserve">Shock</w:t>
      </w:r>
    </w:p>
    <w:p>
      <w:pPr>
        <w:pStyle w:val="Date"/>
      </w:pPr>
      <w:r>
        <w:t xml:space="preserve">May</w:t>
      </w:r>
      <w:r>
        <w:t xml:space="preserve"> </w:t>
      </w:r>
      <w:r>
        <w:t xml:space="preserve">07,</w:t>
      </w:r>
      <w:r>
        <w:t xml:space="preserve"> </w:t>
      </w:r>
      <w:r>
        <w:t xml:space="preserve">2020</w:t>
      </w:r>
    </w:p>
    <w:p>
      <w:pPr>
        <w:pStyle w:val="FirstParagraph"/>
      </w:pPr>
      <w:r>
        <w:t xml:space="preserve">Not for citation or public dissemination.</w:t>
      </w:r>
    </w:p>
    <w:p>
      <w:pPr>
        <w:pStyle w:val="Heading1"/>
      </w:pPr>
      <w:bookmarkStart w:id="20" w:name="introduction"/>
      <w:r>
        <w:t xml:space="preserve">Introduction</w:t>
      </w:r>
      <w:bookmarkEnd w:id="20"/>
    </w:p>
    <w:p>
      <w:pPr>
        <w:pStyle w:val="FirstParagraph"/>
      </w:pPr>
      <w:r>
        <w:t xml:space="preserve">This document explores the potential impact of the significant social and economic disruption arising from COVID-19 on annual prevalence of any common mental disorder amongst 12 to 25 year olds resident in Victoria State and Territory between 06 May 2020 and 01 January 2025.</w:t>
      </w:r>
    </w:p>
    <w:p>
      <w:pPr>
        <w:pStyle w:val="Heading1"/>
      </w:pPr>
      <w:bookmarkStart w:id="21" w:name="modelling-steps-and-outputs"/>
      <w:r>
        <w:t xml:space="preserve">Modelling Steps and Outputs</w:t>
      </w:r>
      <w:bookmarkEnd w:id="21"/>
    </w:p>
    <w:p>
      <w:pPr>
        <w:pStyle w:val="Heading2"/>
      </w:pPr>
      <w:bookmarkStart w:id="22" w:name="demographic-projections"/>
      <w:r>
        <w:t xml:space="preserve">Demographic Projections</w:t>
      </w:r>
      <w:bookmarkEnd w:id="22"/>
    </w:p>
    <w:p>
      <w:pPr>
        <w:pStyle w:val="FirstParagraph"/>
      </w:pPr>
      <w:r>
        <w:t xml:space="preserve">We first predicted the population of 12 to 25 year olds resident in Victoria State and Territory. These predictions do not account for any potential COVID-19 disruptions to migration or mortality.</w:t>
      </w:r>
    </w:p>
    <w:p>
      <w:pPr>
        <w:pStyle w:val="Heading3"/>
      </w:pPr>
      <w:bookmarkStart w:id="23" w:name="X666946390cc43fb4718727735577fffa2b81cd9"/>
      <w:r>
        <w:t xml:space="preserve">Predicted Change in Resident Population Between 06 May 2020 and 01 January 2025</w:t>
      </w:r>
      <w:bookmarkEnd w:id="23"/>
    </w:p>
    <w:p>
      <w:pPr>
        <w:pStyle w:val="TableCaption"/>
      </w:pPr>
      <w:r>
        <w:t xml:space="preserve">Table 12: Predicted Change in Total Resident Population of 12 to 25 Year Olds in Victoria State and Territory Between 06 May 2020 and 01 January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00"/>
        <w:gridCol w:w="1800"/>
        <w:gridCol w:w="1800"/>
        <w:gridCol w:w="1800"/>
        <w:gridCol w:w="180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Prediction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UI Low Bound (2.5%)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UI High Bound (97.5%)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46,189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42,772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46,167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51,257</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93,111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87,770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96,686</w:t>
            </w:r>
          </w:p>
        </w:tc>
      </w:tr>
    </w:tbl>
    <w:p>
      <w:pPr>
        <w:pStyle w:val="CaptionedFigure"/>
      </w:pPr>
      <w:r>
        <w:drawing>
          <wp:inline>
            <wp:extent cx="4620126" cy="3696101"/>
            <wp:effectExtent b="0" l="0" r="0" t="0"/>
            <wp:docPr descr="Figure 9: Predicted Change in Total Resident Population of 12 to 25 Year Olds in Victoria State and Territory Between 06 May 2020 and 01 January 2025" title="" id="1" name="Picture"/>
            <a:graphic>
              <a:graphicData uri="http://schemas.openxmlformats.org/drawingml/2006/picture">
                <pic:pic>
                  <pic:nvPicPr>
                    <pic:cNvPr descr="COVID_report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Predicted Change in Total Resident Population of 12 to 25 Year Olds in Victoria State and Territory Between 06 May 2020 and 01 January 2025</w:t>
      </w:r>
    </w:p>
    <w:p>
      <w:r>
        <w:br w:type="page"/>
      </w:r>
    </w:p>
    <w:p>
      <w:pPr>
        <w:pStyle w:val="Heading2"/>
      </w:pPr>
      <w:bookmarkStart w:id="25" w:name="X8518397d2f416db56dbca93781961d2e23508b2"/>
      <w:r>
        <w:t xml:space="preserve">Annual Prevalence of Any Common Mental Disorder Base Case</w:t>
      </w:r>
      <w:bookmarkEnd w:id="25"/>
    </w:p>
    <w:p>
      <w:pPr>
        <w:pStyle w:val="FirstParagraph"/>
      </w:pPr>
      <w:r>
        <w:t xml:space="preserve">We next applied age and sex prevalence rates estimated from the most recent Australian surveys to predicted annual prevalence of any common mental disorder amongst 12 to 25 year olds resident in Victoria State and Territory. These rates neither account for any potential change in the background prevalence of mental disorder since these surveys were undertaken, not for the potential impacts of the systemic shock arising from COVID-19.</w:t>
      </w:r>
    </w:p>
    <w:p>
      <w:pPr>
        <w:pStyle w:val="TableCaption"/>
      </w:pPr>
      <w:r>
        <w:t xml:space="preserve">Table 15: Predicted 06 May 2020 Total Annual Prevalence of Any Common Mental Disorder in 12 to 25 Year Olds in Victoria State and Territory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00"/>
        <w:gridCol w:w="1800"/>
        <w:gridCol w:w="1800"/>
        <w:gridCol w:w="1800"/>
        <w:gridCol w:w="180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Estimate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UI Low Bound (2.5%)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UI High Bound (97.5%)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133,600.4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129,011.5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137,801.5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120,224.5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118,577.9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124,598.6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254,959.4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251,208.6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260,897.2</w:t>
            </w:r>
          </w:p>
        </w:tc>
      </w:tr>
    </w:tbl>
    <w:p>
      <w:pPr>
        <w:pStyle w:val="CaptionedFigure"/>
      </w:pPr>
      <w:r>
        <w:drawing>
          <wp:inline>
            <wp:extent cx="4620126" cy="3696101"/>
            <wp:effectExtent b="0" l="0" r="0" t="0"/>
            <wp:docPr descr="Figure 12: Predicted 06 May 2020 Total Annual Prevalence of Any Common Mental Disorder in 12 to 25 Year Olds in Victoria State and Territory" title="" id="1" name="Picture"/>
            <a:graphic>
              <a:graphicData uri="http://schemas.openxmlformats.org/drawingml/2006/picture">
                <pic:pic>
                  <pic:nvPicPr>
                    <pic:cNvPr descr="COVID_report_files/figure-docx/unnamed-chunk-15-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12: Predicted 06 May 2020 Total Annual Prevalence of Any Common Mental Disorder in 12 to 25 Year Olds in Victoria State and Territory</w:t>
      </w:r>
    </w:p>
    <w:p>
      <w:r>
        <w:br w:type="page"/>
      </w:r>
    </w:p>
    <w:p>
      <w:pPr>
        <w:pStyle w:val="TableCaption"/>
      </w:pPr>
      <w:r>
        <w:t xml:space="preserve">Table 18: Predicted 01 January 2025 Total Annual Prevalence of Any Common Mental Disorder in 12 to 25 Year Olds in Victoria State and Territory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00"/>
        <w:gridCol w:w="1800"/>
        <w:gridCol w:w="1800"/>
        <w:gridCol w:w="1800"/>
        <w:gridCol w:w="180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Prediction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UI Low Bound (2.5%)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UI High Bound (97.5%)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143,586.4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138,727.6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147,951.6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129,459.0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127,049.9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133,644.8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273,343.6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270,025.8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279,922.7</w:t>
            </w:r>
          </w:p>
        </w:tc>
      </w:tr>
    </w:tbl>
    <w:p>
      <w:pPr>
        <w:pStyle w:val="CaptionedFigure"/>
      </w:pPr>
      <w:r>
        <w:drawing>
          <wp:inline>
            <wp:extent cx="4620126" cy="3696101"/>
            <wp:effectExtent b="0" l="0" r="0" t="0"/>
            <wp:docPr descr="Figure 15: Predicted 01 January 2025 Total Annual Prevalence of Any Common Mental Disorder in 12 to 25 Year Olds in Victoria State and Territory" title="" id="1" name="Picture"/>
            <a:graphic>
              <a:graphicData uri="http://schemas.openxmlformats.org/drawingml/2006/picture">
                <pic:pic>
                  <pic:nvPicPr>
                    <pic:cNvPr descr="COVID_report_files/figure-docx/unnamed-chunk-17-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15: Predicted 01 January 2025 Total Annual Prevalence of Any Common Mental Disorder in 12 to 25 Year Olds in Victoria State and Territory</w:t>
      </w:r>
    </w:p>
    <w:p>
      <w:r>
        <w:br w:type="page"/>
      </w:r>
    </w:p>
    <w:p>
      <w:pPr>
        <w:pStyle w:val="Heading3"/>
      </w:pPr>
      <w:bookmarkStart w:id="28" w:name="X435d76132ca9ee82438c1c0c5bce2beae8fda3b"/>
      <w:r>
        <w:t xml:space="preserve">Predicted Change in Annual Prevalence of Any Common Mental Disorder Between 06 May 2020 and 01 January 2025</w:t>
      </w:r>
      <w:bookmarkEnd w:id="28"/>
    </w:p>
    <w:p>
      <w:pPr>
        <w:pStyle w:val="TableCaption"/>
      </w:pPr>
      <w:r>
        <w:t xml:space="preserve">Table 21: Predicted Change in Total Annual Prevalence of Any Common Mental Disorder in 12 to 25 Year Olds in Victoria State and Territory Between 06 May 2020 and 01 January 2025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800"/>
        <w:gridCol w:w="1800"/>
        <w:gridCol w:w="1800"/>
        <w:gridCol w:w="1800"/>
        <w:gridCol w:w="180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Prediction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UI Low Bound (2.5%)</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UI High Bound (97.5%)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9,873.7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9,047.9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Male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9,059.3</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8,304.4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9,796.8</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Persons</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12-25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19,021.5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17,883.0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19,773.1</w:t>
            </w:r>
          </w:p>
        </w:tc>
      </w:tr>
    </w:tbl>
    <w:p>
      <w:pPr>
        <w:pStyle w:val="CaptionedFigure"/>
      </w:pPr>
      <w:r>
        <w:drawing>
          <wp:inline>
            <wp:extent cx="4620126" cy="3696101"/>
            <wp:effectExtent b="0" l="0" r="0" t="0"/>
            <wp:docPr descr="Figure 18: Predicted Change in Total Annual Prevalence of Any Common Mental Disorder in 12 to 25 Year Olds in Victoria State and Territory Between 06 May 2020 and 01 January 2025" title="" id="1" name="Picture"/>
            <a:graphic>
              <a:graphicData uri="http://schemas.openxmlformats.org/drawingml/2006/picture">
                <pic:pic>
                  <pic:nvPicPr>
                    <pic:cNvPr descr="COVID_report_files/figure-docx/unnamed-chunk-19-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18: Predicted Change in Total Annual Prevalence of Any Common Mental Disorder in 12 to 25 Year Olds in Victoria State and Territory Between 06 May 2020 and 01 January 2025</w:t>
      </w:r>
    </w:p>
    <w:p>
      <w:r>
        <w:br w:type="page"/>
      </w:r>
    </w:p>
    <w:p>
      <w:pPr>
        <w:pStyle w:val="Heading2"/>
      </w:pPr>
      <w:bookmarkStart w:id="30" w:name="covid-19-counterfactual"/>
      <w:r>
        <w:t xml:space="preserve">COVID-19 Counterfactual</w:t>
      </w:r>
      <w:bookmarkEnd w:id="30"/>
    </w:p>
    <w:p>
      <w:pPr>
        <w:pStyle w:val="FirstParagraph"/>
      </w:pPr>
      <w:r>
        <w:t xml:space="preserve">Finally, we modelled one counterfactual scenario - that of an increase in prevalence rates due to the COVID-19 systemic shock. This scenario did not explore any potential change in background prevalence between the conduct of national Australian epidemiological surveys that are the source of our base case prevalence rate data nor any demographic change (population size and composition) arising from the COVID-19 systemic shock.</w:t>
      </w:r>
    </w:p>
    <w:p>
      <w:pPr>
        <w:pStyle w:val="SourceCode"/>
      </w:pPr>
      <w:r>
        <w:rPr>
          <w:rStyle w:val="VerbatimChar"/>
        </w:rPr>
        <w:t xml:space="preserve">## # A tibble: 5 x 3</w:t>
      </w:r>
      <w:r>
        <w:br/>
      </w:r>
      <w:r>
        <w:rPr>
          <w:rStyle w:val="VerbatimChar"/>
        </w:rPr>
        <w:t xml:space="preserve">##   Statistic                                                        `Base case` `COVID shock`</w:t>
      </w:r>
      <w:r>
        <w:br/>
      </w:r>
      <w:r>
        <w:rPr>
          <w:rStyle w:val="VerbatimChar"/>
        </w:rPr>
        <w:t xml:space="preserve">##   &lt;chr&gt;                                                            &lt;chr&gt;       &lt;chr&gt;        </w:t>
      </w:r>
      <w:r>
        <w:br/>
      </w:r>
      <w:r>
        <w:rPr>
          <w:rStyle w:val="VerbatimChar"/>
        </w:rPr>
        <w:t xml:space="preserve">## 1 Prevalent population counts in 2024/2025                         273,851.9   338,533.9    </w:t>
      </w:r>
      <w:r>
        <w:br/>
      </w:r>
      <w:r>
        <w:rPr>
          <w:rStyle w:val="VerbatimChar"/>
        </w:rPr>
        <w:t xml:space="preserve">## 2 Prevalent population proportion in 2024/25                       21%         26%          </w:t>
      </w:r>
      <w:r>
        <w:br/>
      </w:r>
      <w:r>
        <w:rPr>
          <w:rStyle w:val="VerbatimChar"/>
        </w:rPr>
        <w:t xml:space="preserve">## 3 Change in prevalent population from 2020 Base case               18,948.32   83,630.35    </w:t>
      </w:r>
      <w:r>
        <w:br/>
      </w:r>
      <w:r>
        <w:rPr>
          <w:rStyle w:val="VerbatimChar"/>
        </w:rPr>
        <w:t xml:space="preserve">## 4 COVID-19 excess prevalent counts in 2024/25                      NA          64,682       </w:t>
      </w:r>
      <w:r>
        <w:br/>
      </w:r>
      <w:r>
        <w:rPr>
          <w:rStyle w:val="VerbatimChar"/>
        </w:rPr>
        <w:t xml:space="preserve">## 5 Health utility impact (in QALYs) of excess prevalence in 2024/25 NA          4,499.848</w:t>
      </w:r>
    </w:p>
    <w:p>
      <w:pPr>
        <w:pStyle w:val="FirstParagraph"/>
      </w:pPr>
      <w:r>
        <w:t xml:space="preserve">To explore the cost of mitigating the population health utility loss under this scenario, we multiplied the projected Quality Adjusted Life Years (QALYs) lost by an empirical estimate of the marginal productivity of Australian healthcare expenditure in dollars per QALY. The estimated healthcare financing requirement to completely offset the projected health loss due to the COVID-19 systemic shock modelled under this scenario is $147,084,195.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 Anaysis: Impact on mental disorder prevalence due to COVID-19 Systemic Shock</dc:title>
  <dc:creator/>
  <cp:keywords/>
  <dcterms:created xsi:type="dcterms:W3CDTF">2020-05-07T05:20:16Z</dcterms:created>
  <dcterms:modified xsi:type="dcterms:W3CDTF">2020-05-07T05:20:16Z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07, 2020</vt:lpwstr>
  </property>
  <property fmtid="{D5CDD505-2E9C-101B-9397-08002B2CF9AE}" pid="3" name="header-includes">
    <vt:lpwstr/>
  </property>
  <property fmtid="{D5CDD505-2E9C-101B-9397-08002B2CF9AE}" pid="4" name="output">
    <vt:lpwstr/>
  </property>
  <property fmtid="{D5CDD505-2E9C-101B-9397-08002B2CF9AE}" pid="5" name="params">
    <vt:lpwstr/>
  </property>
</Properties>
</file>