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F4FB" w14:textId="77777777" w:rsidR="00C86FBC" w:rsidRDefault="00C86FBC" w:rsidP="00974E88">
      <w:pPr>
        <w:spacing w:after="45" w:line="294" w:lineRule="auto"/>
        <w:ind w:right="0"/>
        <w:jc w:val="both"/>
        <w:rPr>
          <w:rFonts w:ascii="Aptos" w:hAnsi="Aptos"/>
          <w:color w:val="171717" w:themeColor="background2" w:themeShade="1A"/>
          <w:sz w:val="24"/>
        </w:rPr>
      </w:pPr>
    </w:p>
    <w:p w14:paraId="662EFB02" w14:textId="43E73562" w:rsidR="00C86FBC" w:rsidRPr="00C86FBC" w:rsidRDefault="00C86FBC" w:rsidP="00C86FBC">
      <w:pPr>
        <w:tabs>
          <w:tab w:val="left" w:pos="1735"/>
        </w:tabs>
        <w:spacing w:after="45" w:line="294" w:lineRule="auto"/>
        <w:ind w:right="0"/>
        <w:jc w:val="both"/>
        <w:rPr>
          <w:rFonts w:ascii="Aptos" w:hAnsi="Aptos"/>
          <w:b/>
          <w:bCs/>
          <w:color w:val="171717" w:themeColor="background2" w:themeShade="1A"/>
          <w:sz w:val="32"/>
          <w:szCs w:val="32"/>
        </w:rPr>
      </w:pPr>
      <w:r>
        <w:rPr>
          <w:rFonts w:ascii="Aptos" w:hAnsi="Aptos"/>
          <w:color w:val="171717" w:themeColor="background2" w:themeShade="1A"/>
          <w:sz w:val="24"/>
        </w:rPr>
        <w:tab/>
      </w:r>
      <w:r>
        <w:rPr>
          <w:rFonts w:ascii="Aptos" w:hAnsi="Aptos"/>
          <w:color w:val="171717" w:themeColor="background2" w:themeShade="1A"/>
          <w:sz w:val="24"/>
        </w:rPr>
        <w:tab/>
        <w:t xml:space="preserve">          </w:t>
      </w:r>
      <w:r w:rsidRPr="00C86FBC">
        <w:rPr>
          <w:rFonts w:ascii="Aptos" w:hAnsi="Aptos"/>
          <w:b/>
          <w:bCs/>
          <w:color w:val="171717" w:themeColor="background2" w:themeShade="1A"/>
          <w:sz w:val="32"/>
          <w:szCs w:val="32"/>
        </w:rPr>
        <w:t>LA GUERRA CON CHILE DE 1879</w:t>
      </w:r>
    </w:p>
    <w:p w14:paraId="66BBB4CA" w14:textId="77777777" w:rsidR="00C86FBC" w:rsidRDefault="00C86FBC" w:rsidP="00C86FBC">
      <w:pPr>
        <w:spacing w:after="45" w:line="294" w:lineRule="auto"/>
        <w:ind w:left="0" w:right="0" w:firstLine="0"/>
        <w:jc w:val="both"/>
        <w:rPr>
          <w:rFonts w:ascii="Aptos" w:hAnsi="Aptos"/>
          <w:color w:val="171717" w:themeColor="background2" w:themeShade="1A"/>
          <w:sz w:val="24"/>
        </w:rPr>
      </w:pPr>
    </w:p>
    <w:p w14:paraId="379ED483" w14:textId="7973451B" w:rsidR="00CD1445" w:rsidRPr="00C86FBC" w:rsidRDefault="00CD1445" w:rsidP="00C86FBC">
      <w:pPr>
        <w:pStyle w:val="Prrafodelista"/>
        <w:numPr>
          <w:ilvl w:val="0"/>
          <w:numId w:val="4"/>
        </w:numPr>
        <w:spacing w:after="45" w:line="294" w:lineRule="auto"/>
        <w:ind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86FBC">
        <w:rPr>
          <w:rFonts w:ascii="Aptos" w:hAnsi="Aptos"/>
          <w:color w:val="171717" w:themeColor="background2" w:themeShade="1A"/>
          <w:sz w:val="24"/>
        </w:rPr>
        <w:t>Alfonso Ugarte</w:t>
      </w:r>
    </w:p>
    <w:p w14:paraId="634B735D" w14:textId="3F0E2103" w:rsidR="00CD1445" w:rsidRPr="00CD1445" w:rsidRDefault="00CD1445" w:rsidP="00CD1445">
      <w:pPr>
        <w:spacing w:after="45" w:line="294" w:lineRule="auto"/>
        <w:ind w:left="385"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D1445">
        <w:rPr>
          <w:rFonts w:ascii="Aptos" w:hAnsi="Aptos"/>
          <w:color w:val="171717" w:themeColor="background2" w:themeShade="1A"/>
          <w:sz w:val="24"/>
        </w:rPr>
        <w:t>Militar peruano nacido en 1847. Defensor del Morro de Arica el 7 de junio de 1880. Murió en combate. Su figura es registrada en las Memorias del Ejército del Perú y en Basadre.</w:t>
      </w:r>
    </w:p>
    <w:p w14:paraId="6095A574" w14:textId="77777777" w:rsidR="00CD1445" w:rsidRPr="00CD1445" w:rsidRDefault="00CD1445" w:rsidP="00CD1445">
      <w:pPr>
        <w:spacing w:after="45" w:line="294" w:lineRule="auto"/>
        <w:ind w:left="385" w:right="0"/>
        <w:jc w:val="both"/>
        <w:rPr>
          <w:rFonts w:ascii="Aptos" w:hAnsi="Aptos"/>
          <w:color w:val="171717" w:themeColor="background2" w:themeShade="1A"/>
          <w:sz w:val="24"/>
        </w:rPr>
      </w:pPr>
    </w:p>
    <w:p w14:paraId="67F937D8" w14:textId="7A32BCB1" w:rsidR="00CD1445" w:rsidRPr="00C86FBC" w:rsidRDefault="00CD1445" w:rsidP="00C86FBC">
      <w:pPr>
        <w:pStyle w:val="Prrafodelista"/>
        <w:numPr>
          <w:ilvl w:val="0"/>
          <w:numId w:val="4"/>
        </w:numPr>
        <w:spacing w:after="45" w:line="294" w:lineRule="auto"/>
        <w:ind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86FBC">
        <w:rPr>
          <w:rFonts w:ascii="Aptos" w:hAnsi="Aptos"/>
          <w:color w:val="171717" w:themeColor="background2" w:themeShade="1A"/>
          <w:sz w:val="24"/>
        </w:rPr>
        <w:t xml:space="preserve">2. </w:t>
      </w:r>
      <w:r w:rsidRPr="00C86FBC">
        <w:rPr>
          <w:rFonts w:ascii="Aptos" w:hAnsi="Aptos"/>
          <w:color w:val="171717" w:themeColor="background2" w:themeShade="1A"/>
          <w:sz w:val="24"/>
        </w:rPr>
        <w:t>Por qué Perú se enfrentó a Chile</w:t>
      </w:r>
    </w:p>
    <w:p w14:paraId="5EE0381A" w14:textId="293782CF" w:rsidR="00CD1445" w:rsidRPr="00CD1445" w:rsidRDefault="00CD1445" w:rsidP="00CD1445">
      <w:pPr>
        <w:spacing w:after="45" w:line="294" w:lineRule="auto"/>
        <w:ind w:left="385"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D1445">
        <w:rPr>
          <w:rFonts w:ascii="Aptos" w:hAnsi="Aptos"/>
          <w:color w:val="171717" w:themeColor="background2" w:themeShade="1A"/>
          <w:sz w:val="24"/>
        </w:rPr>
        <w:t>Causas principales según la historiografía:</w:t>
      </w:r>
    </w:p>
    <w:p w14:paraId="5AD52718" w14:textId="4E015BD8" w:rsidR="00CD1445" w:rsidRPr="00CD1445" w:rsidRDefault="00CD1445" w:rsidP="00CD1445">
      <w:pPr>
        <w:spacing w:after="45" w:line="294" w:lineRule="auto"/>
        <w:ind w:left="385"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D1445">
        <w:rPr>
          <w:rFonts w:ascii="Aptos" w:hAnsi="Aptos"/>
          <w:color w:val="171717" w:themeColor="background2" w:themeShade="1A"/>
          <w:sz w:val="24"/>
        </w:rPr>
        <w:t>• Disputa por territorios salitreros en Tarapacá y Antofagasta.</w:t>
      </w:r>
    </w:p>
    <w:p w14:paraId="3E49A1E7" w14:textId="57BBD4D9" w:rsidR="00CD1445" w:rsidRPr="00CD1445" w:rsidRDefault="00CD1445" w:rsidP="00CD1445">
      <w:pPr>
        <w:spacing w:after="45" w:line="294" w:lineRule="auto"/>
        <w:ind w:left="385"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D1445">
        <w:rPr>
          <w:rFonts w:ascii="Aptos" w:hAnsi="Aptos"/>
          <w:color w:val="171717" w:themeColor="background2" w:themeShade="1A"/>
          <w:sz w:val="24"/>
        </w:rPr>
        <w:t>• Conflicto previo entre Chile y Bolivia por impuestos al salitre (Tratado de 1874 y crisis de 1878).</w:t>
      </w:r>
    </w:p>
    <w:p w14:paraId="29D5011F" w14:textId="743C47FE" w:rsidR="00CD1445" w:rsidRPr="00CD1445" w:rsidRDefault="00CD1445" w:rsidP="00CD1445">
      <w:pPr>
        <w:spacing w:after="45" w:line="294" w:lineRule="auto"/>
        <w:ind w:left="385"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D1445">
        <w:rPr>
          <w:rFonts w:ascii="Aptos" w:hAnsi="Aptos"/>
          <w:color w:val="171717" w:themeColor="background2" w:themeShade="1A"/>
          <w:sz w:val="24"/>
        </w:rPr>
        <w:t>• Perú estaba ligado a Bolivia por un tratado defensivo de 1873.</w:t>
      </w:r>
    </w:p>
    <w:p w14:paraId="6B98D2CF" w14:textId="4D9CAB23" w:rsidR="00CD1445" w:rsidRPr="00CD1445" w:rsidRDefault="00CD1445" w:rsidP="00CD1445">
      <w:pPr>
        <w:spacing w:after="45" w:line="294" w:lineRule="auto"/>
        <w:ind w:left="385"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D1445">
        <w:rPr>
          <w:rFonts w:ascii="Aptos" w:hAnsi="Aptos"/>
          <w:color w:val="171717" w:themeColor="background2" w:themeShade="1A"/>
          <w:sz w:val="24"/>
        </w:rPr>
        <w:t>• La guerra inicia formalmente en 1879.</w:t>
      </w:r>
    </w:p>
    <w:p w14:paraId="60DC3327" w14:textId="0E5E3349" w:rsidR="00CD1445" w:rsidRPr="00CD1445" w:rsidRDefault="00CD1445" w:rsidP="00CD1445">
      <w:pPr>
        <w:spacing w:after="45" w:line="294" w:lineRule="auto"/>
        <w:ind w:left="385"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D1445">
        <w:rPr>
          <w:rFonts w:ascii="Aptos" w:hAnsi="Aptos"/>
          <w:color w:val="171717" w:themeColor="background2" w:themeShade="1A"/>
          <w:sz w:val="24"/>
        </w:rPr>
        <w:t xml:space="preserve">Fuentes: Basadre; Heraclio Bonilla; </w:t>
      </w:r>
      <w:proofErr w:type="spellStart"/>
      <w:r w:rsidRPr="00CD1445">
        <w:rPr>
          <w:rFonts w:ascii="Aptos" w:hAnsi="Aptos"/>
          <w:color w:val="171717" w:themeColor="background2" w:themeShade="1A"/>
          <w:sz w:val="24"/>
        </w:rPr>
        <w:t>Sater</w:t>
      </w:r>
      <w:proofErr w:type="spellEnd"/>
      <w:r w:rsidRPr="00CD1445">
        <w:rPr>
          <w:rFonts w:ascii="Aptos" w:hAnsi="Aptos"/>
          <w:color w:val="171717" w:themeColor="background2" w:themeShade="1A"/>
          <w:sz w:val="24"/>
        </w:rPr>
        <w:t xml:space="preserve">, </w:t>
      </w:r>
      <w:proofErr w:type="spellStart"/>
      <w:r w:rsidRPr="00CD1445">
        <w:rPr>
          <w:rFonts w:ascii="Aptos" w:hAnsi="Aptos"/>
          <w:color w:val="171717" w:themeColor="background2" w:themeShade="1A"/>
          <w:sz w:val="24"/>
        </w:rPr>
        <w:t>The</w:t>
      </w:r>
      <w:proofErr w:type="spellEnd"/>
      <w:r w:rsidRPr="00CD1445">
        <w:rPr>
          <w:rFonts w:ascii="Aptos" w:hAnsi="Aptos"/>
          <w:color w:val="171717" w:themeColor="background2" w:themeShade="1A"/>
          <w:sz w:val="24"/>
        </w:rPr>
        <w:t xml:space="preserve"> </w:t>
      </w:r>
      <w:proofErr w:type="spellStart"/>
      <w:r w:rsidRPr="00CD1445">
        <w:rPr>
          <w:rFonts w:ascii="Aptos" w:hAnsi="Aptos"/>
          <w:color w:val="171717" w:themeColor="background2" w:themeShade="1A"/>
          <w:sz w:val="24"/>
        </w:rPr>
        <w:t>Chilean</w:t>
      </w:r>
      <w:proofErr w:type="spellEnd"/>
      <w:r w:rsidRPr="00CD1445">
        <w:rPr>
          <w:rFonts w:ascii="Aptos" w:hAnsi="Aptos"/>
          <w:color w:val="171717" w:themeColor="background2" w:themeShade="1A"/>
          <w:sz w:val="24"/>
        </w:rPr>
        <w:t xml:space="preserve"> </w:t>
      </w:r>
      <w:proofErr w:type="spellStart"/>
      <w:r w:rsidRPr="00CD1445">
        <w:rPr>
          <w:rFonts w:ascii="Aptos" w:hAnsi="Aptos"/>
          <w:color w:val="171717" w:themeColor="background2" w:themeShade="1A"/>
          <w:sz w:val="24"/>
        </w:rPr>
        <w:t>Nitrate</w:t>
      </w:r>
      <w:proofErr w:type="spellEnd"/>
      <w:r w:rsidRPr="00CD1445">
        <w:rPr>
          <w:rFonts w:ascii="Aptos" w:hAnsi="Aptos"/>
          <w:color w:val="171717" w:themeColor="background2" w:themeShade="1A"/>
          <w:sz w:val="24"/>
        </w:rPr>
        <w:t xml:space="preserve"> </w:t>
      </w:r>
      <w:proofErr w:type="spellStart"/>
      <w:r w:rsidRPr="00CD1445">
        <w:rPr>
          <w:rFonts w:ascii="Aptos" w:hAnsi="Aptos"/>
          <w:color w:val="171717" w:themeColor="background2" w:themeShade="1A"/>
          <w:sz w:val="24"/>
        </w:rPr>
        <w:t>War</w:t>
      </w:r>
      <w:proofErr w:type="spellEnd"/>
      <w:r w:rsidRPr="00CD1445">
        <w:rPr>
          <w:rFonts w:ascii="Aptos" w:hAnsi="Aptos"/>
          <w:color w:val="171717" w:themeColor="background2" w:themeShade="1A"/>
          <w:sz w:val="24"/>
        </w:rPr>
        <w:t>.</w:t>
      </w:r>
    </w:p>
    <w:p w14:paraId="7AA344FE" w14:textId="77777777" w:rsidR="00CD1445" w:rsidRPr="00CD1445" w:rsidRDefault="00CD1445" w:rsidP="00CD1445">
      <w:pPr>
        <w:spacing w:after="45" w:line="294" w:lineRule="auto"/>
        <w:ind w:left="385" w:right="0"/>
        <w:jc w:val="both"/>
        <w:rPr>
          <w:rFonts w:ascii="Aptos" w:hAnsi="Aptos"/>
          <w:color w:val="171717" w:themeColor="background2" w:themeShade="1A"/>
          <w:sz w:val="24"/>
        </w:rPr>
      </w:pPr>
    </w:p>
    <w:p w14:paraId="649ABEB4" w14:textId="4EE23BA1" w:rsidR="00CD1445" w:rsidRPr="00C86FBC" w:rsidRDefault="00CD1445" w:rsidP="00C86FBC">
      <w:pPr>
        <w:pStyle w:val="Prrafodelista"/>
        <w:numPr>
          <w:ilvl w:val="0"/>
          <w:numId w:val="4"/>
        </w:numPr>
        <w:spacing w:after="45" w:line="294" w:lineRule="auto"/>
        <w:ind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86FBC">
        <w:rPr>
          <w:rFonts w:ascii="Aptos" w:hAnsi="Aptos"/>
          <w:color w:val="171717" w:themeColor="background2" w:themeShade="1A"/>
          <w:sz w:val="24"/>
        </w:rPr>
        <w:t>3. Museo del Morro de Arica</w:t>
      </w:r>
    </w:p>
    <w:p w14:paraId="1F92F81A" w14:textId="58166D99" w:rsidR="00CD1445" w:rsidRPr="00CD1445" w:rsidRDefault="00CD1445" w:rsidP="00CD1445">
      <w:pPr>
        <w:spacing w:after="45" w:line="294" w:lineRule="auto"/>
        <w:ind w:left="385"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D1445">
        <w:rPr>
          <w:rFonts w:ascii="Aptos" w:hAnsi="Aptos"/>
          <w:color w:val="171717" w:themeColor="background2" w:themeShade="1A"/>
          <w:sz w:val="24"/>
        </w:rPr>
        <w:t>Exhibe armas, uniformes, documentos y objetos encontrados en el campo de batalla. Su contenido está registrado por la Dirección de Bibliotecas, Archivos y Museos de Chile.</w:t>
      </w:r>
    </w:p>
    <w:p w14:paraId="6444C8D2" w14:textId="77777777" w:rsidR="00CD1445" w:rsidRPr="00CD1445" w:rsidRDefault="00CD1445" w:rsidP="00CD1445">
      <w:pPr>
        <w:spacing w:after="45" w:line="294" w:lineRule="auto"/>
        <w:ind w:left="385" w:right="0"/>
        <w:jc w:val="both"/>
        <w:rPr>
          <w:rFonts w:ascii="Aptos" w:hAnsi="Aptos"/>
          <w:color w:val="171717" w:themeColor="background2" w:themeShade="1A"/>
          <w:sz w:val="24"/>
        </w:rPr>
      </w:pPr>
    </w:p>
    <w:p w14:paraId="3DD91627" w14:textId="6F7765D0" w:rsidR="00CD1445" w:rsidRPr="00C86FBC" w:rsidRDefault="00CD1445" w:rsidP="00C86FBC">
      <w:pPr>
        <w:pStyle w:val="Prrafodelista"/>
        <w:numPr>
          <w:ilvl w:val="0"/>
          <w:numId w:val="4"/>
        </w:numPr>
        <w:spacing w:after="45" w:line="294" w:lineRule="auto"/>
        <w:ind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86FBC">
        <w:rPr>
          <w:rFonts w:ascii="Aptos" w:hAnsi="Aptos"/>
          <w:color w:val="171717" w:themeColor="background2" w:themeShade="1A"/>
          <w:sz w:val="24"/>
        </w:rPr>
        <w:t>4. Soldado desconocido</w:t>
      </w:r>
    </w:p>
    <w:p w14:paraId="745900E4" w14:textId="572F8BE8" w:rsidR="00CD1445" w:rsidRDefault="00CD1445" w:rsidP="00C86FBC">
      <w:pPr>
        <w:spacing w:after="45" w:line="294" w:lineRule="auto"/>
        <w:ind w:left="385"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D1445">
        <w:rPr>
          <w:rFonts w:ascii="Aptos" w:hAnsi="Aptos"/>
          <w:color w:val="171717" w:themeColor="background2" w:themeShade="1A"/>
          <w:sz w:val="24"/>
        </w:rPr>
        <w:t>Figura simbólica presente en varios países, incluida Perú. Representa a los combatientes caídos sin identificar. Referido en la documentación del Ejército del Perú y en estudios de memoria histórica (Comisión de Historia del Ejército).</w:t>
      </w:r>
    </w:p>
    <w:p w14:paraId="532BF8BF" w14:textId="77777777" w:rsidR="00C86FBC" w:rsidRPr="00CD1445" w:rsidRDefault="00C86FBC" w:rsidP="00C86FBC">
      <w:pPr>
        <w:spacing w:after="45" w:line="294" w:lineRule="auto"/>
        <w:ind w:left="385" w:right="0"/>
        <w:jc w:val="both"/>
        <w:rPr>
          <w:rFonts w:ascii="Aptos" w:hAnsi="Aptos"/>
          <w:color w:val="171717" w:themeColor="background2" w:themeShade="1A"/>
          <w:sz w:val="24"/>
        </w:rPr>
      </w:pPr>
    </w:p>
    <w:p w14:paraId="6F40F2A4" w14:textId="488F3855" w:rsidR="00C86FBC" w:rsidRDefault="00CD1445" w:rsidP="00C86FBC">
      <w:pPr>
        <w:pStyle w:val="Prrafodelista"/>
        <w:numPr>
          <w:ilvl w:val="0"/>
          <w:numId w:val="4"/>
        </w:numPr>
        <w:spacing w:after="45" w:line="294" w:lineRule="auto"/>
        <w:ind w:right="0"/>
        <w:jc w:val="both"/>
        <w:rPr>
          <w:rFonts w:ascii="Aptos" w:hAnsi="Aptos"/>
          <w:color w:val="171717" w:themeColor="background2" w:themeShade="1A"/>
          <w:sz w:val="24"/>
        </w:rPr>
      </w:pPr>
      <w:r w:rsidRPr="00C86FBC">
        <w:rPr>
          <w:rFonts w:ascii="Aptos" w:hAnsi="Aptos"/>
          <w:color w:val="171717" w:themeColor="background2" w:themeShade="1A"/>
          <w:sz w:val="24"/>
        </w:rPr>
        <w:t xml:space="preserve">5. </w:t>
      </w:r>
      <w:r w:rsidR="00C86FBC" w:rsidRPr="00C86FBC">
        <w:rPr>
          <w:rFonts w:ascii="Aptos" w:hAnsi="Aptos"/>
          <w:color w:val="171717" w:themeColor="background2" w:themeShade="1A"/>
          <w:sz w:val="24"/>
        </w:rPr>
        <w:t>Conclusió</w:t>
      </w:r>
      <w:r w:rsidR="00C86FBC">
        <w:rPr>
          <w:rFonts w:ascii="Aptos" w:hAnsi="Aptos"/>
          <w:color w:val="171717" w:themeColor="background2" w:themeShade="1A"/>
          <w:sz w:val="24"/>
        </w:rPr>
        <w:t xml:space="preserve">n </w:t>
      </w:r>
    </w:p>
    <w:p w14:paraId="79A70503" w14:textId="5D7EDA07" w:rsidR="00C86FBC" w:rsidRPr="00C86FBC" w:rsidRDefault="00C86FBC" w:rsidP="00C86FBC">
      <w:pPr>
        <w:pStyle w:val="Prrafodelista"/>
        <w:spacing w:after="45" w:line="294" w:lineRule="auto"/>
        <w:ind w:right="0" w:firstLine="0"/>
        <w:jc w:val="both"/>
        <w:rPr>
          <w:rFonts w:ascii="Aptos" w:hAnsi="Aptos"/>
          <w:color w:val="171717" w:themeColor="background2" w:themeShade="1A"/>
          <w:sz w:val="24"/>
        </w:rPr>
      </w:pPr>
      <w:r w:rsidRPr="00C86FBC">
        <w:rPr>
          <w:rFonts w:ascii="Aptos" w:hAnsi="Aptos"/>
          <w:color w:val="171717" w:themeColor="background2" w:themeShade="1A"/>
          <w:sz w:val="24"/>
        </w:rPr>
        <w:t>La Guerra del Pacífico (1879) fue un conflicto impulsado por causas económicas y diplomáticas, centrado en la disputa por los territorios salitreros, lo que arrastró a Perú debido a su tratado defensivo con Bolivia. El conflicto se definió por el sacrificio y la resistencia de los combatientes peruanos, ejemplificados en la figura documentada de Alfonso Ugarte, defensor del Morro de Arica, y en el símbolo colectivo del Soldado Desconocido. El análisis crítico de estas fuentes históricas, incluyendo el Museo del Morro, no solo certifica el tributo bélico, sino que nos llama a promover la paz y las relaciones constructivas en el presente.</w:t>
      </w:r>
    </w:p>
    <w:sectPr w:rsidR="00C86FBC" w:rsidRPr="00C86FBC">
      <w:pgSz w:w="12240" w:h="15840"/>
      <w:pgMar w:top="623" w:right="1374" w:bottom="67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9CE"/>
    <w:multiLevelType w:val="hybridMultilevel"/>
    <w:tmpl w:val="EA962FE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237E0"/>
    <w:multiLevelType w:val="multilevel"/>
    <w:tmpl w:val="949A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84DE0"/>
    <w:multiLevelType w:val="hybridMultilevel"/>
    <w:tmpl w:val="DBD2C588"/>
    <w:lvl w:ilvl="0" w:tplc="7972B1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035BA"/>
    <w:multiLevelType w:val="hybridMultilevel"/>
    <w:tmpl w:val="C05040C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E48EA"/>
    <w:multiLevelType w:val="hybridMultilevel"/>
    <w:tmpl w:val="7992518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889064">
    <w:abstractNumId w:val="1"/>
  </w:num>
  <w:num w:numId="2" w16cid:durableId="1951280149">
    <w:abstractNumId w:val="3"/>
  </w:num>
  <w:num w:numId="3" w16cid:durableId="1536692329">
    <w:abstractNumId w:val="2"/>
  </w:num>
  <w:num w:numId="4" w16cid:durableId="1567908789">
    <w:abstractNumId w:val="4"/>
  </w:num>
  <w:num w:numId="5" w16cid:durableId="199552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156"/>
    <w:rsid w:val="00076156"/>
    <w:rsid w:val="000E07A9"/>
    <w:rsid w:val="00160B29"/>
    <w:rsid w:val="002847EA"/>
    <w:rsid w:val="003F1BF1"/>
    <w:rsid w:val="00434C53"/>
    <w:rsid w:val="004C1012"/>
    <w:rsid w:val="004C2E96"/>
    <w:rsid w:val="00690E44"/>
    <w:rsid w:val="00832BDA"/>
    <w:rsid w:val="0088424A"/>
    <w:rsid w:val="00900BE5"/>
    <w:rsid w:val="00974E88"/>
    <w:rsid w:val="00A6210D"/>
    <w:rsid w:val="00A8493B"/>
    <w:rsid w:val="00AF0327"/>
    <w:rsid w:val="00C86FBC"/>
    <w:rsid w:val="00CA79DC"/>
    <w:rsid w:val="00CD1445"/>
    <w:rsid w:val="00DD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FB4E95"/>
  <w15:docId w15:val="{21EA9048-A002-471F-A783-416CA227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7" w:lineRule="auto"/>
      <w:ind w:left="10" w:right="24" w:hanging="10"/>
    </w:pPr>
    <w:rPr>
      <w:rFonts w:ascii="Calibri" w:eastAsia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B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C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BD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832BD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2BDA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C5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rrafodelista">
    <w:name w:val="List Paragraph"/>
    <w:basedOn w:val="Normal"/>
    <w:uiPriority w:val="34"/>
    <w:qFormat/>
    <w:rsid w:val="00CD1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puclla quispe</dc:creator>
  <cp:keywords/>
  <cp:lastModifiedBy>juan david puclla quispe</cp:lastModifiedBy>
  <cp:revision>2</cp:revision>
  <dcterms:created xsi:type="dcterms:W3CDTF">2025-12-11T15:05:00Z</dcterms:created>
  <dcterms:modified xsi:type="dcterms:W3CDTF">2025-12-11T15:05:00Z</dcterms:modified>
</cp:coreProperties>
</file>