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t>Table 3. Main experimental results.</w:t>
      </w:r>
    </w:p>
    <w:tbl>
      <w:tblPr>
        <w:tblStyle w:val="TableGrid"/>
        <w:tblW w:type="auto" w:w="0"/>
        <w:tblLook w:firstColumn="1" w:firstRow="1" w:lastColumn="0" w:lastRow="0" w:noHBand="0" w:noVBand="1" w:val="04A0"/>
      </w:tblPr>
      <w:tblGrid>
        <w:gridCol w:w="2484"/>
        <w:gridCol w:w="2484"/>
        <w:gridCol w:w="2484"/>
        <w:gridCol w:w="2484"/>
        <w:gridCol w:w="2484"/>
        <w:gridCol w:w="2484"/>
        <w:gridCol w:w="2484"/>
      </w:tblGrid>
      <w:tr>
        <w:tc>
          <w:tcPr>
            <w:tcW w:type="dxa" w:w="2484"/>
          </w:tcPr>
          <w:p>
            <w:r>
              <w:t>Method</w:t>
            </w:r>
          </w:p>
        </w:tc>
        <w:tc>
          <w:tcPr>
            <w:tcW w:type="dxa" w:w="2484"/>
          </w:tcPr>
          <w:p>
            <w:r>
              <w:t>Answerability Acc.</w:t>
            </w:r>
          </w:p>
        </w:tc>
        <w:tc>
          <w:tcPr>
            <w:tcW w:type="dxa" w:w="2484"/>
          </w:tcPr>
          <w:p>
            <w:r>
              <w:t>Correctness</w:t>
            </w:r>
          </w:p>
        </w:tc>
        <w:tc>
          <w:tcPr>
            <w:tcW w:type="dxa" w:w="2484"/>
          </w:tcPr>
          <w:p>
            <w:r>
              <w:t>Faithfulness</w:t>
            </w:r>
          </w:p>
        </w:tc>
        <w:tc>
          <w:tcPr>
            <w:tcW w:type="dxa" w:w="2484"/>
          </w:tcPr>
          <w:p>
            <w:r>
              <w:t>Evidence Coverage</w:t>
            </w:r>
          </w:p>
        </w:tc>
        <w:tc>
          <w:tcPr>
            <w:tcW w:type="dxa" w:w="2484"/>
          </w:tcPr>
          <w:p>
            <w:r>
              <w:t>Hallucination Rate</w:t>
            </w:r>
          </w:p>
        </w:tc>
        <w:tc>
          <w:tcPr>
            <w:tcW w:type="dxa" w:w="2484"/>
          </w:tcPr>
          <w:p>
            <w:r>
              <w:t>Avg. Latency</w:t>
            </w:r>
          </w:p>
        </w:tc>
      </w:tr>
      <w:tr>
        <w:tc>
          <w:tcPr>
            <w:tcW w:type="dxa" w:w="2484"/>
          </w:tcPr>
          <w:p>
            <w:r>
              <w:t>Chunk-based RAG</w:t>
            </w:r>
          </w:p>
        </w:tc>
        <w:tc>
          <w:tcPr>
            <w:tcW w:type="dxa" w:w="2484"/>
          </w:tcPr>
          <w:p>
            <w:r>
              <w:t>0.557</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1.18s</w:t>
            </w:r>
          </w:p>
        </w:tc>
      </w:tr>
      <w:tr>
        <w:tc>
          <w:tcPr>
            <w:tcW w:type="dxa" w:w="2484"/>
          </w:tcPr>
          <w:p>
            <w:r>
              <w:t>Hybrid RAG</w:t>
            </w:r>
          </w:p>
        </w:tc>
        <w:tc>
          <w:tcPr>
            <w:tcW w:type="dxa" w:w="2484"/>
          </w:tcPr>
          <w:p>
            <w:r>
              <w:t>0.415</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1.13s</w:t>
            </w:r>
          </w:p>
        </w:tc>
      </w:tr>
      <w:tr>
        <w:tc>
          <w:tcPr>
            <w:tcW w:type="dxa" w:w="2484"/>
          </w:tcPr>
          <w:p>
            <w:r>
              <w:t>CE-RAG</w:t>
            </w:r>
          </w:p>
        </w:tc>
        <w:tc>
          <w:tcPr>
            <w:tcW w:type="dxa" w:w="2484"/>
          </w:tcPr>
          <w:p>
            <w:r>
              <w:t>0.893</w:t>
            </w:r>
          </w:p>
        </w:tc>
        <w:tc>
          <w:tcPr>
            <w:tcW w:type="dxa" w:w="2484"/>
          </w:tcPr>
          <w:p>
            <w:r>
              <w:t>TBD</w:t>
            </w:r>
          </w:p>
        </w:tc>
        <w:tc>
          <w:tcPr>
            <w:tcW w:type="dxa" w:w="2484"/>
          </w:tcPr>
          <w:p>
            <w:r>
              <w:t>TBD</w:t>
            </w:r>
          </w:p>
        </w:tc>
        <w:tc>
          <w:tcPr>
            <w:tcW w:type="dxa" w:w="2484"/>
          </w:tcPr>
          <w:p>
            <w:r>
              <w:t>TBD</w:t>
            </w:r>
          </w:p>
        </w:tc>
        <w:tc>
          <w:tcPr>
            <w:tcW w:type="dxa" w:w="2484"/>
          </w:tcPr>
          <w:p>
            <w:r>
              <w:t>TBD</w:t>
            </w:r>
          </w:p>
        </w:tc>
        <w:tc>
          <w:tcPr>
            <w:tcW w:type="dxa" w:w="2484"/>
          </w:tcPr>
          <w:p>
            <w:r>
              <w:t>5.51s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