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07314">
      <w:pPr>
        <w:pStyle w:val="37"/>
        <w:spacing w:after="240" w:line="240" w:lineRule="auto"/>
      </w:pPr>
      <w:r>
        <w:rPr>
          <w:rFonts w:hint="eastAsia"/>
        </w:rPr>
        <w:t>CE-RAG: Claim–Evidence-Aware Retrieval-Augmented Generation for Scientific Paper Question Answering</w:t>
      </w:r>
    </w:p>
    <w:p w14:paraId="3FD5AF9A">
      <w:pPr>
        <w:pStyle w:val="17"/>
        <w:spacing w:before="0" w:after="120" w:line="240" w:lineRule="auto"/>
        <w:ind w:firstLine="0"/>
        <w:rPr>
          <w:sz w:val="20"/>
        </w:rPr>
      </w:pPr>
      <w:r>
        <w:rPr>
          <w:b/>
          <w:bCs/>
          <w:sz w:val="20"/>
        </w:rPr>
        <w:t>Abstract</w:t>
      </w:r>
      <w:r>
        <w:rPr>
          <w:b w:val="0"/>
          <w:sz w:val="20"/>
        </w:rPr>
        <w:t xml:space="preserve">. </w:t>
      </w:r>
      <w:r>
        <w:rPr>
          <w:sz w:val="20"/>
        </w:rPr>
        <w:t xml:space="preserve">Scientific paper question answering requires </w:t>
      </w:r>
      <w:r>
        <w:rPr>
          <w:color w:val="EE0000"/>
          <w:sz w:val="20"/>
        </w:rPr>
        <w:t xml:space="preserve">systems </w:t>
      </w:r>
      <w:r>
        <w:rPr>
          <w:sz w:val="20"/>
        </w:rPr>
        <w:t xml:space="preserve">not only </w:t>
      </w:r>
      <w:r>
        <w:rPr>
          <w:color w:val="EE0000"/>
          <w:sz w:val="20"/>
        </w:rPr>
        <w:t xml:space="preserve">to </w:t>
      </w:r>
      <w:r>
        <w:rPr>
          <w:sz w:val="20"/>
        </w:rPr>
        <w:t xml:space="preserve">retrieve relevant text, but also </w:t>
      </w:r>
      <w:r>
        <w:rPr>
          <w:color w:val="EE0000"/>
          <w:sz w:val="20"/>
        </w:rPr>
        <w:t xml:space="preserve">to </w:t>
      </w:r>
      <w:r>
        <w:rPr>
          <w:sz w:val="20"/>
        </w:rPr>
        <w:t xml:space="preserve">determine whether the retrieved evidence faithfully </w:t>
      </w:r>
      <w:r>
        <w:rPr>
          <w:sz w:val="20"/>
        </w:rPr>
        <w:t>supports</w:t>
      </w:r>
      <w:r>
        <w:rPr>
          <w:sz w:val="20"/>
        </w:rPr>
        <w:t xml:space="preserve"> the generated answer. Existing retrieval-augmented generation methods </w:t>
      </w:r>
      <w:r>
        <w:rPr>
          <w:sz w:val="20"/>
        </w:rPr>
        <w:t>typically</w:t>
      </w:r>
      <w:r>
        <w:rPr>
          <w:sz w:val="20"/>
        </w:rPr>
        <w:t xml:space="preserve"> rely on chunk-level semantic retrieval, which often fails to capture the argumentative structure of scientific papers, </w:t>
      </w:r>
      <w:r>
        <w:rPr>
          <w:sz w:val="20"/>
        </w:rPr>
        <w:t>including</w:t>
      </w:r>
      <w:r>
        <w:rPr>
          <w:sz w:val="20"/>
        </w:rPr>
        <w:t xml:space="preserve"> the relations among claims, evidence, experiments, results, and limitations. This </w:t>
      </w:r>
      <w:r>
        <w:rPr>
          <w:sz w:val="20"/>
        </w:rPr>
        <w:t>limitation can</w:t>
      </w:r>
      <w:r>
        <w:rPr>
          <w:sz w:val="20"/>
        </w:rPr>
        <w:t xml:space="preserve"> lead to incomplete evidence support and unsupported answers. This paper proposes CE-RAG, a claim</w:t>
      </w:r>
      <w:r>
        <w:rPr>
          <w:sz w:val="20"/>
        </w:rPr>
        <w:t>-</w:t>
      </w:r>
      <w:r>
        <w:rPr>
          <w:sz w:val="20"/>
        </w:rPr>
        <w:t xml:space="preserve">evidence-aware retrieval-augmented generation framework for faithful scientific paper question answering. CE-RAG represents a paper as a heterogeneous scholarly object graph, </w:t>
      </w:r>
      <w:r>
        <w:rPr>
          <w:sz w:val="20"/>
        </w:rPr>
        <w:t>in which</w:t>
      </w:r>
      <w:r>
        <w:rPr>
          <w:sz w:val="20"/>
        </w:rPr>
        <w:t xml:space="preserve"> nodes correspond to sections, claims, evidence, experiments, results, and limitations, and edges encode relations such as support, derivation, containment, and limitation. Given a question, CE-RAG identifies </w:t>
      </w:r>
      <w:r>
        <w:rPr>
          <w:sz w:val="20"/>
        </w:rPr>
        <w:t>the</w:t>
      </w:r>
      <w:r>
        <w:rPr>
          <w:sz w:val="20"/>
        </w:rPr>
        <w:t xml:space="preserve"> question type, retrieves relevant scholarly objects, and constructs explicit reasoning chains </w:t>
      </w:r>
      <w:r>
        <w:rPr>
          <w:sz w:val="20"/>
        </w:rPr>
        <w:t>that connect</w:t>
      </w:r>
      <w:r>
        <w:rPr>
          <w:sz w:val="20"/>
        </w:rPr>
        <w:t xml:space="preserve"> claims, evidence, and results. It further estimates evidence sufficiency before answer generation and verifies answer</w:t>
      </w:r>
      <w:r>
        <w:rPr>
          <w:sz w:val="20"/>
        </w:rPr>
        <w:t>-</w:t>
      </w:r>
      <w:r>
        <w:rPr>
          <w:sz w:val="20"/>
        </w:rPr>
        <w:t xml:space="preserve">evidence consistency after generation. We </w:t>
      </w:r>
      <w:r>
        <w:rPr>
          <w:color w:val="EE0000"/>
          <w:sz w:val="20"/>
        </w:rPr>
        <w:t>construct</w:t>
      </w:r>
      <w:r>
        <w:rPr>
          <w:color w:val="EE0000"/>
          <w:sz w:val="20"/>
        </w:rPr>
        <w:t>ed</w:t>
      </w:r>
      <w:r>
        <w:rPr>
          <w:color w:val="EE0000"/>
          <w:sz w:val="20"/>
        </w:rPr>
        <w:t xml:space="preserve"> </w:t>
      </w:r>
      <w:r>
        <w:rPr>
          <w:sz w:val="20"/>
        </w:rPr>
        <w:t>a pilot scientific paper QA dataset consisting of 53 papers and 318 QA pairs, covering method, evidence, result, contribution, limitation, and unanswerable questions. Experimental results show that CE-RAG improves answer faithfulness, evidence coverage, reasoning</w:t>
      </w:r>
      <w:r>
        <w:rPr>
          <w:sz w:val="20"/>
        </w:rPr>
        <w:t>-</w:t>
      </w:r>
      <w:r>
        <w:rPr>
          <w:sz w:val="20"/>
        </w:rPr>
        <w:t>chain quality, and hallucination control compared with naive and hybrid RAG baselines. These results demonstrate that modeling claim</w:t>
      </w:r>
      <w:r>
        <w:rPr>
          <w:sz w:val="20"/>
        </w:rPr>
        <w:t>-</w:t>
      </w:r>
      <w:r>
        <w:rPr>
          <w:sz w:val="20"/>
        </w:rPr>
        <w:t xml:space="preserve">evidence relations and retrieving explicit reasoning chains can enhance the explainability and reliability of scientific paper question answering systems. Our </w:t>
      </w:r>
      <w:r>
        <w:rPr>
          <w:sz w:val="20"/>
        </w:rPr>
        <w:t>implementation is available</w:t>
      </w:r>
      <w:r>
        <w:rPr>
          <w:sz w:val="20"/>
        </w:rPr>
        <w:t xml:space="preserve"> at https://gitee.com/os-hubu/PaperReader.</w:t>
      </w:r>
    </w:p>
    <w:p w14:paraId="288B1C78">
      <w:pPr>
        <w:pStyle w:val="31"/>
        <w:rPr>
          <w:rFonts w:eastAsia="宋体"/>
          <w:lang w:eastAsia="zh-CN"/>
        </w:rPr>
      </w:pPr>
      <w:r>
        <w:rPr>
          <w:b/>
          <w:bCs/>
        </w:rPr>
        <w:t>Keywords:</w:t>
      </w:r>
      <w:r>
        <w:t xml:space="preserve"> </w:t>
      </w:r>
      <w:r>
        <w:rPr>
          <w:rFonts w:hint="eastAsia" w:eastAsia="宋体"/>
          <w:lang w:eastAsia="zh-CN"/>
        </w:rPr>
        <w:t>R</w:t>
      </w:r>
      <w:r>
        <w:rPr>
          <w:rFonts w:hint="eastAsia"/>
        </w:rPr>
        <w:t>etrieval-</w:t>
      </w:r>
      <w:r>
        <w:rPr>
          <w:rFonts w:hint="eastAsia" w:eastAsia="宋体"/>
          <w:lang w:eastAsia="zh-CN"/>
        </w:rPr>
        <w:t>A</w:t>
      </w:r>
      <w:r>
        <w:rPr>
          <w:rFonts w:hint="eastAsia"/>
        </w:rPr>
        <w:t xml:space="preserve">ugmented </w:t>
      </w:r>
      <w:r>
        <w:rPr>
          <w:rFonts w:hint="eastAsia" w:eastAsia="宋体"/>
          <w:lang w:eastAsia="zh-CN"/>
        </w:rPr>
        <w:t>G</w:t>
      </w:r>
      <w:r>
        <w:rPr>
          <w:rFonts w:hint="eastAsia"/>
        </w:rPr>
        <w:t>eneration</w:t>
      </w:r>
      <w:r>
        <w:t xml:space="preserve">; </w:t>
      </w:r>
      <w:r>
        <w:rPr>
          <w:rFonts w:hint="eastAsia" w:eastAsia="宋体"/>
          <w:lang w:eastAsia="zh-CN"/>
        </w:rPr>
        <w:t>S</w:t>
      </w:r>
      <w:r>
        <w:rPr>
          <w:rFonts w:hint="eastAsia"/>
        </w:rPr>
        <w:t xml:space="preserve">cientific </w:t>
      </w:r>
      <w:r>
        <w:rPr>
          <w:rFonts w:hint="eastAsia" w:eastAsia="宋体"/>
          <w:lang w:eastAsia="zh-CN"/>
        </w:rPr>
        <w:t>P</w:t>
      </w:r>
      <w:r>
        <w:rPr>
          <w:rFonts w:hint="eastAsia"/>
        </w:rPr>
        <w:t xml:space="preserve">aper </w:t>
      </w:r>
      <w:r>
        <w:rPr>
          <w:rFonts w:hint="eastAsia" w:eastAsia="宋体"/>
          <w:lang w:eastAsia="zh-CN"/>
        </w:rPr>
        <w:t>Q</w:t>
      </w:r>
      <w:r>
        <w:rPr>
          <w:rFonts w:hint="eastAsia"/>
        </w:rPr>
        <w:t xml:space="preserve">uestion </w:t>
      </w:r>
      <w:r>
        <w:rPr>
          <w:rFonts w:hint="eastAsia" w:eastAsia="宋体"/>
          <w:lang w:eastAsia="zh-CN"/>
        </w:rPr>
        <w:t>A</w:t>
      </w:r>
      <w:r>
        <w:rPr>
          <w:rFonts w:hint="eastAsia"/>
        </w:rPr>
        <w:t>nswering</w:t>
      </w:r>
      <w:r>
        <w:t xml:space="preserve">; </w:t>
      </w:r>
      <w:r>
        <w:rPr>
          <w:rFonts w:hint="eastAsia" w:eastAsia="宋体"/>
          <w:lang w:eastAsia="zh-CN"/>
        </w:rPr>
        <w:t>C</w:t>
      </w:r>
      <w:r>
        <w:rPr>
          <w:rFonts w:hint="eastAsia"/>
        </w:rPr>
        <w:t>laim–</w:t>
      </w:r>
      <w:r>
        <w:rPr>
          <w:rFonts w:hint="eastAsia" w:eastAsia="宋体"/>
          <w:lang w:eastAsia="zh-CN"/>
        </w:rPr>
        <w:t>E</w:t>
      </w:r>
      <w:r>
        <w:rPr>
          <w:rFonts w:hint="eastAsia"/>
        </w:rPr>
        <w:t xml:space="preserve">vidence </w:t>
      </w:r>
      <w:r>
        <w:rPr>
          <w:rFonts w:hint="eastAsia" w:eastAsia="宋体"/>
          <w:lang w:eastAsia="zh-CN"/>
        </w:rPr>
        <w:t>R</w:t>
      </w:r>
      <w:r>
        <w:rPr>
          <w:rFonts w:hint="eastAsia"/>
        </w:rPr>
        <w:t>elation</w:t>
      </w:r>
      <w:r>
        <w:rPr>
          <w:rFonts w:eastAsia="宋体"/>
          <w:lang w:eastAsia="zh-CN"/>
        </w:rPr>
        <w:t>;</w:t>
      </w:r>
      <w:r>
        <w:rPr>
          <w:rFonts w:hint="eastAsia" w:eastAsia="宋体"/>
          <w:lang w:eastAsia="zh-CN"/>
        </w:rPr>
        <w:t xml:space="preserve"> E</w:t>
      </w:r>
      <w:r>
        <w:rPr>
          <w:rFonts w:hint="eastAsia"/>
        </w:rPr>
        <w:t xml:space="preserve">vidence </w:t>
      </w:r>
      <w:r>
        <w:rPr>
          <w:rFonts w:hint="eastAsia" w:eastAsia="宋体"/>
          <w:lang w:eastAsia="zh-CN"/>
        </w:rPr>
        <w:t>S</w:t>
      </w:r>
      <w:r>
        <w:rPr>
          <w:rFonts w:hint="eastAsia"/>
        </w:rPr>
        <w:t>ufficiency</w:t>
      </w:r>
      <w:r>
        <w:rPr>
          <w:rFonts w:hint="eastAsia" w:eastAsia="宋体"/>
          <w:lang w:eastAsia="zh-CN"/>
        </w:rPr>
        <w:t>.</w:t>
      </w:r>
    </w:p>
    <w:p w14:paraId="71494058">
      <w:pPr>
        <w:spacing w:after="120" w:line="240" w:lineRule="auto"/>
        <w:rPr>
          <w:lang w:eastAsia="zh-CN"/>
        </w:rPr>
      </w:pPr>
      <w:r>
        <w:rPr>
          <w:rFonts w:hint="eastAsia" w:eastAsia="宋体"/>
          <w:lang w:eastAsia="zh-CN"/>
        </w:rPr>
        <w:br w:type="page"/>
      </w:r>
      <w:bookmarkStart w:id="29" w:name="_GoBack"/>
      <w:bookmarkEnd w:id="29"/>
    </w:p>
    <w:p w14:paraId="22366B14">
      <w:pPr>
        <w:pStyle w:val="25"/>
        <w:spacing w:before="240" w:after="120" w:line="240" w:lineRule="auto"/>
      </w:pPr>
      <w:r>
        <w:rPr>
          <w:rFonts w:hint="eastAsia" w:eastAsia="宋体"/>
          <w:lang w:eastAsia="zh-CN"/>
        </w:rPr>
        <w:t>Introduction</w:t>
      </w:r>
    </w:p>
    <w:p w14:paraId="1C67E6FE">
      <w:pPr>
        <w:spacing w:after="120" w:line="240" w:lineRule="auto"/>
        <w:ind w:firstLine="0"/>
      </w:pPr>
      <w:r>
        <w:t>Scientific papers contain rich research knowledge but efficiently understanding this knowledge remains challenging. Researchers often need to identify a paper's core method, supporting evidence, experimental results, contributions, and limitations.</w:t>
      </w:r>
    </w:p>
    <w:p w14:paraId="3F211137">
      <w:r>
        <w:t xml:space="preserve">With the development of large language models (LLMs), scientific paper question answering has become an important direction for intelligent research assistance. Retrieval-augmented generation (RAG) </w:t>
      </w:r>
      <w:r>
        <w:fldChar w:fldCharType="begin"/>
      </w:r>
      <w:r>
        <w:instrText xml:space="preserve"> REF _Ref31867 \r \h </w:instrText>
      </w:r>
      <w:r>
        <w:fldChar w:fldCharType="separate"/>
      </w:r>
      <w:r>
        <w:t>[1]</w:t>
      </w:r>
      <w:r>
        <w:fldChar w:fldCharType="end"/>
      </w:r>
      <w:r>
        <w:t xml:space="preserve"> is widely used for this task because it retrieves relevant document content and provides it as context for answer generation </w:t>
      </w:r>
      <w:r>
        <w:fldChar w:fldCharType="begin"/>
      </w:r>
      <w:r>
        <w:instrText xml:space="preserve"> REF _Ref31903 \r \h </w:instrText>
      </w:r>
      <w:r>
        <w:fldChar w:fldCharType="separate"/>
      </w:r>
      <w:r>
        <w:t>[2]</w:t>
      </w:r>
      <w:r>
        <w:fldChar w:fldCharType="end"/>
      </w:r>
      <w:r>
        <w:rPr>
          <w:rFonts w:hint="eastAsia"/>
        </w:rPr>
        <w:t>.</w:t>
      </w:r>
    </w:p>
    <w:p w14:paraId="3EFBD46A">
      <w:pPr>
        <w:ind w:firstLine="0"/>
      </w:pPr>
      <w:r>
        <w:t xml:space="preserve">Most existing RAG-based paper QA systems </w:t>
      </w:r>
      <w:r>
        <w:fldChar w:fldCharType="begin"/>
      </w:r>
      <w:r>
        <w:instrText xml:space="preserve"> REF _Ref32272 \r \h </w:instrText>
      </w:r>
      <w:r>
        <w:fldChar w:fldCharType="separate"/>
      </w:r>
      <w:r>
        <w:t>[14]</w:t>
      </w:r>
      <w:r>
        <w:fldChar w:fldCharType="end"/>
      </w:r>
      <w:r>
        <w:fldChar w:fldCharType="begin"/>
      </w:r>
      <w:r>
        <w:instrText xml:space="preserve"> REF _Ref32324 \r \h </w:instrText>
      </w:r>
      <w:r>
        <w:fldChar w:fldCharType="separate"/>
      </w:r>
      <w:r>
        <w:t>[19]</w:t>
      </w:r>
      <w:r>
        <w:fldChar w:fldCharType="end"/>
      </w:r>
      <w:r>
        <w:fldChar w:fldCharType="begin"/>
      </w:r>
      <w:r>
        <w:instrText xml:space="preserve"> REF _Ref32328 \r \h </w:instrText>
      </w:r>
      <w:r>
        <w:fldChar w:fldCharType="separate"/>
      </w:r>
      <w:r>
        <w:t>[33]</w:t>
      </w:r>
      <w:r>
        <w:fldChar w:fldCharType="end"/>
      </w:r>
      <w:r>
        <w:t xml:space="preserve"> adopt chunk-level retrieval. A paper is divided into text chunks, and the system retrieves chunks that are semantically similar to the user question. Although effective in many cases, this strategy treats a paper as a flat collection of text fragments. It ignores the argumentative structure of scientific writing, in which claims are supported by evidence, experiments produce results, and limitations define the scope of conclusions. As a result, retrieved chunks may be topically relevant but insufficient to justify an answer.</w:t>
      </w:r>
    </w:p>
    <w:p w14:paraId="1DE49E71">
      <w:pPr>
        <w:spacing w:after="120" w:line="240" w:lineRule="auto"/>
      </w:pPr>
      <w:r>
        <w:t>This limitation is critical for scientific paper QA. For example, to answer how a method is validated, a system should connect the method claim with experimental settings, baselines, metrics, and results. To answer whether a paper proves superiority in all scenarios, the system should recognize insufficient evidence and avoid over-generalization. Therefore, faithful paper QA requires not only relevant text retrieval, but also explicit evidence reasoning and evidence-sufficiency assessment.</w:t>
      </w:r>
    </w:p>
    <w:p w14:paraId="6C01ED58">
      <w:pPr>
        <w:spacing w:after="120" w:line="240" w:lineRule="auto"/>
      </w:pPr>
      <w:r>
        <w:t>To address this problem, we propose CE-RAG, a claim-evidence-aware retrieval-augmented generation framework for scientific paper question answering. CE-RAG represents a paper as a heterogeneous scholarly object graph consisting of sections, claims, evidence, experiments, results, and limitations. Based on the question type, it retrieves relevant scholarly objects and constructs reasoning chains, such as claim-evidence-result paths. These chains provide interpretable evidence support for answer generation.</w:t>
      </w:r>
    </w:p>
    <w:p w14:paraId="687ABBE9">
      <w:pPr>
        <w:spacing w:after="120" w:line="240" w:lineRule="auto"/>
      </w:pPr>
      <w:r>
        <w:t>CE-RAG also introduces evidence-sufficiency estimation and answer verification. Before generation, the system estimates whether the retrieved evidence is sufficient to answer the question. After generation, it verifies whether the answer is consistent with the retrieved evidence and identifies potentially unsupported statements. This design helps reduce unsupported answers and improves the transparency of the QA process.</w:t>
      </w:r>
    </w:p>
    <w:p w14:paraId="59E986DC">
      <w:pPr>
        <w:spacing w:after="120" w:line="240" w:lineRule="auto"/>
        <w:ind w:firstLine="227"/>
      </w:pPr>
      <w:r>
        <w:t>To evaluate CE-RAG, we constructed a pilot scientific paper QA dataset with 53 papers and 318 QA pairs. The dataset covers six question types: method, evidence, result, contribution, limitation, and unanswerable questions. We compare CE-RAG with naive RAG and hybrid retrieval baselines. Experimental results show that CE-RAG improves answer faithfulness, evidence coverage, reasoning-chain quality, and hallucination control.</w:t>
      </w:r>
    </w:p>
    <w:p w14:paraId="74E17CA8">
      <w:pPr>
        <w:spacing w:after="120" w:line="240" w:lineRule="auto"/>
        <w:ind w:firstLine="0"/>
      </w:pPr>
      <w:r>
        <w:rPr>
          <w:rFonts w:hint="eastAsia"/>
        </w:rPr>
        <w:t>The main contributions of this paper are as follows:</w:t>
      </w:r>
    </w:p>
    <w:p w14:paraId="51CB9FA5">
      <w:pPr>
        <w:numPr>
          <w:ilvl w:val="0"/>
          <w:numId w:val="6"/>
        </w:numPr>
      </w:pPr>
      <w:r>
        <w:t>We propose CE-RAG, a claim-evidence-aware RAG framework that represents scientific papers as scholarly object graphs for faithful question answering.</w:t>
      </w:r>
    </w:p>
    <w:p w14:paraId="6511BD2C">
      <w:pPr>
        <w:numPr>
          <w:ilvl w:val="0"/>
          <w:numId w:val="6"/>
        </w:numPr>
      </w:pPr>
      <w:r>
        <w:t>We design a reasoning-chain retrieval method that retrieves and ranks claim-evidence-result paths to provide interpretable evidence support.</w:t>
      </w:r>
    </w:p>
    <w:p w14:paraId="6B31765B">
      <w:pPr>
        <w:numPr>
          <w:ilvl w:val="0"/>
          <w:numId w:val="6"/>
        </w:numPr>
      </w:pPr>
      <w:r>
        <w:t>We introduce evidence-sufficiency estimation and answer verification to reduce unsupported answers and improve answer faithfulness.</w:t>
      </w:r>
    </w:p>
    <w:p w14:paraId="41DD8A9E">
      <w:pPr>
        <w:numPr>
          <w:ilvl w:val="0"/>
          <w:numId w:val="6"/>
        </w:numPr>
      </w:pPr>
      <w:r>
        <w:t>We construct a pilot scientific paper QA dataset covering six question types and conduct comparative experiments against naive and hybrid RAG baselines.</w:t>
      </w:r>
    </w:p>
    <w:p w14:paraId="5904FA97">
      <w:pPr>
        <w:pStyle w:val="25"/>
        <w:spacing w:before="240" w:after="120" w:line="240" w:lineRule="auto"/>
      </w:pPr>
      <w:r>
        <w:rPr>
          <w:rFonts w:hint="eastAsia" w:eastAsia="宋体"/>
          <w:lang w:eastAsia="zh-CN"/>
        </w:rPr>
        <w:t>Related Work</w:t>
      </w:r>
    </w:p>
    <w:p w14:paraId="36408D52">
      <w:r>
        <w:t xml:space="preserve">Retrieval-augmented generation has become a widely adopted paradigm for knowledge-intensive question answering by combining parametric generation with non-parametric retrieval </w:t>
      </w:r>
      <w:r>
        <w:rPr>
          <w:rFonts w:hint="eastAsia"/>
        </w:rPr>
        <w:fldChar w:fldCharType="begin"/>
      </w:r>
      <w:r>
        <w:rPr>
          <w:rFonts w:hint="eastAsia"/>
        </w:rPr>
        <w:instrText xml:space="preserve"> REF _Ref31867 \r \h </w:instrText>
      </w:r>
      <w:r>
        <w:rPr>
          <w:rFonts w:hint="eastAsia"/>
        </w:rPr>
        <w:fldChar w:fldCharType="separate"/>
      </w:r>
      <w:r>
        <w:rPr>
          <w:rFonts w:hint="eastAsia"/>
        </w:rPr>
        <w:t>[1]</w:t>
      </w:r>
      <w:r>
        <w:rPr>
          <w:rFonts w:hint="eastAsia"/>
        </w:rPr>
        <w:fldChar w:fldCharType="end"/>
      </w:r>
      <w:r>
        <w:rPr>
          <w:rFonts w:hint="eastAsia"/>
        </w:rPr>
        <w:t>.</w:t>
      </w:r>
      <w:r>
        <w:t xml:space="preserve"> Early retrieval-augmented models such as REALM, FiD, and RETRO demonstrate that external retrieval can substantially improve open-domain question answering and language modeling </w:t>
      </w:r>
      <w:r>
        <w:rPr>
          <w:rFonts w:hint="eastAsia"/>
        </w:rPr>
        <w:fldChar w:fldCharType="begin"/>
      </w:r>
      <w:r>
        <w:rPr>
          <w:rFonts w:hint="eastAsia"/>
        </w:rPr>
        <w:instrText xml:space="preserve"> REF _Ref31903 \r \h </w:instrText>
      </w:r>
      <w:r>
        <w:rPr>
          <w:rFonts w:hint="eastAsia"/>
        </w:rPr>
        <w:fldChar w:fldCharType="separate"/>
      </w:r>
      <w:r>
        <w:rPr>
          <w:rFonts w:hint="eastAsia"/>
        </w:rPr>
        <w:t>[2</w:t>
      </w:r>
      <w:r>
        <w:rPr>
          <w:rFonts w:hint="eastAsia"/>
        </w:rPr>
        <w:fldChar w:fldCharType="end"/>
      </w:r>
      <w:r>
        <w:rPr>
          <w:rFonts w:hint="eastAsia" w:eastAsia="宋体"/>
          <w:lang w:eastAsia="zh-CN"/>
        </w:rPr>
        <w:t>-</w:t>
      </w:r>
      <w:r>
        <w:fldChar w:fldCharType="begin"/>
      </w:r>
      <w:r>
        <w:instrText xml:space="preserve"> REF _Ref32445 \r \h </w:instrText>
      </w:r>
      <w:r>
        <w:fldChar w:fldCharType="separate"/>
      </w:r>
      <w:r>
        <w:t>4]</w:t>
      </w:r>
      <w:r>
        <w:fldChar w:fldCharType="end"/>
      </w:r>
      <w:r>
        <w:rPr>
          <w:rFonts w:hint="eastAsia"/>
        </w:rPr>
        <w:t>.</w:t>
      </w:r>
      <w:r>
        <w:t xml:space="preserve"> More recent work further improves RAG through self-reflection, corrective retrieval, adaptive retrieval, and hierarchical long-document indexing </w:t>
      </w:r>
      <w:r>
        <w:rPr>
          <w:rFonts w:hint="eastAsia"/>
        </w:rPr>
        <w:fldChar w:fldCharType="begin"/>
      </w:r>
      <w:r>
        <w:rPr>
          <w:rFonts w:hint="eastAsia"/>
        </w:rPr>
        <w:instrText xml:space="preserve"> REF _Ref32569 \r \h </w:instrText>
      </w:r>
      <w:r>
        <w:rPr>
          <w:rFonts w:hint="eastAsia"/>
        </w:rPr>
        <w:fldChar w:fldCharType="separate"/>
      </w:r>
      <w:r>
        <w:rPr>
          <w:rFonts w:hint="eastAsia"/>
        </w:rPr>
        <w:t>[6</w:t>
      </w:r>
      <w:r>
        <w:rPr>
          <w:rFonts w:hint="eastAsia"/>
        </w:rPr>
        <w:fldChar w:fldCharType="end"/>
      </w:r>
      <w:r>
        <w:fldChar w:fldCharType="begin"/>
      </w:r>
      <w:r>
        <w:instrText xml:space="preserve"> REF _Ref32582 \r \h </w:instrText>
      </w:r>
      <w:r>
        <w:fldChar w:fldCharType="separate"/>
      </w:r>
      <w:r>
        <w:rPr>
          <w:rFonts w:hint="eastAsia" w:eastAsia="宋体"/>
          <w:lang w:eastAsia="zh-CN"/>
        </w:rPr>
        <w:t>-</w:t>
      </w:r>
      <w:r>
        <w:t>9]</w:t>
      </w:r>
      <w:r>
        <w:fldChar w:fldCharType="end"/>
      </w:r>
      <w:r>
        <w:rPr>
          <w:rFonts w:hint="eastAsia"/>
        </w:rPr>
        <w:t>.</w:t>
      </w:r>
      <w:r>
        <w:t xml:space="preserve"> However, most existing RAG systems still retrieve isolated text chunks, which is often insufficient for scientific paper </w:t>
      </w:r>
      <w:r>
        <w:rPr>
          <w:color w:val="EE0000"/>
        </w:rPr>
        <w:t xml:space="preserve">questions </w:t>
      </w:r>
      <w:r>
        <w:t>answering because scientific papers are organized around claims, evidence, experiments, results, and limitations rather than independent passages.</w:t>
      </w:r>
    </w:p>
    <w:p w14:paraId="19F0A1FF">
      <w:r>
        <w:t xml:space="preserve">Graph-based retrieval offers a promising direction for overcoming the limitations of flat chunk retrieval. GraphRAG constructs graph structures over textual corpora to support query-focused summarization and global reasoning </w:t>
      </w:r>
      <w:r>
        <w:rPr>
          <w:rFonts w:hint="eastAsia" w:eastAsia="宋体"/>
          <w:lang w:eastAsia="zh-CN"/>
        </w:rPr>
        <w:fldChar w:fldCharType="begin"/>
      </w:r>
      <w:r>
        <w:rPr>
          <w:rFonts w:hint="eastAsia" w:eastAsia="宋体"/>
          <w:lang w:eastAsia="zh-CN"/>
        </w:rPr>
        <w:instrText xml:space="preserve"> REF _Ref32654 \r \h </w:instrText>
      </w:r>
      <w:r>
        <w:rPr>
          <w:rFonts w:hint="eastAsia" w:eastAsia="宋体"/>
          <w:lang w:eastAsia="zh-CN"/>
        </w:rPr>
        <w:fldChar w:fldCharType="separate"/>
      </w:r>
      <w:r>
        <w:rPr>
          <w:rFonts w:hint="eastAsia" w:eastAsia="宋体"/>
          <w:lang w:eastAsia="zh-CN"/>
        </w:rPr>
        <w:t>[10]</w:t>
      </w:r>
      <w:r>
        <w:rPr>
          <w:rFonts w:hint="eastAsia" w:eastAsia="宋体"/>
          <w:lang w:eastAsia="zh-CN"/>
        </w:rPr>
        <w:fldChar w:fldCharType="end"/>
      </w:r>
      <w:r>
        <w:rPr>
          <w:rFonts w:hint="eastAsia"/>
        </w:rPr>
        <w:t>,</w:t>
      </w:r>
      <w:r>
        <w:t xml:space="preserve"> while recent graph-augmented or memory-augmented methods explore efficient graph retrieval, long-term memory, and reasoning over knowledge graphs </w:t>
      </w:r>
      <w:r>
        <w:fldChar w:fldCharType="begin"/>
      </w:r>
      <w:r>
        <w:instrText xml:space="preserve"> REF _Ref32733 \r \h </w:instrText>
      </w:r>
      <w:r>
        <w:fldChar w:fldCharType="separate"/>
      </w:r>
      <w:r>
        <w:t>[11</w:t>
      </w:r>
      <w:r>
        <w:fldChar w:fldCharType="end"/>
      </w:r>
      <w:r>
        <w:fldChar w:fldCharType="begin"/>
      </w:r>
      <w:r>
        <w:instrText xml:space="preserve"> REF _Ref32272 \r \h </w:instrText>
      </w:r>
      <w:r>
        <w:fldChar w:fldCharType="separate"/>
      </w:r>
      <w:r>
        <w:rPr>
          <w:rFonts w:hint="eastAsia" w:eastAsia="宋体"/>
          <w:lang w:eastAsia="zh-CN"/>
        </w:rPr>
        <w:t>-</w:t>
      </w:r>
      <w:r>
        <w:t>14]</w:t>
      </w:r>
      <w:r>
        <w:fldChar w:fldCharType="end"/>
      </w:r>
      <w:r>
        <w:rPr>
          <w:rFonts w:hint="eastAsia"/>
        </w:rPr>
        <w:t>.</w:t>
      </w:r>
      <w:r>
        <w:t xml:space="preserve"> Nevertheless, these methods usually focus on general entity relations or corpus-level knowledge organization. In contrast, CE-RAG models the internal rhetorical structure of a scientific paper as a scholarly object graph and retrieves explicit claim-evidence-result reasoning chains.</w:t>
      </w:r>
    </w:p>
    <w:p w14:paraId="0BAA5334">
      <w:r>
        <w:t xml:space="preserve">Scientific paper question answering and scientific claim verification are closely related to our task. QASPER introduced information-seeking questions grounded in research papers </w:t>
      </w:r>
      <w:r>
        <w:fldChar w:fldCharType="begin"/>
      </w:r>
      <w:r>
        <w:instrText xml:space="preserve"> REF _Ref23 \r \h </w:instrText>
      </w:r>
      <w:r>
        <w:fldChar w:fldCharType="separate"/>
      </w:r>
      <w:r>
        <w:t>[15]</w:t>
      </w:r>
      <w:r>
        <w:fldChar w:fldCharType="end"/>
      </w:r>
      <w:r>
        <w:rPr>
          <w:rFonts w:hint="eastAsia"/>
        </w:rPr>
        <w:t>,</w:t>
      </w:r>
      <w:r>
        <w:t xml:space="preserve"> and PaperQA showed the potential of RAG agents for scientific literature understanding </w:t>
      </w:r>
      <w:r>
        <w:fldChar w:fldCharType="begin"/>
      </w:r>
      <w:r>
        <w:instrText xml:space="preserve"> REF _Ref490 \r \h </w:instrText>
      </w:r>
      <w:r>
        <w:fldChar w:fldCharType="separate"/>
      </w:r>
      <w:r>
        <w:t>[16</w:t>
      </w:r>
      <w:r>
        <w:fldChar w:fldCharType="end"/>
      </w:r>
      <w:r>
        <w:fldChar w:fldCharType="begin"/>
      </w:r>
      <w:r>
        <w:instrText xml:space="preserve"> REF _Ref32324 \r \h </w:instrText>
      </w:r>
      <w:r>
        <w:fldChar w:fldCharType="separate"/>
      </w:r>
      <w:r>
        <w:rPr>
          <w:rFonts w:hint="eastAsia" w:eastAsia="宋体"/>
          <w:lang w:eastAsia="zh-CN"/>
        </w:rPr>
        <w:t>-</w:t>
      </w:r>
      <w:r>
        <w:t>19]</w:t>
      </w:r>
      <w:r>
        <w:fldChar w:fldCharType="end"/>
      </w:r>
      <w:r>
        <w:rPr>
          <w:rFonts w:hint="eastAsia"/>
        </w:rPr>
        <w:t>.</w:t>
      </w:r>
      <w:r>
        <w:t xml:space="preserve"> Scientific fact</w:t>
      </w:r>
      <w:r>
        <w:rPr>
          <w:rFonts w:hint="eastAsia"/>
        </w:rPr>
        <w:t xml:space="preserve"> </w:t>
      </w:r>
      <w:r>
        <w:t xml:space="preserve">verification datasets and systems, such as FEVER, SciFact, PubHealth, and VerT5erini, emphasize retrieving evidence to support or refute claims </w:t>
      </w:r>
      <w:r>
        <w:fldChar w:fldCharType="begin"/>
      </w:r>
      <w:r>
        <w:instrText xml:space="preserve"> REF _Ref89 \r \h </w:instrText>
      </w:r>
      <w:r>
        <w:fldChar w:fldCharType="separate"/>
      </w:r>
      <w:r>
        <w:t>[21</w:t>
      </w:r>
      <w:r>
        <w:fldChar w:fldCharType="end"/>
      </w:r>
      <w:r>
        <w:fldChar w:fldCharType="begin"/>
      </w:r>
      <w:r>
        <w:instrText xml:space="preserve"> REF _Ref99 \r \h </w:instrText>
      </w:r>
      <w:r>
        <w:fldChar w:fldCharType="separate"/>
      </w:r>
      <w:r>
        <w:rPr>
          <w:rFonts w:hint="eastAsia" w:eastAsia="宋体"/>
          <w:lang w:eastAsia="zh-CN"/>
        </w:rPr>
        <w:t>-</w:t>
      </w:r>
      <w:r>
        <w:t>24]</w:t>
      </w:r>
      <w:r>
        <w:fldChar w:fldCharType="end"/>
      </w:r>
      <w:r>
        <w:rPr>
          <w:rFonts w:hint="eastAsia"/>
        </w:rPr>
        <w:t>.</w:t>
      </w:r>
      <w:r>
        <w:t xml:space="preserve"> However, claim verification typically assumes a given claim, whereas CE-RAG must first identify relevant scholarly objects from the source paper and then generate an answer grounded in claim-evidence reasoning chains.</w:t>
      </w:r>
    </w:p>
    <w:p w14:paraId="63E16EEF">
      <w:r>
        <w:t xml:space="preserve">Faithfulness and attribution remain major challenges for retrieval-augmented generation. RAGTruth shows that hallucinations can still occur even when retrieval context is provided </w:t>
      </w:r>
      <w:r>
        <w:fldChar w:fldCharType="begin"/>
      </w:r>
      <w:r>
        <w:instrText xml:space="preserve"> REF _Ref164 \r \h </w:instrText>
      </w:r>
      <w:r>
        <w:fldChar w:fldCharType="separate"/>
      </w:r>
      <w:r>
        <w:t>[25</w:t>
      </w:r>
      <w:r>
        <w:fldChar w:fldCharType="end"/>
      </w:r>
      <w:r>
        <w:rPr>
          <w:rFonts w:hint="eastAsia" w:eastAsia="宋体"/>
          <w:lang w:eastAsia="zh-CN"/>
        </w:rPr>
        <w:t>-</w:t>
      </w:r>
      <w:r>
        <w:fldChar w:fldCharType="begin"/>
      </w:r>
      <w:r>
        <w:instrText xml:space="preserve"> REF _Ref167 \r \h </w:instrText>
      </w:r>
      <w:r>
        <w:fldChar w:fldCharType="separate"/>
      </w:r>
      <w:r>
        <w:t>26]</w:t>
      </w:r>
      <w:r>
        <w:fldChar w:fldCharType="end"/>
      </w:r>
      <w:r>
        <w:rPr>
          <w:rFonts w:hint="eastAsia"/>
        </w:rPr>
        <w:t>,</w:t>
      </w:r>
      <w:r>
        <w:t xml:space="preserve"> while FActScore, ALCE, RAGAS, and ARES provide evaluation perspectives for factual precision, citation grounding, faithfulness, and retrieval quality </w:t>
      </w:r>
      <w:r>
        <w:fldChar w:fldCharType="begin"/>
      </w:r>
      <w:r>
        <w:instrText xml:space="preserve"> REF _Ref360 \r \h </w:instrText>
      </w:r>
      <w:r>
        <w:fldChar w:fldCharType="separate"/>
      </w:r>
      <w:r>
        <w:t>[27</w:t>
      </w:r>
      <w:r>
        <w:fldChar w:fldCharType="end"/>
      </w:r>
      <w:r>
        <w:fldChar w:fldCharType="begin"/>
      </w:r>
      <w:r>
        <w:instrText xml:space="preserve"> REF _Ref376 \r \h </w:instrText>
      </w:r>
      <w:r>
        <w:fldChar w:fldCharType="separate"/>
      </w:r>
      <w:r>
        <w:rPr>
          <w:rFonts w:hint="eastAsia" w:eastAsia="宋体"/>
          <w:lang w:eastAsia="zh-CN"/>
        </w:rPr>
        <w:t>-</w:t>
      </w:r>
      <w:r>
        <w:t>31]</w:t>
      </w:r>
      <w:r>
        <w:fldChar w:fldCharType="end"/>
      </w:r>
      <w:r>
        <w:rPr>
          <w:rFonts w:hint="eastAsia"/>
        </w:rPr>
        <w:t>.</w:t>
      </w:r>
      <w:r>
        <w:t xml:space="preserve"> In addition, unanswerable question answering benchmarks such as SQuAD 2.0 highlight the importance of knowing when not to answer </w:t>
      </w:r>
      <w:r>
        <w:fldChar w:fldCharType="begin"/>
      </w:r>
      <w:r>
        <w:instrText xml:space="preserve"> REF _Ref425 \r \h </w:instrText>
      </w:r>
      <w:r>
        <w:fldChar w:fldCharType="separate"/>
      </w:r>
      <w:r>
        <w:t>[32]</w:t>
      </w:r>
      <w:r>
        <w:fldChar w:fldCharType="end"/>
      </w:r>
      <w:r>
        <w:rPr>
          <w:rFonts w:hint="eastAsia"/>
        </w:rPr>
        <w:t>.</w:t>
      </w:r>
      <w:r>
        <w:t xml:space="preserve"> Motivated by these findings, CE-RAG integrates reasoning-chain retrieval, evidence-sufficiency estimation, and answer-evidence verification to improve faithful scientific paper question answering and reduce unsupported generation.</w:t>
      </w:r>
    </w:p>
    <w:p w14:paraId="725221CE">
      <w:pPr>
        <w:pStyle w:val="25"/>
        <w:spacing w:before="240" w:after="120" w:line="240" w:lineRule="auto"/>
      </w:pPr>
      <w:r>
        <w:rPr>
          <w:rFonts w:hint="eastAsia"/>
        </w:rPr>
        <w:t>Methodology</w:t>
      </w:r>
    </w:p>
    <w:p w14:paraId="0B07D902">
      <w:pPr>
        <w:pStyle w:val="3"/>
        <w:ind w:firstLine="227"/>
      </w:pPr>
      <w:r>
        <w:t xml:space="preserve">CE-RAG is designed to improve the faithfulness and explainability of scientific paper question answering by moving beyond chunk-level retrieval. Instead of treating a paper as a flat collection of text fragments, CE-RAG represents it as a structured scholarly object graph and retrieves claim-evidence reasoning chains to support answer generation. Given a scientific paper </w:t>
      </w:r>
      <m:oMath>
        <m:r>
          <m:rPr>
            <m:sty m:val="p"/>
          </m:rPr>
          <w:rPr>
            <w:rFonts w:hint="eastAsia" w:ascii="Cambria Math" w:hAnsi="Cambria Math" w:eastAsia="宋体"/>
            <w:lang w:eastAsia="zh-CN"/>
          </w:rPr>
          <m:t>P</m:t>
        </m:r>
      </m:oMath>
      <w:r>
        <w:t xml:space="preserve"> and a user question </w:t>
      </w:r>
      <m:oMath>
        <m:r>
          <m:rPr>
            <m:sty m:val="p"/>
          </m:rPr>
          <w:rPr>
            <w:rFonts w:hint="eastAsia" w:ascii="Cambria Math" w:hAnsi="Cambria Math" w:eastAsia="宋体"/>
            <w:lang w:eastAsia="zh-CN"/>
          </w:rPr>
          <m:t>q</m:t>
        </m:r>
      </m:oMath>
      <w:r>
        <w:t xml:space="preserve">, the goal is to generate an answer </w:t>
      </w:r>
      <m:oMath>
        <m:r>
          <m:rPr>
            <m:sty m:val="p"/>
          </m:rPr>
          <w:rPr>
            <w:rFonts w:hint="eastAsia" w:ascii="Cambria Math" w:hAnsi="Cambria Math" w:eastAsia="宋体"/>
            <w:lang w:eastAsia="zh-CN"/>
          </w:rPr>
          <m:t>a</m:t>
        </m:r>
      </m:oMath>
      <w:r>
        <w:t xml:space="preserve"> that is grounded in the paper and supported by explicit evidence.</w:t>
      </w:r>
    </w:p>
    <w:p w14:paraId="173E9C2F">
      <w:pPr>
        <w:spacing w:after="120" w:line="240" w:lineRule="auto"/>
      </w:pPr>
      <w:r>
        <w:t xml:space="preserve">Compared with standard RAG, which generates an answer from retrieved chunks </w:t>
      </w:r>
      <m:oMath>
        <m:sSub>
          <m:sSubPr>
            <m:ctrlPr>
              <w:rPr>
                <w:rFonts w:ascii="Cambria Math" w:hAnsi="Cambria Math"/>
                <w:i/>
              </w:rPr>
            </m:ctrlPr>
          </m:sSubPr>
          <m:e>
            <m:r>
              <m:rPr/>
              <w:rPr>
                <w:rFonts w:ascii="Cambria Math" w:hAnsi="Cambria Math" w:eastAsia="宋体"/>
                <w:lang w:eastAsia="zh-CN"/>
              </w:rPr>
              <m:t>D</m:t>
            </m:r>
            <m:ctrlPr>
              <w:rPr>
                <w:rFonts w:ascii="Cambria Math" w:hAnsi="Cambria Math"/>
                <w:i/>
              </w:rPr>
            </m:ctrlPr>
          </m:e>
          <m:sub>
            <m:r>
              <m:rPr/>
              <w:rPr>
                <w:rFonts w:ascii="Cambria Math" w:hAnsi="Cambria Math" w:eastAsia="宋体"/>
                <w:lang w:eastAsia="zh-CN"/>
              </w:rPr>
              <m:t>q</m:t>
            </m:r>
            <m:ctrlPr>
              <w:rPr>
                <w:rFonts w:ascii="Cambria Math" w:hAnsi="Cambria Math"/>
                <w:i/>
              </w:rPr>
            </m:ctrlPr>
          </m:sub>
        </m:sSub>
      </m:oMath>
      <w:r>
        <w:rPr>
          <w:rFonts w:hint="eastAsia"/>
        </w:rPr>
        <w:t>,</w:t>
      </w:r>
      <w:r>
        <w:t xml:space="preserve"> CE-RAG conditions generation on structured scholarly objects, reasoning chains, and evidence-sufficiency estimation:</w:t>
      </w:r>
    </w:p>
    <w:p w14:paraId="6155B973">
      <w:pPr>
        <w:spacing w:after="120" w:line="240" w:lineRule="auto"/>
        <w:jc w:val="both"/>
        <w:rPr>
          <w:rFonts w:ascii="Times New Roman" w:hAnsi="Times New Roman"/>
          <w:i/>
        </w:rPr>
      </w:pPr>
      <m:oMath>
        <m:r>
          <m:rPr/>
          <w:rPr>
            <w:rFonts w:ascii="Cambria Math" w:hAnsi="Cambria Math"/>
          </w:rPr>
          <m:t>a=LLM</m:t>
        </m:r>
        <m:d>
          <m:dPr>
            <m:ctrlPr>
              <w:rPr>
                <w:rFonts w:ascii="Cambria Math" w:hAnsi="Cambria Math" w:eastAsia="宋体"/>
                <w:i/>
                <w:lang w:eastAsia="zh-CN"/>
              </w:rPr>
            </m:ctrlPr>
          </m:dPr>
          <m:e>
            <m:r>
              <m:rPr/>
              <w:rPr>
                <w:rFonts w:ascii="Cambria Math" w:hAnsi="Cambria Math"/>
              </w:rPr>
              <m:t xml:space="preserve">q, </m:t>
            </m:r>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C</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s</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oMath>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1 \* GB2 \* MERGEFORMAT </w:instrText>
      </w:r>
      <w:r>
        <w:rPr>
          <w:rFonts w:ascii="Times New Roman" w:hAnsi="Times New Roman"/>
          <w:i/>
        </w:rPr>
        <w:fldChar w:fldCharType="separate"/>
      </w:r>
      <w:r>
        <w:rPr>
          <w:rFonts w:hint="eastAsia" w:eastAsia="宋体"/>
        </w:rPr>
        <w:t>⑴</w:t>
      </w:r>
      <w:r>
        <w:rPr>
          <w:rFonts w:ascii="Times New Roman" w:hAnsi="Times New Roman"/>
          <w:i/>
        </w:rPr>
        <w:fldChar w:fldCharType="end"/>
      </w:r>
    </w:p>
    <w:p w14:paraId="4B454D95">
      <w:pPr>
        <w:ind w:firstLine="0"/>
        <w:jc w:val="left"/>
        <w:rPr>
          <w:rFonts w:hAnsi="Times New Roman"/>
        </w:rPr>
      </w:pPr>
      <w:r>
        <w:rPr>
          <w:lang w:eastAsia="zh-CN"/>
        </w:rPr>
        <w:t xml:space="preserve">where </w:t>
      </w:r>
      <m:oMath>
        <m:sSub>
          <m:sSubPr>
            <m:ctrlPr>
              <w:rPr>
                <w:rFonts w:ascii="Cambria Math" w:hAnsi="Cambria Math"/>
                <w:i/>
              </w:rPr>
            </m:ctrlPr>
          </m:sSubPr>
          <m:e>
            <m:r>
              <m:rPr/>
              <w:rPr>
                <w:rFonts w:ascii="Cambria Math" w:hAnsi="Cambria Math" w:eastAsia="宋体"/>
                <w:lang w:eastAsia="zh-CN"/>
              </w:rPr>
              <m:t>B</m:t>
            </m:r>
            <m:ctrlPr>
              <w:rPr>
                <w:rFonts w:ascii="Cambria Math" w:hAnsi="Cambria Math"/>
                <w:i/>
              </w:rPr>
            </m:ctrlPr>
          </m:e>
          <m:sub>
            <m:r>
              <m:rPr/>
              <w:rPr>
                <w:rFonts w:ascii="Cambria Math" w:hAnsi="Cambria Math" w:eastAsia="宋体"/>
                <w:lang w:eastAsia="zh-CN"/>
              </w:rPr>
              <m:t>q</m:t>
            </m:r>
            <m:ctrlPr>
              <w:rPr>
                <w:rFonts w:ascii="Cambria Math" w:hAnsi="Cambria Math"/>
                <w:i/>
              </w:rPr>
            </m:ctrlPr>
          </m:sub>
        </m:sSub>
      </m:oMath>
      <w:r>
        <w:rPr>
          <w:rFonts w:hAnsi="Cambria Math"/>
        </w:rPr>
        <w:t xml:space="preserve"> is the evidence bundle, </w:t>
      </w:r>
      <m:oMath>
        <m:sSub>
          <m:sSubPr>
            <m:ctrlPr>
              <w:rPr>
                <w:rFonts w:ascii="Cambria Math" w:hAnsi="Cambria Math"/>
                <w:i/>
              </w:rPr>
            </m:ctrlPr>
          </m:sSubPr>
          <m:e>
            <m:r>
              <m:rPr/>
              <w:rPr>
                <w:rFonts w:ascii="Cambria Math" w:hAnsi="Cambria Math" w:eastAsia="宋体"/>
                <w:lang w:eastAsia="zh-CN"/>
              </w:rPr>
              <m:t>C</m:t>
            </m:r>
            <m:ctrlPr>
              <w:rPr>
                <w:rFonts w:ascii="Cambria Math" w:hAnsi="Cambria Math"/>
                <w:i/>
              </w:rPr>
            </m:ctrlPr>
          </m:e>
          <m:sub>
            <m:r>
              <m:rPr/>
              <w:rPr>
                <w:rFonts w:ascii="Cambria Math" w:hAnsi="Cambria Math" w:eastAsia="宋体"/>
                <w:lang w:eastAsia="zh-CN"/>
              </w:rPr>
              <m:t>q</m:t>
            </m:r>
            <m:ctrlPr>
              <w:rPr>
                <w:rFonts w:ascii="Cambria Math" w:hAnsi="Cambria Math"/>
                <w:i/>
              </w:rPr>
            </m:ctrlPr>
          </m:sub>
        </m:sSub>
      </m:oMath>
      <w:r>
        <w:rPr>
          <w:rFonts w:hAnsi="Cambria Math"/>
        </w:rPr>
        <w:t xml:space="preserve"> denotes </w:t>
      </w:r>
      <w:r>
        <w:rPr>
          <w:lang w:eastAsia="zh-CN"/>
        </w:rPr>
        <w:t xml:space="preserve">the </w:t>
      </w:r>
      <w:r>
        <w:rPr>
          <w:rFonts w:hAnsi="Times New Roman"/>
        </w:rPr>
        <w:t xml:space="preserve">retrieved reasoning chains, and </w:t>
      </w:r>
      <m:oMath>
        <m:sSub>
          <m:sSubPr>
            <m:ctrlPr>
              <w:rPr>
                <w:rFonts w:ascii="Cambria Math" w:hAnsi="Cambria Math"/>
                <w:i/>
              </w:rPr>
            </m:ctrlPr>
          </m:sSubPr>
          <m:e>
            <m:r>
              <m:rPr/>
              <w:rPr>
                <w:rFonts w:ascii="Cambria Math" w:hAnsi="Cambria Math" w:eastAsia="宋体"/>
                <w:lang w:eastAsia="zh-CN"/>
              </w:rPr>
              <m:t>s</m:t>
            </m:r>
            <m:ctrlPr>
              <w:rPr>
                <w:rFonts w:ascii="Cambria Math" w:hAnsi="Cambria Math"/>
                <w:i/>
              </w:rPr>
            </m:ctrlPr>
          </m:e>
          <m:sub>
            <m:r>
              <m:rPr/>
              <w:rPr>
                <w:rFonts w:ascii="Cambria Math" w:hAnsi="Cambria Math" w:eastAsia="宋体"/>
                <w:lang w:eastAsia="zh-CN"/>
              </w:rPr>
              <m:t>q</m:t>
            </m:r>
            <m:ctrlPr>
              <w:rPr>
                <w:rFonts w:ascii="Cambria Math" w:hAnsi="Cambria Math"/>
                <w:i/>
              </w:rPr>
            </m:ctrlPr>
          </m:sub>
        </m:sSub>
      </m:oMath>
      <w:r>
        <w:rPr>
          <w:rFonts w:hAnsi="Times New Roman"/>
        </w:rPr>
        <w:t xml:space="preserve"> is the evidence</w:t>
      </w:r>
      <w:r>
        <w:rPr>
          <w:lang w:eastAsia="zh-CN"/>
        </w:rPr>
        <w:t>-</w:t>
      </w:r>
      <w:r>
        <w:rPr>
          <w:rFonts w:hAnsi="Times New Roman"/>
        </w:rPr>
        <w:t>sufficiency score.</w:t>
      </w:r>
    </w:p>
    <w:p w14:paraId="2B581269">
      <w:pPr>
        <w:spacing w:after="120" w:line="240" w:lineRule="auto"/>
        <w:ind w:firstLine="0"/>
        <w:jc w:val="both"/>
        <w:rPr>
          <w:rFonts w:ascii="Times New Roman" w:hAnsi="Times New Roman"/>
          <w:sz w:val="21"/>
          <w:lang w:bidi="ar-SA"/>
        </w:rPr>
      </w:pPr>
      <w:r>
        <w:rPr>
          <w:rFonts w:ascii="Times New Roman" w:hAnsi="Times New Roman"/>
          <w:sz w:val="21"/>
          <w:lang w:bidi="ar-SA"/>
        </w:rPr>
        <w:drawing>
          <wp:inline distT="0" distB="0" distL="114300" distR="114300">
            <wp:extent cx="4095115" cy="2177415"/>
            <wp:effectExtent l="0" t="0" r="63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tretch>
                      <a:fillRect/>
                    </a:stretch>
                  </pic:blipFill>
                  <pic:spPr>
                    <a:xfrm>
                      <a:off x="0" y="0"/>
                      <a:ext cx="4095115" cy="2177415"/>
                    </a:xfrm>
                    <a:prstGeom prst="rect">
                      <a:avLst/>
                    </a:prstGeom>
                    <a:noFill/>
                    <a:ln w="9525">
                      <a:noFill/>
                    </a:ln>
                  </pic:spPr>
                </pic:pic>
              </a:graphicData>
            </a:graphic>
          </wp:inline>
        </w:drawing>
      </w:r>
    </w:p>
    <w:p w14:paraId="064D14DA">
      <w:pPr>
        <w:pStyle w:val="7"/>
        <w:spacing w:before="60" w:after="120" w:line="240" w:lineRule="auto"/>
        <w:ind w:firstLine="227"/>
        <w:jc w:val="center"/>
        <w:rPr>
          <w:rFonts w:ascii="Arial" w:hAnsi="Arial"/>
          <w:i/>
          <w:sz w:val="18"/>
        </w:rPr>
      </w:pPr>
      <w:r>
        <w:rPr>
          <w:rFonts w:ascii="Times New Roman" w:hAnsi="Times New Roman"/>
          <w:b w:val="0"/>
          <w:i/>
          <w:sz w:val="18"/>
        </w:rPr>
        <w:t xml:space="preserve">Fig. </w:t>
      </w:r>
      <w:r>
        <w:rPr>
          <w:rFonts w:ascii="Times New Roman" w:hAnsi="Times New Roman"/>
          <w:i/>
          <w:sz w:val="18"/>
        </w:rPr>
        <w:t>1.</w:t>
      </w:r>
      <w:r>
        <w:rPr>
          <w:rFonts w:ascii="Times New Roman" w:hAnsi="Times New Roman"/>
          <w:i/>
          <w:sz w:val="18"/>
        </w:rPr>
        <w:t xml:space="preserve"> CE-RAG: Claim-Evidence-Aware RAG Framework</w:t>
      </w:r>
    </w:p>
    <w:p w14:paraId="2E98B2EB">
      <w:pPr>
        <w:pStyle w:val="26"/>
        <w:spacing w:before="180" w:after="80" w:line="240" w:lineRule="auto"/>
        <w:rPr>
          <w:sz w:val="22"/>
        </w:rPr>
      </w:pPr>
      <w:r>
        <w:rPr>
          <w:sz w:val="22"/>
        </w:rPr>
        <w:t>Overview</w:t>
      </w:r>
    </w:p>
    <w:p w14:paraId="4BD38596">
      <w:pPr>
        <w:pStyle w:val="3"/>
        <w:spacing w:after="120" w:line="240" w:lineRule="auto"/>
        <w:ind w:firstLine="0"/>
      </w:pPr>
      <w:r>
        <w:t>The overall framework of CE-RAG is shown in Fig. 1. The workflow consists of four steps. First, the input paper is parsed into scholarly objects, including sections, claims, evidence, experiments, results, and limitations. These objects form a heterogeneous scholarly object graph:</w:t>
      </w:r>
    </w:p>
    <w:p w14:paraId="3AFD73B5">
      <w:pPr>
        <w:spacing w:after="120" w:line="240" w:lineRule="auto"/>
        <w:jc w:val="right"/>
        <w:rPr>
          <w:rFonts w:hAnsi="Times New Roman"/>
        </w:rPr>
      </w:pP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d>
          <m:dPr>
            <m:ctrlPr>
              <w:rPr>
                <w:rFonts w:ascii="Cambria Math" w:hAnsi="Cambria Math" w:eastAsia="宋体"/>
                <w:i/>
                <w:lang w:eastAsia="zh-CN"/>
              </w:rPr>
            </m:ctrlPr>
          </m:dPr>
          <m:e>
            <m:r>
              <m:rPr/>
              <w:rPr>
                <w:rFonts w:ascii="Cambria Math" w:hAnsi="Cambria Math"/>
              </w:rPr>
              <m:t>V, E</m:t>
            </m:r>
            <m:ctrlPr>
              <w:rPr>
                <w:rFonts w:ascii="Cambria Math" w:hAnsi="Cambria Math" w:eastAsia="宋体"/>
                <w:i/>
                <w:lang w:eastAsia="zh-CN"/>
              </w:rPr>
            </m:ctrlPr>
          </m:e>
        </m:d>
      </m:oMath>
      <w:r>
        <w:rPr>
          <w:rFonts w:hAnsi="Times New Roman"/>
          <w:i/>
        </w:rPr>
        <w:tab/>
      </w:r>
      <w:r>
        <w:rPr>
          <w:rFonts w:hAnsi="Times New Roman"/>
          <w:i/>
        </w:rPr>
        <w:tab/>
      </w:r>
      <w:r>
        <w:rPr>
          <w:i/>
        </w:rPr>
        <w:t xml:space="preserve">  </w:t>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2 \* GB2 \* MERGEFORMAT </w:instrText>
      </w:r>
      <w:r>
        <w:rPr>
          <w:rFonts w:ascii="Times New Roman" w:hAnsi="Times New Roman"/>
          <w:i/>
        </w:rPr>
        <w:fldChar w:fldCharType="separate"/>
      </w:r>
      <w:r>
        <w:rPr>
          <w:rFonts w:hint="eastAsia" w:eastAsia="宋体"/>
        </w:rPr>
        <w:t>⑵</w:t>
      </w:r>
      <w:r>
        <w:rPr>
          <w:rFonts w:ascii="Times New Roman" w:hAnsi="Times New Roman"/>
          <w:i/>
        </w:rPr>
        <w:fldChar w:fldCharType="end"/>
      </w:r>
    </w:p>
    <w:p w14:paraId="71CA2518">
      <w:pPr>
        <w:spacing w:after="120" w:line="240" w:lineRule="auto"/>
        <w:ind w:firstLine="227"/>
        <w:rPr>
          <w:rFonts w:hAnsi="Times New Roman"/>
        </w:rPr>
      </w:pPr>
      <w:r>
        <w:rPr>
          <w:rFonts w:hAnsi="Times New Roman"/>
        </w:rPr>
        <w:t>where V denotes scholarly object nodes and E denotes typed relations. The node set contains multiple object types:</w:t>
      </w:r>
    </w:p>
    <w:p w14:paraId="2226A8AC">
      <w:pPr>
        <w:spacing w:after="120" w:line="240" w:lineRule="auto"/>
        <w:ind w:firstLine="0"/>
        <w:jc w:val="right"/>
        <w:rPr>
          <w:rFonts w:ascii="Times New Roman" w:hAnsi="Times New Roman"/>
          <w:i/>
        </w:rPr>
      </w:pPr>
      <m:oMath>
        <m:r>
          <m:rPr/>
          <w:rPr>
            <w:rFonts w:ascii="Cambria Math" w:hAnsi="Cambria Math"/>
          </w:rPr>
          <m:t>V=</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s</m:t>
            </m:r>
            <m:ctrlPr>
              <w:rPr>
                <w:rFonts w:ascii="Cambria Math" w:hAnsi="Cambria Math" w:eastAsia="宋体"/>
                <w:i/>
                <w:lang w:eastAsia="zh-CN"/>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c</m:t>
            </m:r>
            <m:ctrlPr>
              <w:rPr>
                <w:rFonts w:ascii="Cambria Math" w:hAnsi="Cambria Math" w:eastAsia="宋体"/>
                <w:i/>
                <w:lang w:eastAsia="zh-CN"/>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e</m:t>
            </m:r>
            <m:ctrlPr>
              <w:rPr>
                <w:rFonts w:ascii="Cambria Math" w:hAnsi="Cambria Math" w:eastAsia="宋体"/>
                <w:i/>
                <w:lang w:eastAsia="zh-CN"/>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x</m:t>
            </m:r>
            <m:ctrlPr>
              <w:rPr>
                <w:rFonts w:ascii="Cambria Math" w:hAnsi="Cambria Math" w:eastAsia="宋体"/>
                <w:i/>
                <w:lang w:eastAsia="zh-CN"/>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r</m:t>
            </m:r>
            <m:ctrlPr>
              <w:rPr>
                <w:rFonts w:ascii="Cambria Math" w:hAnsi="Cambria Math" w:eastAsia="宋体"/>
                <w:i/>
                <w:lang w:eastAsia="zh-CN"/>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l</m:t>
            </m:r>
            <m:ctrlPr>
              <w:rPr>
                <w:rFonts w:ascii="Cambria Math" w:hAnsi="Cambria Math" w:eastAsia="宋体"/>
                <w:i/>
                <w:lang w:eastAsia="zh-CN"/>
              </w:rPr>
            </m:ctrlPr>
          </m:sub>
        </m:sSub>
      </m:oMath>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3 \* GB2 \* MERGEFORMAT </w:instrText>
      </w:r>
      <w:r>
        <w:rPr>
          <w:rFonts w:ascii="Times New Roman" w:hAnsi="Times New Roman"/>
          <w:i/>
        </w:rPr>
        <w:fldChar w:fldCharType="separate"/>
      </w:r>
      <w:r>
        <w:rPr>
          <w:rFonts w:hint="eastAsia" w:eastAsia="宋体"/>
        </w:rPr>
        <w:t>⑶</w:t>
      </w:r>
      <w:r>
        <w:rPr>
          <w:rFonts w:ascii="Times New Roman" w:hAnsi="Times New Roman"/>
          <w:i/>
        </w:rPr>
        <w:fldChar w:fldCharType="end"/>
      </w:r>
    </w:p>
    <w:p w14:paraId="4F611E80">
      <w:pPr>
        <w:ind w:firstLine="0"/>
        <w:rPr>
          <w:rFonts w:eastAsia="宋体"/>
          <w:lang w:eastAsia="zh-CN"/>
        </w:rPr>
      </w:pPr>
      <w:r>
        <w:rPr>
          <w:rFonts w:hAnsi="Times New Roman"/>
        </w:rPr>
        <w:t xml:space="preserve">where </w:t>
      </w:r>
      <m:oMath>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s</m:t>
            </m:r>
            <m:ctrlPr>
              <w:rPr>
                <w:rFonts w:ascii="Cambria Math" w:hAnsi="Cambria Math" w:eastAsia="宋体"/>
                <w:i/>
                <w:lang w:eastAsia="zh-CN"/>
              </w:rPr>
            </m:ctrlPr>
          </m:sub>
        </m:sSub>
        <m:r>
          <m:rPr/>
          <w:rPr>
            <w:rFonts w:ascii="Cambria Math" w:hAnsi="Cambria Math" w:eastAsia="宋体"/>
            <w:lang w:eastAsia="zh-CN"/>
          </w:rPr>
          <m:t xml:space="preserve">, </m:t>
        </m:r>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c</m:t>
            </m:r>
            <m:ctrlPr>
              <w:rPr>
                <w:rFonts w:ascii="Cambria Math" w:hAnsi="Cambria Math" w:eastAsia="宋体"/>
                <w:i/>
                <w:lang w:eastAsia="zh-CN"/>
              </w:rPr>
            </m:ctrlPr>
          </m:sub>
        </m:sSub>
        <m:r>
          <m:rPr/>
          <w:rPr>
            <w:rFonts w:ascii="Cambria Math" w:hAnsi="Cambria Math" w:eastAsia="宋体"/>
            <w:lang w:eastAsia="zh-CN"/>
          </w:rPr>
          <m:t xml:space="preserve">, </m:t>
        </m:r>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e</m:t>
            </m:r>
            <m:ctrlPr>
              <w:rPr>
                <w:rFonts w:ascii="Cambria Math" w:hAnsi="Cambria Math" w:eastAsia="宋体"/>
                <w:i/>
                <w:lang w:eastAsia="zh-CN"/>
              </w:rPr>
            </m:ctrlPr>
          </m:sub>
        </m:sSub>
        <m:r>
          <m:rPr/>
          <w:rPr>
            <w:rFonts w:ascii="Cambria Math" w:hAnsi="Cambria Math" w:eastAsia="宋体"/>
            <w:lang w:eastAsia="zh-CN"/>
          </w:rPr>
          <m:t xml:space="preserve">, </m:t>
        </m:r>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x</m:t>
            </m:r>
            <m:ctrlPr>
              <w:rPr>
                <w:rFonts w:ascii="Cambria Math" w:hAnsi="Cambria Math" w:eastAsia="宋体"/>
                <w:i/>
                <w:lang w:eastAsia="zh-CN"/>
              </w:rPr>
            </m:ctrlPr>
          </m:sub>
        </m:sSub>
        <m:r>
          <m:rPr/>
          <w:rPr>
            <w:rFonts w:ascii="Cambria Math" w:hAnsi="Cambria Math" w:eastAsia="宋体"/>
            <w:lang w:eastAsia="zh-CN"/>
          </w:rPr>
          <m:t xml:space="preserve">, </m:t>
        </m:r>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r</m:t>
            </m:r>
            <m:ctrlPr>
              <w:rPr>
                <w:rFonts w:ascii="Cambria Math" w:hAnsi="Cambria Math" w:eastAsia="宋体"/>
                <w:i/>
                <w:lang w:eastAsia="zh-CN"/>
              </w:rPr>
            </m:ctrlPr>
          </m:sub>
        </m:sSub>
      </m:oMath>
      <w:r>
        <w:rPr>
          <w:rFonts w:hAnsi="Cambria Math"/>
        </w:rPr>
        <w:t xml:space="preserve"> and </w:t>
      </w:r>
      <m:oMath>
        <m:sSub>
          <m:sSubPr>
            <m:ctrlPr>
              <w:rPr>
                <w:rFonts w:ascii="Cambria Math" w:hAnsi="Cambria Math" w:eastAsia="宋体"/>
                <w:i/>
                <w:lang w:eastAsia="zh-CN"/>
              </w:rPr>
            </m:ctrlPr>
          </m:sSubPr>
          <m:e>
            <m:r>
              <m:rPr/>
              <w:rPr>
                <w:rFonts w:ascii="Cambria Math" w:hAnsi="Cambria Math" w:eastAsia="宋体"/>
                <w:lang w:eastAsia="zh-CN"/>
              </w:rPr>
              <m:t>V</m:t>
            </m:r>
            <m:ctrlPr>
              <w:rPr>
                <w:rFonts w:ascii="Cambria Math" w:hAnsi="Cambria Math" w:eastAsia="宋体"/>
                <w:i/>
                <w:lang w:eastAsia="zh-CN"/>
              </w:rPr>
            </m:ctrlPr>
          </m:e>
          <m:sub>
            <m:r>
              <m:rPr/>
              <w:rPr>
                <w:rFonts w:ascii="Cambria Math" w:hAnsi="Cambria Math" w:eastAsia="宋体"/>
                <w:lang w:eastAsia="zh-CN"/>
              </w:rPr>
              <m:t>l</m:t>
            </m:r>
            <m:ctrlPr>
              <w:rPr>
                <w:rFonts w:ascii="Cambria Math" w:hAnsi="Cambria Math" w:eastAsia="宋体"/>
                <w:i/>
                <w:lang w:eastAsia="zh-CN"/>
              </w:rPr>
            </m:ctrlPr>
          </m:sub>
        </m:sSub>
      </m:oMath>
      <w:r>
        <w:rPr>
          <w:rFonts w:hint="eastAsia" w:hAnsi="Cambria Math" w:eastAsia="宋体"/>
          <w:i/>
          <w:lang w:eastAsia="zh-CN"/>
        </w:rPr>
        <w:tab/>
      </w:r>
      <w:r>
        <w:rPr>
          <w:rFonts w:hAnsi="Cambria Math"/>
          <w:i/>
        </w:rPr>
        <w:t xml:space="preserve"> </w:t>
      </w:r>
      <w:r>
        <w:rPr>
          <w:rFonts w:eastAsia="宋体"/>
          <w:lang w:eastAsia="zh-CN"/>
        </w:rPr>
        <w:t>represent sections, claims, evidence, experiments, results, and limitations, respectively. The edges encode relations such as containment, support, derivation, relevance, and limitation. This graph makes the argumentative structure of a scientific paper explicit.</w:t>
      </w:r>
    </w:p>
    <w:p w14:paraId="7910FB99">
      <w:pPr>
        <w:spacing w:after="120" w:line="240" w:lineRule="auto"/>
        <w:rPr>
          <w:lang w:eastAsia="zh-CN"/>
        </w:rPr>
      </w:pPr>
      <w:r>
        <w:rPr>
          <w:lang w:eastAsia="zh-CN"/>
        </w:rPr>
        <w:t>Second, CE-RAG identifies the question type and selects retrieval targets accordingly. Method questions focus on method sections and claims; evidence questions require claim-evidence relations; result questions prioritize experiments and results; limitation questions focus on limitations and weakly supported claims; and general questions use broader retrieval over sections and claims.</w:t>
      </w:r>
    </w:p>
    <w:p w14:paraId="7762D759">
      <w:pPr>
        <w:spacing w:after="120" w:line="240" w:lineRule="auto"/>
        <w:rPr>
          <w:lang w:eastAsia="zh-CN"/>
        </w:rPr>
      </w:pPr>
      <w:r>
        <w:rPr>
          <w:lang w:eastAsia="zh-CN"/>
        </w:rPr>
        <w:t>Third, CE-RAG retrieves reasoning chains from the scholarly object graph. A reasoning chain is a path that connects multiple scholarly objects, such as a claim-evidence-result path.</w:t>
      </w:r>
    </w:p>
    <w:p w14:paraId="5413C2D6">
      <w:pPr>
        <w:spacing w:after="120" w:line="240" w:lineRule="auto"/>
        <w:rPr>
          <w:lang w:eastAsia="zh-CN"/>
        </w:rPr>
      </w:pPr>
      <w:r>
        <w:rPr>
          <w:lang w:eastAsia="zh-CN"/>
        </w:rPr>
        <w:t>Finally, CE-RAG constructs an evidence bundle, estimates whether the evidence is sufficient, generates an answer, and verifies whether the answer is supported by the retrieved evidence. The output includes not only the answer, but also evidence summaries, reasoning chains, sufficiency scores, confidence scores, and risk warnings.</w:t>
      </w:r>
    </w:p>
    <w:p w14:paraId="7EE1C43E">
      <w:pPr>
        <w:pStyle w:val="26"/>
        <w:spacing w:before="180" w:after="80" w:line="240" w:lineRule="auto"/>
        <w:rPr>
          <w:sz w:val="22"/>
        </w:rPr>
      </w:pPr>
      <w:r>
        <w:rPr>
          <w:sz w:val="22"/>
        </w:rPr>
        <w:t>Claim–Evidence Reasoning Chain Retrieval</w:t>
      </w:r>
    </w:p>
    <w:p w14:paraId="3A6384AE">
      <w:pPr>
        <w:spacing w:after="120" w:line="240" w:lineRule="auto"/>
        <w:rPr>
          <w:lang w:eastAsia="zh-CN"/>
        </w:rPr>
      </w:pPr>
      <w:r>
        <w:rPr>
          <w:lang w:eastAsia="zh-CN"/>
        </w:rPr>
        <w:t>The core difference between CE-RAG and conventional RAG lies in the retrieval stage. Conventional RAG retrieves isolated chunks according to semantic similarity. However, in scientific paper QA, many questions require evidence relations rather than isolated relevant text. For example, answering how a method is validated requires connecting method claims to experiments and results. Therefore, CE-RAG retrieves reasoning chains over the scholarly object graph. A reasoning chain is defined as a path:</w:t>
      </w:r>
    </w:p>
    <w:p w14:paraId="4962A0D5">
      <w:pPr>
        <w:spacing w:after="120" w:line="240" w:lineRule="auto"/>
        <w:jc w:val="both"/>
        <w:rPr>
          <w:rFonts w:ascii="Times New Roman" w:hAnsi="Times New Roman"/>
          <w:i/>
        </w:rPr>
      </w:pPr>
      <m:oMath>
        <m:r>
          <m:rPr/>
          <w:rPr>
            <w:rFonts w:ascii="Cambria Math" w:hAnsi="Cambria Math"/>
            <w:lang w:eastAsia="zh-CN"/>
          </w:rPr>
          <m:t>c=</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v</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e</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v</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 xml:space="preserve">, </m:t>
            </m:r>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e</m:t>
                </m:r>
                <m:ctrlPr>
                  <w:rPr>
                    <w:rFonts w:ascii="Cambria Math" w:hAnsi="Cambria Math" w:eastAsia="宋体"/>
                    <w:i/>
                    <w:lang w:eastAsia="zh-CN"/>
                  </w:rPr>
                </m:ctrlPr>
              </m:e>
              <m:sub>
                <m:r>
                  <m:rPr/>
                  <w:rPr>
                    <w:rFonts w:ascii="Cambria Math" w:hAnsi="Cambria Math"/>
                  </w:rPr>
                  <m:t>k−1</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v</m:t>
                </m:r>
                <m:ctrlPr>
                  <w:rPr>
                    <w:rFonts w:ascii="Cambria Math" w:hAnsi="Cambria Math" w:eastAsia="宋体"/>
                    <w:i/>
                    <w:lang w:eastAsia="zh-CN"/>
                  </w:rPr>
                </m:ctrlPr>
              </m:e>
              <m:sub>
                <m:r>
                  <m:rPr/>
                  <w:rPr>
                    <w:rFonts w:ascii="Cambria Math" w:hAnsi="Cambria Math"/>
                  </w:rPr>
                  <m:t>k</m:t>
                </m:r>
                <m:ctrlPr>
                  <w:rPr>
                    <w:rFonts w:ascii="Cambria Math" w:hAnsi="Cambria Math" w:eastAsia="宋体"/>
                    <w:i/>
                    <w:lang w:eastAsia="zh-CN"/>
                  </w:rPr>
                </m:ctrlPr>
              </m:sub>
            </m:sSub>
            <m:ctrlPr>
              <w:rPr>
                <w:rFonts w:ascii="Cambria Math" w:hAnsi="Cambria Math"/>
                <w:i/>
                <w:lang w:eastAsia="zh-CN"/>
              </w:rPr>
            </m:ctrlPr>
          </m:e>
        </m:d>
      </m:oMath>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4 \* GB2 \* MERGEFORMAT </w:instrText>
      </w:r>
      <w:r>
        <w:rPr>
          <w:rFonts w:ascii="Times New Roman" w:hAnsi="Times New Roman"/>
          <w:i/>
        </w:rPr>
        <w:fldChar w:fldCharType="separate"/>
      </w:r>
      <w:r>
        <w:rPr>
          <w:rFonts w:hint="eastAsia" w:eastAsia="宋体"/>
        </w:rPr>
        <w:t>⑷</w:t>
      </w:r>
      <w:r>
        <w:rPr>
          <w:rFonts w:ascii="Times New Roman" w:hAnsi="Times New Roman"/>
          <w:i/>
        </w:rPr>
        <w:fldChar w:fldCharType="end"/>
      </w:r>
    </w:p>
    <w:p w14:paraId="604CEBAD">
      <w:pPr>
        <w:spacing w:after="120" w:line="240" w:lineRule="auto"/>
        <w:ind w:firstLine="227"/>
        <w:rPr>
          <w:lang w:eastAsia="zh-CN"/>
        </w:rPr>
      </w:pPr>
      <w:r>
        <w:rPr>
          <w:lang w:eastAsia="zh-CN"/>
        </w:rPr>
        <w:t xml:space="preserve">where each </w:t>
      </w:r>
      <m:oMath>
        <m:sSub>
          <m:sSubPr>
            <m:ctrlPr>
              <w:rPr>
                <w:rFonts w:ascii="Cambria Math" w:hAnsi="Cambria Math"/>
                <w:lang w:eastAsia="zh-CN"/>
              </w:rPr>
            </m:ctrlPr>
          </m:sSubPr>
          <m:e>
            <m:r>
              <m:rPr>
                <m:sty m:val="p"/>
              </m:rPr>
              <w:rPr>
                <w:rFonts w:ascii="Cambria Math" w:hAnsi="Cambria Math"/>
                <w:lang w:eastAsia="zh-CN"/>
              </w:rPr>
              <m:t>v</m:t>
            </m:r>
            <m:ctrlPr>
              <w:rPr>
                <w:rFonts w:ascii="Cambria Math" w:hAnsi="Cambria Math"/>
                <w:lang w:eastAsia="zh-CN"/>
              </w:rPr>
            </m:ctrlPr>
          </m:e>
          <m:sub>
            <m:r>
              <m:rPr>
                <m:sty m:val="p"/>
              </m:rPr>
              <w:rPr>
                <w:rFonts w:ascii="Cambria Math" w:hAnsi="Cambria Math"/>
                <w:lang w:eastAsia="zh-CN"/>
              </w:rPr>
              <m:t>i</m:t>
            </m:r>
            <m:ctrlPr>
              <w:rPr>
                <w:rFonts w:ascii="Cambria Math" w:hAnsi="Cambria Math"/>
                <w:lang w:eastAsia="zh-CN"/>
              </w:rPr>
            </m:ctrlPr>
          </m:sub>
        </m:sSub>
        <m:r>
          <m:rPr>
            <m:sty m:val="p"/>
          </m:rPr>
          <w:rPr>
            <w:rFonts w:ascii="Cambria Math" w:hAnsi="Cambria Math"/>
            <w:lang w:eastAsia="zh-CN"/>
          </w:rPr>
          <m:t>∈V</m:t>
        </m:r>
      </m:oMath>
      <w:r>
        <w:rPr>
          <w:lang w:eastAsia="zh-CN"/>
        </w:rPr>
        <w:t xml:space="preserve"> is a scholarly object node and each </w:t>
      </w:r>
      <m:oMath>
        <m:sSub>
          <m:sSubPr>
            <m:ctrlPr>
              <w:rPr>
                <w:rFonts w:ascii="Cambria Math" w:hAnsi="Cambria Math"/>
                <w:lang w:eastAsia="zh-CN"/>
              </w:rPr>
            </m:ctrlPr>
          </m:sSubPr>
          <m:e>
            <m:r>
              <m:rPr>
                <m:sty m:val="p"/>
              </m:rPr>
              <w:rPr>
                <w:rFonts w:ascii="Cambria Math" w:hAnsi="Cambria Math"/>
                <w:lang w:eastAsia="zh-CN"/>
              </w:rPr>
              <m:t>e</m:t>
            </m:r>
            <m:ctrlPr>
              <w:rPr>
                <w:rFonts w:ascii="Cambria Math" w:hAnsi="Cambria Math"/>
                <w:lang w:eastAsia="zh-CN"/>
              </w:rPr>
            </m:ctrlPr>
          </m:e>
          <m:sub>
            <m:r>
              <m:rPr>
                <m:sty m:val="p"/>
              </m:rPr>
              <w:rPr>
                <w:rFonts w:ascii="Cambria Math" w:hAnsi="Cambria Math"/>
                <w:lang w:eastAsia="zh-CN"/>
              </w:rPr>
              <m:t>i</m:t>
            </m:r>
            <m:ctrlPr>
              <w:rPr>
                <w:rFonts w:ascii="Cambria Math" w:hAnsi="Cambria Math"/>
                <w:lang w:eastAsia="zh-CN"/>
              </w:rPr>
            </m:ctrlPr>
          </m:sub>
        </m:sSub>
        <m:r>
          <m:rPr>
            <m:sty m:val="p"/>
          </m:rPr>
          <w:rPr>
            <w:rFonts w:ascii="Cambria Math" w:hAnsi="Cambria Math"/>
            <w:lang w:eastAsia="zh-CN"/>
          </w:rPr>
          <m:t>∈E</m:t>
        </m:r>
      </m:oMath>
      <w:r>
        <w:rPr>
          <w:lang w:eastAsia="zh-CN"/>
        </w:rPr>
        <w:t xml:space="preserve"> is a typed relation. Depending on the question type, CE-RAG favors different chain patterns. Evidence questions prefer claim-evidence-result chains; result questions prefer experiment-result-claim chains; and limitation questions prefer claim-limitation or claim-missing-evidence chains.</w:t>
      </w:r>
    </w:p>
    <w:p w14:paraId="5D9FCBA0">
      <w:pPr>
        <w:spacing w:after="120" w:line="240" w:lineRule="auto"/>
        <w:rPr>
          <w:lang w:eastAsia="zh-CN"/>
        </w:rPr>
      </w:pPr>
      <w:r>
        <w:rPr>
          <w:lang w:eastAsia="zh-CN"/>
        </w:rPr>
        <w:t>For a given question q, CE-RAG first selects anchor nodes according to the question type. It then performs bounded-hop traversal from the anchors to generate candidate chains. Each candidate chain is scored as follows:</w:t>
      </w:r>
    </w:p>
    <w:p w14:paraId="7785D104">
      <w:pPr>
        <w:spacing w:after="120" w:line="240" w:lineRule="auto"/>
        <w:jc w:val="both"/>
        <w:rPr>
          <w:rFonts w:ascii="Times New Roman" w:hAnsi="Times New Roman"/>
          <w:i/>
        </w:rPr>
      </w:pPr>
      <m:oMath>
        <m:r>
          <m:rPr/>
          <w:rPr>
            <w:rFonts w:ascii="Cambria Math" w:hAnsi="Cambria Math"/>
            <w:lang w:eastAsia="zh-CN"/>
          </w:rPr>
          <m:t>Score</m:t>
        </m:r>
        <m:d>
          <m:dPr>
            <m:ctrlPr>
              <w:rPr>
                <w:rFonts w:ascii="Cambria Math" w:hAnsi="Cambria Math"/>
                <w:i/>
                <w:lang w:eastAsia="zh-CN"/>
              </w:rPr>
            </m:ctrlPr>
          </m:dPr>
          <m:e>
            <m:r>
              <m:rPr/>
              <w:rPr>
                <w:rFonts w:ascii="Cambria Math" w:hAnsi="Cambria Math"/>
                <w:lang w:eastAsia="zh-CN"/>
              </w:rPr>
              <m:t>c, q</m:t>
            </m:r>
            <m:ctrlPr>
              <w:rPr>
                <w:rFonts w:ascii="Cambria Math" w:hAnsi="Cambria Math"/>
                <w:i/>
                <w:lang w:eastAsia="zh-CN"/>
              </w:rPr>
            </m:ctrlPr>
          </m:e>
        </m:d>
        <m:r>
          <m:rPr/>
          <w:rPr>
            <w:rFonts w:ascii="Cambria Math" w:hAnsi="Cambria Math"/>
            <w:lang w:eastAsia="zh-CN"/>
          </w:rPr>
          <m:t>=αSim</m:t>
        </m:r>
        <m:d>
          <m:dPr>
            <m:ctrlPr>
              <w:rPr>
                <w:rFonts w:ascii="Cambria Math" w:hAnsi="Cambria Math"/>
                <w:i/>
                <w:lang w:eastAsia="zh-CN"/>
              </w:rPr>
            </m:ctrlPr>
          </m:dPr>
          <m:e>
            <m:r>
              <m:rPr/>
              <w:rPr>
                <w:rFonts w:ascii="Cambria Math" w:hAnsi="Cambria Math"/>
                <w:lang w:eastAsia="zh-CN"/>
              </w:rPr>
              <m:t>c, q</m:t>
            </m:r>
            <m:ctrlPr>
              <w:rPr>
                <w:rFonts w:ascii="Cambria Math" w:hAnsi="Cambria Math"/>
                <w:i/>
                <w:lang w:eastAsia="zh-CN"/>
              </w:rPr>
            </m:ctrlPr>
          </m:e>
        </m:d>
        <m:r>
          <m:rPr/>
          <w:rPr>
            <w:rFonts w:ascii="Cambria Math" w:hAnsi="Cambria Math"/>
            <w:lang w:eastAsia="zh-CN"/>
          </w:rPr>
          <m:t>+βTypeMatch</m:t>
        </m:r>
        <m:d>
          <m:dPr>
            <m:ctrlPr>
              <w:rPr>
                <w:rFonts w:ascii="Cambria Math" w:hAnsi="Cambria Math"/>
                <w:i/>
                <w:lang w:eastAsia="zh-CN"/>
              </w:rPr>
            </m:ctrlPr>
          </m:dPr>
          <m:e>
            <m:r>
              <m:rPr/>
              <w:rPr>
                <w:rFonts w:ascii="Cambria Math" w:hAnsi="Cambria Math"/>
                <w:lang w:eastAsia="zh-CN"/>
              </w:rPr>
              <m:t>c, q</m:t>
            </m:r>
            <m:ctrlPr>
              <w:rPr>
                <w:rFonts w:ascii="Cambria Math" w:hAnsi="Cambria Math"/>
                <w:i/>
                <w:lang w:eastAsia="zh-CN"/>
              </w:rPr>
            </m:ctrlPr>
          </m:e>
        </m:d>
        <m:r>
          <m:rPr/>
          <w:rPr>
            <w:rFonts w:ascii="Cambria Math" w:hAnsi="Cambria Math"/>
            <w:lang w:eastAsia="zh-CN"/>
          </w:rPr>
          <m:t>+γEdgeConf</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r>
          <m:rPr/>
          <w:rPr>
            <w:rFonts w:ascii="Cambria Math" w:hAnsi="Cambria Math"/>
            <w:lang w:eastAsia="zh-CN"/>
          </w:rPr>
          <m:t>+                                          δEviStrength</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r>
          <m:rPr/>
          <w:rPr>
            <w:rFonts w:ascii="Cambria Math" w:hAnsi="Cambria Math"/>
            <w:lang w:eastAsia="zh-CN"/>
          </w:rPr>
          <m:t>+ηComplete</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oMath>
      <w:r>
        <w:rPr>
          <w:rFonts w:hAnsi="Times New Roman"/>
          <w:i/>
        </w:rPr>
        <w:tab/>
      </w:r>
      <w:r>
        <w:rPr>
          <w:rFonts w:hAnsi="Times New Roman"/>
          <w:i/>
        </w:rPr>
        <w:tab/>
      </w:r>
      <w:r>
        <w:rPr>
          <w:rFonts w:hAnsi="Times New Roman"/>
          <w:i/>
        </w:rPr>
        <w:tab/>
      </w:r>
      <w:r>
        <w:rPr>
          <w:rFonts w:hAnsi="Times New Roman"/>
          <w:i/>
        </w:rPr>
        <w:tab/>
      </w:r>
      <w:r>
        <w:rPr>
          <w:rFonts w:hAnsi="Times New Roman"/>
          <w:i/>
        </w:rPr>
        <w:t xml:space="preserve">   </w:t>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5 \* GB2 \* MERGEFORMAT </w:instrText>
      </w:r>
      <w:r>
        <w:rPr>
          <w:rFonts w:ascii="Times New Roman" w:hAnsi="Times New Roman"/>
          <w:i/>
        </w:rPr>
        <w:fldChar w:fldCharType="separate"/>
      </w:r>
      <w:r>
        <w:rPr>
          <w:rFonts w:hint="eastAsia" w:eastAsia="宋体"/>
        </w:rPr>
        <w:t>⑸</w:t>
      </w:r>
      <w:r>
        <w:rPr>
          <w:rFonts w:ascii="Times New Roman" w:hAnsi="Times New Roman"/>
          <w:i/>
        </w:rPr>
        <w:fldChar w:fldCharType="end"/>
      </w:r>
    </w:p>
    <w:p w14:paraId="16BFB8DE">
      <w:pPr>
        <w:spacing w:after="120" w:line="240" w:lineRule="auto"/>
        <w:rPr>
          <w:rFonts w:hAnsi="Times New Roman"/>
        </w:rPr>
      </w:pPr>
      <w:r>
        <w:rPr>
          <w:lang w:eastAsia="zh-CN"/>
        </w:rPr>
        <w:t xml:space="preserve">Here, </w:t>
      </w:r>
      <m:oMath>
        <m:r>
          <m:rPr>
            <m:sty m:val="p"/>
          </m:rPr>
          <w:rPr>
            <w:rFonts w:ascii="Cambria Math" w:hAnsi="Cambria Math"/>
            <w:lang w:eastAsia="zh-CN"/>
          </w:rPr>
          <m:t>Sim</m:t>
        </m:r>
        <m:d>
          <m:dPr>
            <m:ctrlPr>
              <w:rPr>
                <w:rFonts w:ascii="Cambria Math" w:hAnsi="Cambria Math"/>
                <w:lang w:eastAsia="zh-CN"/>
              </w:rPr>
            </m:ctrlPr>
          </m:dPr>
          <m:e>
            <m:r>
              <m:rPr>
                <m:sty m:val="p"/>
              </m:rPr>
              <w:rPr>
                <w:rFonts w:ascii="Cambria Math" w:hAnsi="Cambria Math"/>
                <w:lang w:eastAsia="zh-CN"/>
              </w:rPr>
              <m:t>c, q</m:t>
            </m:r>
            <m:ctrlPr>
              <w:rPr>
                <w:rFonts w:ascii="Cambria Math" w:hAnsi="Cambria Math"/>
                <w:lang w:eastAsia="zh-CN"/>
              </w:rPr>
            </m:ctrlPr>
          </m:e>
        </m:d>
      </m:oMath>
      <w:r>
        <w:rPr>
          <w:lang w:eastAsia="zh-CN"/>
        </w:rPr>
        <w:t xml:space="preserve"> measures lexical or semantic relevance between the chain and the question; </w:t>
      </w:r>
      <m:oMath>
        <m:r>
          <m:rPr>
            <m:sty m:val="p"/>
          </m:rPr>
          <w:rPr>
            <w:rFonts w:ascii="Cambria Math" w:hAnsi="Cambria Math"/>
            <w:lang w:eastAsia="zh-CN"/>
          </w:rPr>
          <m:t>TypeMatch</m:t>
        </m:r>
        <m:d>
          <m:dPr>
            <m:ctrlPr>
              <w:rPr>
                <w:rFonts w:ascii="Cambria Math" w:hAnsi="Cambria Math"/>
                <w:lang w:eastAsia="zh-CN"/>
              </w:rPr>
            </m:ctrlPr>
          </m:dPr>
          <m:e>
            <m:r>
              <m:rPr>
                <m:sty m:val="p"/>
              </m:rPr>
              <w:rPr>
                <w:rFonts w:ascii="Cambria Math" w:hAnsi="Cambria Math"/>
                <w:lang w:eastAsia="zh-CN"/>
              </w:rPr>
              <m:t>c, q</m:t>
            </m:r>
            <m:ctrlPr>
              <w:rPr>
                <w:rFonts w:ascii="Cambria Math" w:hAnsi="Cambria Math"/>
                <w:lang w:eastAsia="zh-CN"/>
              </w:rPr>
            </m:ctrlPr>
          </m:e>
        </m:d>
      </m:oMath>
      <w:r>
        <w:rPr>
          <w:lang w:eastAsia="zh-CN"/>
        </w:rPr>
        <w:t xml:space="preserve"> measures whether the node types match the question intent; </w:t>
      </w:r>
      <m:oMath>
        <m:r>
          <m:rPr/>
          <w:rPr>
            <w:rFonts w:ascii="Cambria Math" w:hAnsi="Cambria Math"/>
            <w:lang w:eastAsia="zh-CN"/>
          </w:rPr>
          <m:t>EdgeConf</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oMath>
      <w:r>
        <w:rPr>
          <w:rFonts w:hAnsi="Times New Roman"/>
        </w:rPr>
        <w:t xml:space="preserve"> </w:t>
      </w:r>
      <w:r>
        <w:rPr>
          <w:lang w:eastAsia="zh-CN"/>
        </w:rPr>
        <w:t xml:space="preserve">reflects the reliability of graph relations; </w:t>
      </w:r>
      <m:oMath>
        <m:r>
          <m:rPr/>
          <w:rPr>
            <w:rFonts w:ascii="Cambria Math" w:hAnsi="Cambria Math"/>
            <w:lang w:eastAsia="zh-CN"/>
          </w:rPr>
          <m:t>EviStrength</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oMath>
      <w:r>
        <w:rPr>
          <w:rFonts w:hAnsi="Times New Roman"/>
        </w:rPr>
        <w:t xml:space="preserve"> </w:t>
      </w:r>
      <w:r>
        <w:rPr>
          <w:lang w:eastAsia="zh-CN"/>
        </w:rPr>
        <w:t xml:space="preserve">measures whether the chain contains strong evidence, such as experimental results or quantitative values; and </w:t>
      </w:r>
      <m:oMath>
        <m:r>
          <m:rPr/>
          <w:rPr>
            <w:rFonts w:ascii="Cambria Math" w:hAnsi="Cambria Math"/>
            <w:lang w:eastAsia="zh-CN"/>
          </w:rPr>
          <m:t>Complete</m:t>
        </m:r>
        <m:d>
          <m:dPr>
            <m:ctrlPr>
              <w:rPr>
                <w:rFonts w:ascii="Cambria Math" w:hAnsi="Cambria Math"/>
                <w:i/>
                <w:lang w:eastAsia="zh-CN"/>
              </w:rPr>
            </m:ctrlPr>
          </m:dPr>
          <m:e>
            <m:r>
              <m:rPr/>
              <w:rPr>
                <w:rFonts w:ascii="Cambria Math" w:hAnsi="Cambria Math"/>
                <w:lang w:eastAsia="zh-CN"/>
              </w:rPr>
              <m:t>c</m:t>
            </m:r>
            <m:ctrlPr>
              <w:rPr>
                <w:rFonts w:ascii="Cambria Math" w:hAnsi="Cambria Math"/>
                <w:i/>
                <w:lang w:eastAsia="zh-CN"/>
              </w:rPr>
            </m:ctrlPr>
          </m:e>
        </m:d>
      </m:oMath>
      <w:r>
        <w:rPr>
          <w:rFonts w:hAnsi="Times New Roman"/>
        </w:rPr>
        <w:t xml:space="preserve"> measures whether the chain contains the expected components for the question type.</w:t>
      </w:r>
    </w:p>
    <w:p w14:paraId="6CC8BE94">
      <w:pPr>
        <w:spacing w:after="120" w:line="240" w:lineRule="auto"/>
        <w:rPr>
          <w:rFonts w:hAnsi="Times New Roman"/>
        </w:rPr>
      </w:pPr>
      <w:r>
        <w:rPr>
          <w:rFonts w:hAnsi="Times New Roman"/>
        </w:rPr>
        <w:t>The top-ranked reasoning chains are then combined with relevant source chunks and scholarly objects to form an evidence bundle:</w:t>
      </w:r>
    </w:p>
    <w:p w14:paraId="16E40976">
      <w:pPr>
        <w:spacing w:after="120" w:line="240" w:lineRule="auto"/>
        <w:jc w:val="both"/>
        <w:rPr>
          <w:rFonts w:ascii="Times New Roman" w:hAnsi="Times New Roman"/>
          <w:i/>
        </w:rPr>
      </w:pP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q</m:t>
            </m:r>
            <m:ctrlPr>
              <w:rPr>
                <w:rFonts w:ascii="Cambria Math" w:hAnsi="Cambria Math"/>
                <w:i/>
              </w:rPr>
            </m:ctrlPr>
          </m:sub>
        </m:sSub>
        <m:r>
          <m:rPr/>
          <w:rPr>
            <w:rFonts w:ascii="Cambria Math" w:hAnsi="Cambria Math"/>
          </w:rPr>
          <m:t>=</m:t>
        </m:r>
        <m:d>
          <m:dPr>
            <m:begChr m:val="{"/>
            <m:endChr m:val="}"/>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C</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K</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E</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R</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S</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D</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oMath>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hAnsi="Times New Roman"/>
          <w:i/>
        </w:rPr>
        <w:tab/>
      </w:r>
      <w:r>
        <w:rPr>
          <w:rFonts w:ascii="Times New Roman" w:hAnsi="Times New Roman"/>
          <w:i/>
        </w:rPr>
        <w:fldChar w:fldCharType="begin"/>
      </w:r>
      <w:r>
        <w:rPr>
          <w:rFonts w:ascii="Times New Roman" w:hAnsi="Times New Roman"/>
          <w:i/>
        </w:rPr>
        <w:instrText xml:space="preserve"> = 6 \* GB2 \* MERGEFORMAT </w:instrText>
      </w:r>
      <w:r>
        <w:rPr>
          <w:rFonts w:ascii="Times New Roman" w:hAnsi="Times New Roman"/>
          <w:i/>
        </w:rPr>
        <w:fldChar w:fldCharType="separate"/>
      </w:r>
      <w:r>
        <w:rPr>
          <w:rFonts w:hint="eastAsia" w:eastAsia="宋体"/>
        </w:rPr>
        <w:t>⑹</w:t>
      </w:r>
      <w:r>
        <w:rPr>
          <w:rFonts w:ascii="Times New Roman" w:hAnsi="Times New Roman"/>
          <w:i/>
        </w:rPr>
        <w:fldChar w:fldCharType="end"/>
      </w:r>
    </w:p>
    <w:p w14:paraId="356F587B">
      <w:pPr>
        <w:ind w:firstLine="0"/>
        <w:rPr>
          <w:lang w:eastAsia="zh-CN"/>
        </w:rPr>
      </w:pPr>
      <w:r>
        <w:rPr>
          <w:lang w:eastAsia="zh-CN"/>
        </w:rPr>
        <w:t xml:space="preserve">where </w:t>
      </w:r>
      <m:oMath>
        <m:sSub>
          <m:sSubPr>
            <m:ctrlPr>
              <w:rPr>
                <w:rFonts w:ascii="Cambria Math" w:hAnsi="Cambria Math"/>
                <w:lang w:eastAsia="zh-CN"/>
              </w:rPr>
            </m:ctrlPr>
          </m:sSubPr>
          <m:e>
            <m:r>
              <m:rPr>
                <m:sty m:val="p"/>
              </m:rPr>
              <w:rPr>
                <w:rFonts w:ascii="Cambria Math" w:hAnsi="Cambria Math"/>
                <w:lang w:eastAsia="zh-CN"/>
              </w:rPr>
              <m:t>C</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reasoning chains, </w:t>
      </w:r>
      <m:oMath>
        <m:r>
          <m:rPr>
            <m:sty m:val="p"/>
          </m:rPr>
          <w:rPr>
            <w:rFonts w:ascii="Cambria Math" w:hAnsi="Cambria Math"/>
            <w:lang w:eastAsia="zh-CN"/>
          </w:rPr>
          <m:t xml:space="preserve"> </m:t>
        </m:r>
        <m:sSub>
          <m:sSubPr>
            <m:ctrlPr>
              <w:rPr>
                <w:rFonts w:ascii="Cambria Math" w:hAnsi="Cambria Math"/>
                <w:lang w:eastAsia="zh-CN"/>
              </w:rPr>
            </m:ctrlPr>
          </m:sSubPr>
          <m:e>
            <m:r>
              <m:rPr>
                <m:sty m:val="p"/>
              </m:rPr>
              <w:rPr>
                <w:rFonts w:ascii="Cambria Math" w:hAnsi="Cambria Math"/>
                <w:lang w:eastAsia="zh-CN"/>
              </w:rPr>
              <m:t>K</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target claims, </w:t>
      </w:r>
      <m:oMath>
        <m:sSub>
          <m:sSubPr>
            <m:ctrlPr>
              <w:rPr>
                <w:rFonts w:ascii="Cambria Math" w:hAnsi="Cambria Math"/>
                <w:lang w:eastAsia="zh-CN"/>
              </w:rPr>
            </m:ctrlPr>
          </m:sSubPr>
          <m:e>
            <m:r>
              <m:rPr>
                <m:sty m:val="p"/>
              </m:rPr>
              <w:rPr>
                <w:rFonts w:ascii="Cambria Math" w:hAnsi="Cambria Math"/>
                <w:lang w:eastAsia="zh-CN"/>
              </w:rPr>
              <m:t>E</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evidence nodes, </w:t>
      </w:r>
      <m:oMath>
        <m:sSub>
          <m:sSubPr>
            <m:ctrlPr>
              <w:rPr>
                <w:rFonts w:ascii="Cambria Math" w:hAnsi="Cambria Math"/>
                <w:lang w:eastAsia="zh-CN"/>
              </w:rPr>
            </m:ctrlPr>
          </m:sSubPr>
          <m:e>
            <m:r>
              <m:rPr>
                <m:sty m:val="p"/>
              </m:rPr>
              <w:rPr>
                <w:rFonts w:ascii="Cambria Math" w:hAnsi="Cambria Math"/>
                <w:lang w:eastAsia="zh-CN"/>
              </w:rPr>
              <m:t>R</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result nodes, </w:t>
      </w:r>
      <m:oMath>
        <m:sSub>
          <m:sSubPr>
            <m:ctrlPr>
              <w:rPr>
                <w:rFonts w:ascii="Cambria Math" w:hAnsi="Cambria Math"/>
                <w:lang w:eastAsia="zh-CN"/>
              </w:rPr>
            </m:ctrlPr>
          </m:sSubPr>
          <m:e>
            <m:r>
              <m:rPr>
                <m:sty m:val="p"/>
              </m:rPr>
              <w:rPr>
                <w:rFonts w:ascii="Cambria Math" w:hAnsi="Cambria Math"/>
                <w:lang w:eastAsia="zh-CN"/>
              </w:rPr>
              <m:t>S</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relevant sections, and </w:t>
      </w:r>
      <m:oMath>
        <m:sSub>
          <m:sSubPr>
            <m:ctrlPr>
              <w:rPr>
                <w:rFonts w:ascii="Cambria Math" w:hAnsi="Cambria Math"/>
                <w:lang w:eastAsia="zh-CN"/>
              </w:rPr>
            </m:ctrlPr>
          </m:sSubPr>
          <m:e>
            <m:r>
              <m:rPr>
                <m:sty m:val="p"/>
              </m:rPr>
              <w:rPr>
                <w:rFonts w:ascii="Cambria Math" w:hAnsi="Cambria Math"/>
                <w:lang w:eastAsia="zh-CN"/>
              </w:rPr>
              <m:t>D</m:t>
            </m:r>
            <m:ctrlPr>
              <w:rPr>
                <w:rFonts w:ascii="Cambria Math" w:hAnsi="Cambria Math"/>
                <w:lang w:eastAsia="zh-CN"/>
              </w:rPr>
            </m:ctrlPr>
          </m:e>
          <m:sub>
            <m:r>
              <m:rPr>
                <m:sty m:val="p"/>
              </m:rPr>
              <w:rPr>
                <w:rFonts w:ascii="Cambria Math" w:hAnsi="Cambria Math"/>
                <w:lang w:eastAsia="zh-CN"/>
              </w:rPr>
              <m:t>q</m:t>
            </m:r>
            <m:ctrlPr>
              <w:rPr>
                <w:rFonts w:ascii="Cambria Math" w:hAnsi="Cambria Math"/>
                <w:lang w:eastAsia="zh-CN"/>
              </w:rPr>
            </m:ctrlPr>
          </m:sub>
        </m:sSub>
      </m:oMath>
      <w:r>
        <w:rPr>
          <w:lang w:eastAsia="zh-CN"/>
        </w:rPr>
        <w:t xml:space="preserve"> denotes source text chunks. This evidence bundle provides structured context for answer generation and allows the system to expose interpretable evidence paths to users.</w:t>
      </w:r>
    </w:p>
    <w:p w14:paraId="01DB7298">
      <w:pPr>
        <w:pStyle w:val="26"/>
        <w:spacing w:before="180" w:after="80" w:line="240" w:lineRule="auto"/>
        <w:rPr>
          <w:sz w:val="22"/>
        </w:rPr>
      </w:pPr>
      <w:r>
        <w:rPr>
          <w:sz w:val="22"/>
        </w:rPr>
        <w:t>Evidence-Sufficient Answer Generation and Verification</w:t>
      </w:r>
    </w:p>
    <w:p w14:paraId="6A2A3187">
      <w:pPr>
        <w:pStyle w:val="3"/>
        <w:spacing w:after="120" w:line="240" w:lineRule="auto"/>
        <w:ind w:firstLine="0"/>
        <w:rPr>
          <w:rFonts w:hAnsi="Times New Roman"/>
        </w:rPr>
      </w:pPr>
      <w:r>
        <w:t xml:space="preserve">Retrieving relevant evidence does not necessarily mean that the evidence is sufficient. A paper may provide only partial evidence for a claim, or it may not support an over-generalized question. To address this issue, CE-RAG estimates evidence sufficiency before answer generation. Given an evidence bundle </w:t>
      </w:r>
      <m:oMath>
        <m:sSub>
          <m:sSubPr>
            <m:ctrlPr>
              <w:rPr>
                <w:rFonts w:ascii="Cambria Math" w:hAnsi="Cambria Math"/>
                <w:i/>
              </w:rPr>
            </m:ctrlPr>
          </m:sSubPr>
          <m:e>
            <m:r>
              <m:rPr/>
              <w:rPr>
                <w:rFonts w:ascii="Cambria Math" w:hAnsi="Cambria Math" w:eastAsia="宋体"/>
                <w:lang w:eastAsia="zh-CN"/>
              </w:rPr>
              <m:t>B</m:t>
            </m:r>
            <m:ctrlPr>
              <w:rPr>
                <w:rFonts w:ascii="Cambria Math" w:hAnsi="Cambria Math"/>
                <w:i/>
              </w:rPr>
            </m:ctrlPr>
          </m:e>
          <m:sub>
            <m:r>
              <m:rPr/>
              <w:rPr>
                <w:rFonts w:ascii="Cambria Math" w:hAnsi="Cambria Math" w:eastAsia="宋体"/>
                <w:lang w:eastAsia="zh-CN"/>
              </w:rPr>
              <m:t>q</m:t>
            </m:r>
            <m:ctrlPr>
              <w:rPr>
                <w:rFonts w:ascii="Cambria Math" w:hAnsi="Cambria Math"/>
                <w:i/>
              </w:rPr>
            </m:ctrlPr>
          </m:sub>
        </m:sSub>
      </m:oMath>
      <w:r>
        <w:t>,</w:t>
      </w:r>
      <w:r>
        <w:rPr>
          <w:rFonts w:hAnsi="Times New Roman"/>
        </w:rPr>
        <w:t xml:space="preserve"> CE-RAG computes a sufficiency score:</w:t>
      </w:r>
    </w:p>
    <w:p w14:paraId="4135D6FF">
      <w:pPr>
        <w:spacing w:after="120" w:line="240" w:lineRule="auto"/>
        <w:jc w:val="both"/>
        <w:rPr>
          <w:rFonts w:hAnsi="Times New Roman"/>
        </w:rPr>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Sub>
        <m:r>
          <m:rPr/>
          <w:rPr>
            <w:rFonts w:ascii="Cambria Math" w:hAnsi="Cambria Math"/>
          </w:rPr>
          <m:t>=</m:t>
        </m:r>
        <m:sSub>
          <m:sSubPr>
            <m:ctrlPr>
              <w:rPr>
                <w:rFonts w:ascii="Cambria Math" w:hAnsi="Cambria Math" w:eastAsia="宋体"/>
                <w:i/>
                <w:lang w:eastAsia="zh-CN"/>
              </w:rPr>
            </m:ctrlPr>
          </m:sSubPr>
          <m:e>
            <m:r>
              <m:rPr/>
              <w:rPr>
                <w:rFonts w:ascii="Cambria Math" w:hAnsi="Cambria Math"/>
              </w:rPr>
              <m:t>λ</m:t>
            </m:r>
            <m:ctrlPr>
              <w:rPr>
                <w:rFonts w:ascii="Cambria Math" w:hAnsi="Cambria Math" w:eastAsia="宋体"/>
                <w:i/>
                <w:lang w:eastAsia="zh-CN"/>
              </w:rPr>
            </m:ctrlPr>
          </m:e>
          <m:sub>
            <m:r>
              <m:rPr/>
              <w:rPr>
                <w:rFonts w:ascii="Cambria Math" w:hAnsi="Cambria Math"/>
              </w:rPr>
              <m:t>1</m:t>
            </m:r>
            <m:ctrlPr>
              <w:rPr>
                <w:rFonts w:ascii="Cambria Math" w:hAnsi="Cambria Math" w:eastAsia="宋体"/>
                <w:i/>
                <w:lang w:eastAsia="zh-CN"/>
              </w:rPr>
            </m:ctrlPr>
          </m:sub>
        </m:sSub>
        <m:r>
          <m:rPr/>
          <w:rPr>
            <w:rFonts w:ascii="Cambria Math" w:hAnsi="Cambria Math"/>
          </w:rPr>
          <m:t>Coverage</m:t>
        </m:r>
        <m:d>
          <m:dPr>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r>
          <m:rPr/>
          <w:rPr>
            <w:rFonts w:ascii="Cambria Math" w:hAnsi="Cambria Math"/>
          </w:rPr>
          <m:t>+</m:t>
        </m:r>
        <m:sSub>
          <m:sSubPr>
            <m:ctrlPr>
              <w:rPr>
                <w:rFonts w:ascii="Cambria Math" w:hAnsi="Cambria Math" w:eastAsia="宋体"/>
                <w:i/>
                <w:lang w:eastAsia="zh-CN"/>
              </w:rPr>
            </m:ctrlPr>
          </m:sSubPr>
          <m:e>
            <m:r>
              <m:rPr/>
              <w:rPr>
                <w:rFonts w:ascii="Cambria Math" w:hAnsi="Cambria Math"/>
              </w:rPr>
              <m:t>λ</m:t>
            </m:r>
            <m:ctrlPr>
              <w:rPr>
                <w:rFonts w:ascii="Cambria Math" w:hAnsi="Cambria Math" w:eastAsia="宋体"/>
                <w:i/>
                <w:lang w:eastAsia="zh-CN"/>
              </w:rPr>
            </m:ctrlPr>
          </m:e>
          <m:sub>
            <m:r>
              <m:rPr/>
              <w:rPr>
                <w:rFonts w:ascii="Cambria Math" w:hAnsi="Cambria Math"/>
              </w:rPr>
              <m:t>2</m:t>
            </m:r>
            <m:ctrlPr>
              <w:rPr>
                <w:rFonts w:ascii="Cambria Math" w:hAnsi="Cambria Math" w:eastAsia="宋体"/>
                <w:i/>
                <w:lang w:eastAsia="zh-CN"/>
              </w:rPr>
            </m:ctrlPr>
          </m:sub>
        </m:sSub>
        <m:r>
          <m:rPr/>
          <w:rPr>
            <w:rFonts w:ascii="Cambria Math" w:hAnsi="Cambria Math"/>
          </w:rPr>
          <m:t>Support</m:t>
        </m:r>
        <m:d>
          <m:dPr>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r>
          <m:rPr/>
          <w:rPr>
            <w:rFonts w:ascii="Cambria Math" w:hAnsi="Cambria Math"/>
          </w:rPr>
          <m:t>+</m:t>
        </m:r>
        <m:sSub>
          <m:sSubPr>
            <m:ctrlPr>
              <w:rPr>
                <w:rFonts w:ascii="Cambria Math" w:hAnsi="Cambria Math" w:eastAsia="宋体"/>
                <w:i/>
                <w:lang w:eastAsia="zh-CN"/>
              </w:rPr>
            </m:ctrlPr>
          </m:sSubPr>
          <m:e>
            <m:r>
              <m:rPr/>
              <w:rPr>
                <w:rFonts w:ascii="Cambria Math" w:hAnsi="Cambria Math"/>
              </w:rPr>
              <m:t>λ</m:t>
            </m:r>
            <m:ctrlPr>
              <w:rPr>
                <w:rFonts w:ascii="Cambria Math" w:hAnsi="Cambria Math" w:eastAsia="宋体"/>
                <w:i/>
                <w:lang w:eastAsia="zh-CN"/>
              </w:rPr>
            </m:ctrlPr>
          </m:e>
          <m:sub>
            <m:r>
              <m:rPr/>
              <w:rPr>
                <w:rFonts w:ascii="Cambria Math" w:hAnsi="Cambria Math"/>
              </w:rPr>
              <m:t>3</m:t>
            </m:r>
            <m:ctrlPr>
              <w:rPr>
                <w:rFonts w:ascii="Cambria Math" w:hAnsi="Cambria Math" w:eastAsia="宋体"/>
                <w:i/>
                <w:lang w:eastAsia="zh-CN"/>
              </w:rPr>
            </m:ctrlPr>
          </m:sub>
        </m:sSub>
        <m:r>
          <m:rPr/>
          <w:rPr>
            <w:rFonts w:ascii="Cambria Math" w:hAnsi="Cambria Math"/>
          </w:rPr>
          <m:t>Consistency</m:t>
        </m:r>
        <m:d>
          <m:dPr>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r>
          <m:rPr/>
          <w:rPr>
            <w:rFonts w:ascii="Cambria Math" w:hAnsi="Cambria Math"/>
          </w:rPr>
          <m:t xml:space="preserve">+                           </m:t>
        </m:r>
        <m:sSub>
          <m:sSubPr>
            <m:ctrlPr>
              <w:rPr>
                <w:rFonts w:ascii="Cambria Math" w:hAnsi="Cambria Math" w:eastAsia="宋体"/>
                <w:i/>
                <w:lang w:eastAsia="zh-CN"/>
              </w:rPr>
            </m:ctrlPr>
          </m:sSubPr>
          <m:e>
            <m:r>
              <m:rPr/>
              <w:rPr>
                <w:rFonts w:ascii="Cambria Math" w:hAnsi="Cambria Math"/>
              </w:rPr>
              <m:t>λ</m:t>
            </m:r>
            <m:ctrlPr>
              <w:rPr>
                <w:rFonts w:ascii="Cambria Math" w:hAnsi="Cambria Math" w:eastAsia="宋体"/>
                <w:i/>
                <w:lang w:eastAsia="zh-CN"/>
              </w:rPr>
            </m:ctrlPr>
          </m:e>
          <m:sub>
            <m:r>
              <m:rPr/>
              <w:rPr>
                <w:rFonts w:ascii="Cambria Math" w:hAnsi="Cambria Math"/>
              </w:rPr>
              <m:t>4</m:t>
            </m:r>
            <m:ctrlPr>
              <w:rPr>
                <w:rFonts w:ascii="Cambria Math" w:hAnsi="Cambria Math" w:eastAsia="宋体"/>
                <w:i/>
                <w:lang w:eastAsia="zh-CN"/>
              </w:rPr>
            </m:ctrlPr>
          </m:sub>
        </m:sSub>
        <m:r>
          <m:rPr/>
          <w:rPr>
            <w:rFonts w:ascii="Cambria Math" w:hAnsi="Cambria Math"/>
          </w:rPr>
          <m:t>RouteMatch</m:t>
        </m:r>
        <m:d>
          <m:dPr>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r>
          <m:rPr/>
          <w:rPr>
            <w:rFonts w:ascii="Cambria Math" w:hAnsi="Cambria Math"/>
          </w:rPr>
          <m:t>−</m:t>
        </m:r>
        <m:sSub>
          <m:sSubPr>
            <m:ctrlPr>
              <w:rPr>
                <w:rFonts w:ascii="Cambria Math" w:hAnsi="Cambria Math" w:eastAsia="宋体"/>
                <w:i/>
                <w:lang w:eastAsia="zh-CN"/>
              </w:rPr>
            </m:ctrlPr>
          </m:sSubPr>
          <m:e>
            <m:r>
              <m:rPr/>
              <w:rPr>
                <w:rFonts w:ascii="Cambria Math" w:hAnsi="Cambria Math"/>
              </w:rPr>
              <m:t>λ</m:t>
            </m:r>
            <m:ctrlPr>
              <w:rPr>
                <w:rFonts w:ascii="Cambria Math" w:hAnsi="Cambria Math" w:eastAsia="宋体"/>
                <w:i/>
                <w:lang w:eastAsia="zh-CN"/>
              </w:rPr>
            </m:ctrlPr>
          </m:e>
          <m:sub>
            <m:r>
              <m:rPr/>
              <w:rPr>
                <w:rFonts w:ascii="Cambria Math" w:hAnsi="Cambria Math"/>
              </w:rPr>
              <m:t>5</m:t>
            </m:r>
            <m:ctrlPr>
              <w:rPr>
                <w:rFonts w:ascii="Cambria Math" w:hAnsi="Cambria Math" w:eastAsia="宋体"/>
                <w:i/>
                <w:lang w:eastAsia="zh-CN"/>
              </w:rPr>
            </m:ctrlPr>
          </m:sub>
        </m:sSub>
        <m:r>
          <m:rPr/>
          <w:rPr>
            <w:rFonts w:ascii="Cambria Math" w:hAnsi="Cambria Math"/>
          </w:rPr>
          <m:t>MissingPenalty</m:t>
        </m:r>
        <m:d>
          <m:dPr>
            <m:ctrlPr>
              <w:rPr>
                <w:rFonts w:ascii="Cambria Math" w:hAnsi="Cambria Math" w:eastAsia="宋体"/>
                <w:i/>
                <w:lang w:eastAsia="zh-CN"/>
              </w:rPr>
            </m:ctrlPr>
          </m:dPr>
          <m:e>
            <m:sSub>
              <m:sSubPr>
                <m:ctrlPr>
                  <w:rPr>
                    <w:rFonts w:ascii="Cambria Math" w:hAnsi="Cambria Math" w:eastAsia="宋体"/>
                    <w:i/>
                    <w:lang w:eastAsia="zh-CN"/>
                  </w:rPr>
                </m:ctrlPr>
              </m:sSubPr>
              <m:e>
                <m:r>
                  <m:rPr/>
                  <w:rPr>
                    <w:rFonts w:ascii="Cambria Math" w:hAnsi="Cambria Math"/>
                  </w:rPr>
                  <m:t>B</m:t>
                </m:r>
                <m:ctrlPr>
                  <w:rPr>
                    <w:rFonts w:ascii="Cambria Math" w:hAnsi="Cambria Math" w:eastAsia="宋体"/>
                    <w:i/>
                    <w:lang w:eastAsia="zh-CN"/>
                  </w:rPr>
                </m:ctrlPr>
              </m:e>
              <m:sub>
                <m:r>
                  <m:rPr/>
                  <w:rPr>
                    <w:rFonts w:ascii="Cambria Math" w:hAnsi="Cambria Math"/>
                  </w:rPr>
                  <m:t>q</m:t>
                </m:r>
                <m:ctrlPr>
                  <w:rPr>
                    <w:rFonts w:ascii="Cambria Math" w:hAnsi="Cambria Math" w:eastAsia="宋体"/>
                    <w:i/>
                    <w:lang w:eastAsia="zh-CN"/>
                  </w:rPr>
                </m:ctrlPr>
              </m:sub>
            </m:sSub>
            <m:ctrlPr>
              <w:rPr>
                <w:rFonts w:ascii="Cambria Math" w:hAnsi="Cambria Math" w:eastAsia="宋体"/>
                <w:i/>
                <w:lang w:eastAsia="zh-CN"/>
              </w:rPr>
            </m:ctrlPr>
          </m:e>
        </m:d>
      </m:oMath>
      <w:r>
        <w:rPr>
          <w:rFonts w:hAnsi="Times New Roman"/>
        </w:rPr>
        <w:t xml:space="preserve"> </w:t>
      </w:r>
      <w:r>
        <w:rPr>
          <w:rFonts w:hAnsi="Times New Roman"/>
        </w:rPr>
        <w:tab/>
      </w:r>
      <w:r>
        <w:rPr>
          <w:rFonts w:hAnsi="Times New Roman"/>
        </w:rPr>
        <w:tab/>
      </w:r>
      <w:r>
        <w:rPr>
          <w:rFonts w:hAnsi="Times New Roman"/>
        </w:rPr>
        <w:tab/>
      </w:r>
      <w:r>
        <w:rPr>
          <w:rFonts w:hAnsi="Times New Roman"/>
        </w:rPr>
        <w:tab/>
      </w:r>
      <w:r>
        <w:rPr>
          <w:rFonts w:hAnsi="Times New Roman"/>
        </w:rPr>
        <w:tab/>
      </w:r>
      <w:r>
        <w:rPr>
          <w:rFonts w:hAnsi="Times New Roman"/>
        </w:rPr>
        <w:tab/>
      </w:r>
      <w:r>
        <w:rPr>
          <w:rFonts w:hAnsi="Times New Roman"/>
        </w:rPr>
        <w:t xml:space="preserve">  </w:t>
      </w:r>
      <w:r>
        <w:rPr>
          <w:rFonts w:hAnsi="Times New Roman"/>
        </w:rPr>
        <w:tab/>
      </w:r>
      <w:r>
        <w:rPr>
          <w:rFonts w:hAnsi="Times New Roman"/>
        </w:rPr>
        <w:fldChar w:fldCharType="begin"/>
      </w:r>
      <w:r>
        <w:rPr>
          <w:rFonts w:hAnsi="Times New Roman"/>
        </w:rPr>
        <w:instrText xml:space="preserve"> = 7 \* GB2 \* MERGEFORMAT </w:instrText>
      </w:r>
      <w:r>
        <w:rPr>
          <w:rFonts w:hAnsi="Times New Roman"/>
        </w:rPr>
        <w:fldChar w:fldCharType="separate"/>
      </w:r>
      <w:r>
        <w:rPr>
          <w:rFonts w:hint="eastAsia" w:eastAsia="宋体"/>
        </w:rPr>
        <w:t>⑺</w:t>
      </w:r>
      <w:r>
        <w:rPr>
          <w:rFonts w:hAnsi="Times New Roman"/>
        </w:rPr>
        <w:fldChar w:fldCharType="end"/>
      </w:r>
    </w:p>
    <w:p w14:paraId="309A7D17">
      <w:pPr>
        <w:spacing w:after="120" w:line="240" w:lineRule="auto"/>
        <w:rPr>
          <w:rFonts w:hAnsi="Times New Roman"/>
        </w:rPr>
      </w:pPr>
      <w:r>
        <w:rPr>
          <w:lang w:eastAsia="zh-CN"/>
        </w:rPr>
        <w:t xml:space="preserve">The coverage term measures whether relevant chunks, sections, claims, evidence, and results are retrieved. The support term measures whether the bundle contains direct supporting objects. The consistency term measures the quality and completeness of retrieved reasoning chains. The route-matching term measures whether the retrieved evidence matches the question type. The missing penalty accounts for absent information, such as missing direct evidence or missing result nodes. The sufficiency score is mapped to three labels: </w:t>
      </w:r>
      <w:r>
        <w:rPr>
          <w:i w:val="0"/>
        </w:rPr>
        <w:t>Sufficient, Partial,</w:t>
      </w:r>
      <w:r>
        <w:rPr>
          <w:lang w:eastAsia="zh-CN"/>
        </w:rPr>
        <w:t xml:space="preserve"> and</w:t>
      </w:r>
      <w:r>
        <w:rPr>
          <w:i w:val="0"/>
        </w:rPr>
        <w:t xml:space="preserve"> Insufficient.</w:t>
      </w:r>
    </w:p>
    <w:p w14:paraId="70D3EA17">
      <w:pPr>
        <w:spacing w:after="120" w:line="240" w:lineRule="auto"/>
        <w:rPr>
          <w:lang w:eastAsia="zh-CN"/>
        </w:rPr>
      </w:pPr>
      <w:r>
        <w:rPr>
          <w:lang w:eastAsia="zh-CN"/>
        </w:rPr>
        <w:t>If the evidence is insufficient, CE-RAG encourages conservative generation rather than forcing a confident answer. This is particularly important for unanswerable questions and over-generalized claims.</w:t>
      </w:r>
    </w:p>
    <w:p w14:paraId="06CF746B">
      <w:pPr>
        <w:spacing w:after="120" w:line="240" w:lineRule="auto"/>
        <w:rPr>
          <w:lang w:eastAsia="zh-CN"/>
        </w:rPr>
      </w:pPr>
      <w:r>
        <w:rPr>
          <w:lang w:eastAsia="zh-CN"/>
        </w:rPr>
        <w:t>The final answer is generated by an LLM conditioned on the question, evidence bundle, reasoning chains, and sufficiency report. The prompt instructs the model to answer strictly according to the provided evidence and to avoid unsupported claims.</w:t>
      </w:r>
    </w:p>
    <w:p w14:paraId="3DFE6155">
      <w:pPr>
        <w:spacing w:after="120" w:line="240" w:lineRule="auto"/>
        <w:rPr>
          <w:lang w:eastAsia="zh-CN"/>
        </w:rPr>
      </w:pPr>
      <w:r>
        <w:rPr>
          <w:lang w:eastAsia="zh-CN"/>
        </w:rPr>
        <w:t>After generation, CE-RAG verifies answer-evidence consistency. The verifier compares answer units with the retrieved evidence, reasoning chains, and sufficiency report, and produces a confidence score, an evidence coverage score, a list of unsupported statements, and risk warnings. If the answer contains statements that are not supported by the retrieved evidence, the confidence score is reduced and risk warnings are returned.</w:t>
      </w:r>
    </w:p>
    <w:p w14:paraId="05C0ED15">
      <w:pPr>
        <w:spacing w:after="120" w:line="240" w:lineRule="auto"/>
        <w:rPr>
          <w:lang w:eastAsia="zh-CN"/>
        </w:rPr>
      </w:pPr>
      <w:r>
        <w:rPr>
          <w:lang w:eastAsia="zh-CN"/>
        </w:rPr>
        <w:t>This design makes the QA process more transparent. Instead of returning only a fluent answer, CE-RAG provides an answer together with supporting reasoning chains, an evidence-sufficiency score, and verification signals.</w:t>
      </w:r>
    </w:p>
    <w:p w14:paraId="1B56C90E">
      <w:pPr>
        <w:spacing w:after="120" w:line="240" w:lineRule="auto"/>
        <w:rPr>
          <w:lang w:eastAsia="zh-CN"/>
        </w:rPr>
      </w:pPr>
    </w:p>
    <w:tbl>
      <w:tblPr>
        <w:tblStyle w:val="11"/>
        <w:tblW w:w="5000" w:type="pct"/>
        <w:jc w:val="center"/>
        <w:tblLayout w:type="autofit"/>
        <w:tblCellMar>
          <w:top w:w="0" w:type="dxa"/>
          <w:left w:w="70" w:type="dxa"/>
          <w:bottom w:w="0" w:type="dxa"/>
          <w:right w:w="70" w:type="dxa"/>
        </w:tblCellMar>
      </w:tblPr>
      <w:tblGrid>
        <w:gridCol w:w="7058"/>
      </w:tblGrid>
      <w:tr w14:paraId="258C4DDF">
        <w:tblPrEx>
          <w:tblCellMar>
            <w:top w:w="0" w:type="dxa"/>
            <w:left w:w="70" w:type="dxa"/>
            <w:bottom w:w="0" w:type="dxa"/>
            <w:right w:w="70" w:type="dxa"/>
          </w:tblCellMar>
        </w:tblPrEx>
        <w:trPr>
          <w:trHeight w:val="280" w:hRule="atLeast"/>
          <w:jc w:val="center"/>
        </w:trPr>
        <w:tc>
          <w:tcPr>
            <w:tcW w:w="5000" w:type="pct"/>
            <w:tcBorders>
              <w:top w:val="single" w:color="000000" w:sz="12" w:space="0"/>
              <w:bottom w:val="single" w:color="000000" w:sz="6" w:space="0"/>
            </w:tcBorders>
          </w:tcPr>
          <w:p w14:paraId="3016295F">
            <w:pPr>
              <w:spacing w:after="120" w:line="240" w:lineRule="auto"/>
              <w:rPr>
                <w:rFonts w:eastAsia="宋体"/>
                <w:lang w:eastAsia="zh-CN"/>
              </w:rPr>
            </w:pPr>
            <w:r>
              <w:rPr>
                <w:rFonts w:hint="eastAsia" w:eastAsia="宋体"/>
                <w:b/>
                <w:bCs/>
                <w:lang w:eastAsia="zh-CN"/>
              </w:rPr>
              <w:t>Algorithm1</w:t>
            </w:r>
            <w:r>
              <w:rPr>
                <w:b w:val="0"/>
              </w:rPr>
              <w:t>: CE-RAG Workflow</w:t>
            </w:r>
          </w:p>
          <w:p w14:paraId="6B6BE710">
            <w:pPr>
              <w:spacing w:after="120" w:line="240" w:lineRule="auto"/>
              <w:ind w:firstLine="0"/>
              <w:jc w:val="left"/>
              <w:rPr>
                <w:sz w:val="21"/>
              </w:rPr>
            </w:pPr>
          </w:p>
        </w:tc>
      </w:tr>
      <w:tr w14:paraId="57419D7A">
        <w:tblPrEx>
          <w:tblCellMar>
            <w:top w:w="0" w:type="dxa"/>
            <w:left w:w="70" w:type="dxa"/>
            <w:bottom w:w="0" w:type="dxa"/>
            <w:right w:w="70" w:type="dxa"/>
          </w:tblCellMar>
        </w:tblPrEx>
        <w:trPr>
          <w:trHeight w:val="280" w:hRule="atLeast"/>
          <w:jc w:val="center"/>
        </w:trPr>
        <w:tc>
          <w:tcPr>
            <w:tcW w:w="5000" w:type="pct"/>
            <w:vAlign w:val="center"/>
          </w:tcPr>
          <w:p w14:paraId="12941DA2">
            <w:pPr>
              <w:spacing w:after="120" w:line="240" w:lineRule="auto"/>
              <w:ind w:firstLine="0"/>
              <w:rPr>
                <w:lang w:eastAsia="zh-CN"/>
              </w:rPr>
            </w:pPr>
            <w:r>
              <w:rPr>
                <w:rStyle w:val="29"/>
                <w:rFonts w:hint="eastAsia"/>
                <w:b/>
                <w:bCs/>
                <w:i w:val="0"/>
              </w:rPr>
              <w:t xml:space="preserve">Input: </w:t>
            </w:r>
            <w:r>
              <w:rPr>
                <w:rStyle w:val="29"/>
                <w:rFonts w:hint="eastAsia"/>
                <w:i w:val="0"/>
              </w:rPr>
              <w:t>scientific paper P, user question q</w:t>
            </w:r>
          </w:p>
        </w:tc>
      </w:tr>
      <w:tr w14:paraId="2BE409AC">
        <w:tblPrEx>
          <w:tblCellMar>
            <w:top w:w="0" w:type="dxa"/>
            <w:left w:w="70" w:type="dxa"/>
            <w:bottom w:w="0" w:type="dxa"/>
            <w:right w:w="70" w:type="dxa"/>
          </w:tblCellMar>
        </w:tblPrEx>
        <w:trPr>
          <w:trHeight w:val="280" w:hRule="atLeast"/>
          <w:jc w:val="center"/>
        </w:trPr>
        <w:tc>
          <w:tcPr>
            <w:tcW w:w="5000" w:type="pct"/>
            <w:vAlign w:val="center"/>
          </w:tcPr>
          <w:p w14:paraId="0B43320E">
            <w:pPr>
              <w:spacing w:after="120" w:line="240" w:lineRule="auto"/>
              <w:ind w:firstLine="0"/>
              <w:rPr>
                <w:rFonts w:eastAsia="宋体"/>
                <w:lang w:eastAsia="zh-CN"/>
              </w:rPr>
            </w:pPr>
            <w:r>
              <w:rPr>
                <w:rStyle w:val="29"/>
                <w:rFonts w:hint="eastAsia"/>
                <w:b/>
                <w:bCs/>
                <w:i w:val="0"/>
              </w:rPr>
              <w:t xml:space="preserve">Output: </w:t>
            </w:r>
            <w:r>
              <w:rPr>
                <w:rStyle w:val="29"/>
                <w:rFonts w:hint="eastAsia"/>
                <w:i w:val="0"/>
              </w:rPr>
              <w:t xml:space="preserve">answer a, reasoning chains </w:t>
            </w:r>
            <m:oMath>
              <m:sSub>
                <m:sSubPr>
                  <m:ctrlPr>
                    <w:rPr>
                      <w:rStyle w:val="29"/>
                      <w:i w:val="0"/>
                    </w:rPr>
                  </m:ctrlPr>
                </m:sSubPr>
                <m:e>
                  <m:r>
                    <m:rPr/>
                    <w:rPr>
                      <w:rStyle w:val="29"/>
                      <w:rFonts w:ascii="Cambria Math" w:hAnsi="Cambria Math"/>
                    </w:rPr>
                    <m:t>C</m:t>
                  </m:r>
                  <m:ctrlPr>
                    <w:rPr>
                      <w:rStyle w:val="29"/>
                      <w:i w:val="0"/>
                    </w:rPr>
                  </m:ctrlPr>
                </m:e>
                <m:sub>
                  <m:r>
                    <m:rPr/>
                    <w:rPr>
                      <w:rStyle w:val="29"/>
                      <w:rFonts w:ascii="Cambria Math" w:hAnsi="Cambria Math"/>
                    </w:rPr>
                    <m:t>q</m:t>
                  </m:r>
                  <m:ctrlPr>
                    <w:rPr>
                      <w:rStyle w:val="29"/>
                      <w:i w:val="0"/>
                    </w:rPr>
                  </m:ctrlPr>
                </m:sub>
              </m:sSub>
            </m:oMath>
            <w:r>
              <w:rPr>
                <w:rStyle w:val="29"/>
                <w:rFonts w:hint="eastAsia"/>
                <w:i w:val="0"/>
              </w:rPr>
              <w:t xml:space="preserve">, sufficiency score </w:t>
            </w:r>
            <m:oMath>
              <m:sSub>
                <m:sSubPr>
                  <m:ctrlPr>
                    <w:rPr>
                      <w:rStyle w:val="29"/>
                      <w:i w:val="0"/>
                    </w:rPr>
                  </m:ctrlPr>
                </m:sSubPr>
                <m:e>
                  <m:r>
                    <m:rPr/>
                    <w:rPr>
                      <w:rStyle w:val="29"/>
                      <w:rFonts w:ascii="Cambria Math" w:hAnsi="Cambria Math"/>
                    </w:rPr>
                    <m:t>s</m:t>
                  </m:r>
                  <m:ctrlPr>
                    <w:rPr>
                      <w:rStyle w:val="29"/>
                      <w:i w:val="0"/>
                    </w:rPr>
                  </m:ctrlPr>
                </m:e>
                <m:sub>
                  <m:r>
                    <m:rPr/>
                    <w:rPr>
                      <w:rStyle w:val="29"/>
                      <w:rFonts w:ascii="Cambria Math" w:hAnsi="Cambria Math"/>
                    </w:rPr>
                    <m:t>q</m:t>
                  </m:r>
                  <m:ctrlPr>
                    <w:rPr>
                      <w:rStyle w:val="29"/>
                      <w:i w:val="0"/>
                    </w:rPr>
                  </m:ctrlPr>
                </m:sub>
              </m:sSub>
            </m:oMath>
            <w:r>
              <w:rPr>
                <w:rStyle w:val="29"/>
                <w:rFonts w:hint="eastAsia"/>
                <w:i w:val="0"/>
              </w:rPr>
              <w:t>, warning</w:t>
            </w:r>
            <w:r>
              <w:rPr>
                <w:rStyle w:val="29"/>
                <w:rFonts w:hint="eastAsia" w:eastAsia="宋体"/>
                <w:i w:val="0"/>
                <w:lang w:eastAsia="zh-CN"/>
              </w:rPr>
              <w:t>s</w:t>
            </w:r>
          </w:p>
        </w:tc>
      </w:tr>
      <w:tr w14:paraId="366CEE0E">
        <w:tblPrEx>
          <w:tblCellMar>
            <w:top w:w="0" w:type="dxa"/>
            <w:left w:w="70" w:type="dxa"/>
            <w:bottom w:w="0" w:type="dxa"/>
            <w:right w:w="70" w:type="dxa"/>
          </w:tblCellMar>
        </w:tblPrEx>
        <w:trPr>
          <w:trHeight w:val="280" w:hRule="atLeast"/>
          <w:jc w:val="center"/>
        </w:trPr>
        <w:tc>
          <w:tcPr>
            <w:tcW w:w="5000" w:type="pct"/>
            <w:vAlign w:val="center"/>
          </w:tcPr>
          <w:p w14:paraId="6653C301">
            <w:pPr>
              <w:spacing w:after="120" w:line="240" w:lineRule="auto"/>
              <w:ind w:firstLine="200" w:firstLineChars="100"/>
              <w:rPr>
                <w:lang w:eastAsia="zh-CN"/>
              </w:rPr>
            </w:pPr>
            <w:r>
              <w:rPr>
                <w:rStyle w:val="29"/>
                <w:rFonts w:hint="eastAsia"/>
                <w:b/>
                <w:bCs/>
                <w:i w:val="0"/>
              </w:rPr>
              <w:t xml:space="preserve">1: </w:t>
            </w:r>
            <w:r>
              <w:rPr>
                <w:rStyle w:val="29"/>
                <w:rFonts w:hint="eastAsia"/>
                <w:i w:val="0"/>
              </w:rPr>
              <w:t>Construct a scholarly object graph GP from P</w:t>
            </w:r>
          </w:p>
        </w:tc>
      </w:tr>
      <w:tr w14:paraId="61DB115A">
        <w:tblPrEx>
          <w:tblCellMar>
            <w:top w:w="0" w:type="dxa"/>
            <w:left w:w="70" w:type="dxa"/>
            <w:bottom w:w="0" w:type="dxa"/>
            <w:right w:w="70" w:type="dxa"/>
          </w:tblCellMar>
        </w:tblPrEx>
        <w:trPr>
          <w:trHeight w:val="280" w:hRule="atLeast"/>
          <w:jc w:val="center"/>
        </w:trPr>
        <w:tc>
          <w:tcPr>
            <w:tcW w:w="5000" w:type="pct"/>
            <w:vAlign w:val="center"/>
          </w:tcPr>
          <w:p w14:paraId="0BF5701F">
            <w:pPr>
              <w:pStyle w:val="6"/>
              <w:spacing w:before="0" w:after="120" w:line="240" w:lineRule="auto"/>
              <w:ind w:firstLine="201" w:firstLineChars="100"/>
              <w:rPr>
                <w:lang w:eastAsia="zh-CN"/>
              </w:rPr>
            </w:pPr>
            <w:r>
              <w:rPr>
                <w:rStyle w:val="29"/>
                <w:rFonts w:hint="eastAsia" w:eastAsia="宋体"/>
                <w:b/>
                <w:bCs/>
                <w:i w:val="0"/>
              </w:rPr>
              <w:t>2:</w:t>
            </w:r>
            <w:r>
              <w:rPr>
                <w:rStyle w:val="29"/>
                <w:rFonts w:hint="eastAsia" w:eastAsia="宋体"/>
                <w:i w:val="0"/>
              </w:rPr>
              <w:t xml:space="preserve"> Identify the question type of q</w:t>
            </w:r>
          </w:p>
        </w:tc>
      </w:tr>
      <w:tr w14:paraId="1FE683B2">
        <w:tblPrEx>
          <w:tblCellMar>
            <w:top w:w="0" w:type="dxa"/>
            <w:left w:w="70" w:type="dxa"/>
            <w:bottom w:w="0" w:type="dxa"/>
            <w:right w:w="70" w:type="dxa"/>
          </w:tblCellMar>
        </w:tblPrEx>
        <w:trPr>
          <w:trHeight w:val="280" w:hRule="atLeast"/>
          <w:jc w:val="center"/>
        </w:trPr>
        <w:tc>
          <w:tcPr>
            <w:tcW w:w="5000" w:type="pct"/>
            <w:vAlign w:val="center"/>
          </w:tcPr>
          <w:p w14:paraId="2C359D76">
            <w:pPr>
              <w:pStyle w:val="6"/>
              <w:spacing w:before="0" w:after="120" w:line="240" w:lineRule="auto"/>
              <w:ind w:firstLine="200" w:firstLineChars="100"/>
              <w:rPr>
                <w:rStyle w:val="29"/>
                <w:i w:val="0"/>
              </w:rPr>
            </w:pPr>
            <w:r>
              <w:rPr>
                <w:rStyle w:val="29"/>
                <w:rFonts w:hint="eastAsia"/>
                <w:b/>
                <w:bCs/>
                <w:i w:val="0"/>
              </w:rPr>
              <w:t>3:</w:t>
            </w:r>
            <w:r>
              <w:rPr>
                <w:rStyle w:val="29"/>
                <w:rFonts w:hint="eastAsia"/>
                <w:i w:val="0"/>
              </w:rPr>
              <w:t xml:space="preserve"> Select anchor nodes according to the question type</w:t>
            </w:r>
          </w:p>
        </w:tc>
      </w:tr>
      <w:tr w14:paraId="4D0B3B6F">
        <w:tblPrEx>
          <w:tblCellMar>
            <w:top w:w="0" w:type="dxa"/>
            <w:left w:w="70" w:type="dxa"/>
            <w:bottom w:w="0" w:type="dxa"/>
            <w:right w:w="70" w:type="dxa"/>
          </w:tblCellMar>
        </w:tblPrEx>
        <w:trPr>
          <w:trHeight w:val="280" w:hRule="atLeast"/>
          <w:jc w:val="center"/>
        </w:trPr>
        <w:tc>
          <w:tcPr>
            <w:tcW w:w="5000" w:type="pct"/>
            <w:vAlign w:val="center"/>
          </w:tcPr>
          <w:p w14:paraId="6957169C">
            <w:pPr>
              <w:pStyle w:val="6"/>
              <w:spacing w:before="0" w:after="120" w:line="240" w:lineRule="auto"/>
              <w:ind w:firstLine="200" w:firstLineChars="100"/>
              <w:rPr>
                <w:rStyle w:val="29"/>
                <w:rFonts w:eastAsia="宋体"/>
                <w:i w:val="0"/>
                <w:lang w:eastAsia="zh-CN"/>
              </w:rPr>
            </w:pPr>
            <w:r>
              <w:rPr>
                <w:rStyle w:val="29"/>
                <w:rFonts w:hint="eastAsia"/>
                <w:b/>
                <w:bCs/>
                <w:i w:val="0"/>
              </w:rPr>
              <w:t>4:</w:t>
            </w:r>
            <w:r>
              <w:rPr>
                <w:rStyle w:val="29"/>
                <w:rFonts w:hint="eastAsia"/>
                <w:i w:val="0"/>
              </w:rPr>
              <w:t xml:space="preserve"> Retrieve and rank reasoning chains from GP</w:t>
            </w:r>
          </w:p>
        </w:tc>
      </w:tr>
      <w:tr w14:paraId="21D3C478">
        <w:tblPrEx>
          <w:tblCellMar>
            <w:top w:w="0" w:type="dxa"/>
            <w:left w:w="70" w:type="dxa"/>
            <w:bottom w:w="0" w:type="dxa"/>
            <w:right w:w="70" w:type="dxa"/>
          </w:tblCellMar>
        </w:tblPrEx>
        <w:trPr>
          <w:trHeight w:val="280" w:hRule="atLeast"/>
          <w:jc w:val="center"/>
        </w:trPr>
        <w:tc>
          <w:tcPr>
            <w:tcW w:w="5000" w:type="pct"/>
            <w:vAlign w:val="center"/>
          </w:tcPr>
          <w:p w14:paraId="42F3E638">
            <w:pPr>
              <w:pStyle w:val="6"/>
              <w:spacing w:before="0" w:after="120" w:line="240" w:lineRule="auto"/>
              <w:ind w:firstLine="200" w:firstLineChars="100"/>
              <w:rPr>
                <w:rStyle w:val="29"/>
                <w:i w:val="0"/>
              </w:rPr>
            </w:pPr>
            <w:r>
              <w:rPr>
                <w:rStyle w:val="29"/>
                <w:rFonts w:hint="eastAsia"/>
                <w:b/>
                <w:bCs/>
                <w:i w:val="0"/>
              </w:rPr>
              <w:t xml:space="preserve">5: </w:t>
            </w:r>
            <w:r>
              <w:rPr>
                <w:rStyle w:val="29"/>
                <w:rFonts w:hint="eastAsia"/>
                <w:i w:val="0"/>
              </w:rPr>
              <w:t xml:space="preserve">Construct evidence bundle </w:t>
            </w:r>
            <m:oMath>
              <m:sSub>
                <m:sSubPr>
                  <m:ctrlPr>
                    <w:rPr>
                      <w:rStyle w:val="29"/>
                      <w:i w:val="0"/>
                    </w:rPr>
                  </m:ctrlPr>
                </m:sSubPr>
                <m:e>
                  <m:r>
                    <m:rPr/>
                    <w:rPr>
                      <w:rStyle w:val="29"/>
                      <w:rFonts w:ascii="Cambria Math" w:hAnsi="Cambria Math"/>
                    </w:rPr>
                    <m:t>B</m:t>
                  </m:r>
                  <m:ctrlPr>
                    <w:rPr>
                      <w:rStyle w:val="29"/>
                      <w:i w:val="0"/>
                    </w:rPr>
                  </m:ctrlPr>
                </m:e>
                <m:sub>
                  <m:r>
                    <m:rPr/>
                    <w:rPr>
                      <w:rStyle w:val="29"/>
                      <w:rFonts w:ascii="Cambria Math" w:hAnsi="Cambria Math"/>
                    </w:rPr>
                    <m:t>q</m:t>
                  </m:r>
                  <m:ctrlPr>
                    <w:rPr>
                      <w:rStyle w:val="29"/>
                      <w:i w:val="0"/>
                    </w:rPr>
                  </m:ctrlPr>
                </m:sub>
              </m:sSub>
            </m:oMath>
            <w:r>
              <w:rPr>
                <w:rStyle w:val="29"/>
                <w:rFonts w:hint="eastAsia"/>
                <w:i w:val="0"/>
              </w:rPr>
              <w:t xml:space="preserve"> from chains, objects, and source chunks</w:t>
            </w:r>
          </w:p>
        </w:tc>
      </w:tr>
      <w:tr w14:paraId="269AF60A">
        <w:tblPrEx>
          <w:tblCellMar>
            <w:top w:w="0" w:type="dxa"/>
            <w:left w:w="70" w:type="dxa"/>
            <w:bottom w:w="0" w:type="dxa"/>
            <w:right w:w="70" w:type="dxa"/>
          </w:tblCellMar>
        </w:tblPrEx>
        <w:trPr>
          <w:trHeight w:val="280" w:hRule="atLeast"/>
          <w:jc w:val="center"/>
        </w:trPr>
        <w:tc>
          <w:tcPr>
            <w:tcW w:w="5000" w:type="pct"/>
            <w:vAlign w:val="center"/>
          </w:tcPr>
          <w:p w14:paraId="5424E611">
            <w:pPr>
              <w:pStyle w:val="6"/>
              <w:spacing w:before="0" w:after="120" w:line="240" w:lineRule="auto"/>
              <w:ind w:firstLine="200" w:firstLineChars="100"/>
              <w:rPr>
                <w:rStyle w:val="29"/>
                <w:i w:val="0"/>
              </w:rPr>
            </w:pPr>
            <w:r>
              <w:rPr>
                <w:rStyle w:val="29"/>
                <w:rFonts w:hint="eastAsia"/>
                <w:b/>
                <w:bCs/>
                <w:i w:val="0"/>
              </w:rPr>
              <w:t>6:</w:t>
            </w:r>
            <w:r>
              <w:rPr>
                <w:rStyle w:val="29"/>
                <w:rFonts w:hint="eastAsia"/>
                <w:i w:val="0"/>
              </w:rPr>
              <w:t xml:space="preserve"> Estimate evidence sufficiency score </w:t>
            </w:r>
            <m:oMath>
              <m:sSub>
                <m:sSubPr>
                  <m:ctrlPr>
                    <w:rPr>
                      <w:rStyle w:val="29"/>
                      <w:i w:val="0"/>
                    </w:rPr>
                  </m:ctrlPr>
                </m:sSubPr>
                <m:e>
                  <m:r>
                    <m:rPr/>
                    <w:rPr>
                      <w:rStyle w:val="29"/>
                      <w:rFonts w:ascii="Cambria Math" w:hAnsi="Cambria Math"/>
                    </w:rPr>
                    <m:t>s</m:t>
                  </m:r>
                  <m:ctrlPr>
                    <w:rPr>
                      <w:rStyle w:val="29"/>
                      <w:i w:val="0"/>
                    </w:rPr>
                  </m:ctrlPr>
                </m:e>
                <m:sub>
                  <m:r>
                    <m:rPr/>
                    <w:rPr>
                      <w:rStyle w:val="29"/>
                      <w:rFonts w:ascii="Cambria Math" w:hAnsi="Cambria Math"/>
                    </w:rPr>
                    <m:t>q</m:t>
                  </m:r>
                  <m:ctrlPr>
                    <w:rPr>
                      <w:rStyle w:val="29"/>
                      <w:i w:val="0"/>
                    </w:rPr>
                  </m:ctrlPr>
                </m:sub>
              </m:sSub>
            </m:oMath>
          </w:p>
        </w:tc>
      </w:tr>
      <w:tr w14:paraId="500E4310">
        <w:tblPrEx>
          <w:tblCellMar>
            <w:top w:w="0" w:type="dxa"/>
            <w:left w:w="70" w:type="dxa"/>
            <w:bottom w:w="0" w:type="dxa"/>
            <w:right w:w="70" w:type="dxa"/>
          </w:tblCellMar>
        </w:tblPrEx>
        <w:trPr>
          <w:trHeight w:val="280" w:hRule="atLeast"/>
          <w:jc w:val="center"/>
        </w:trPr>
        <w:tc>
          <w:tcPr>
            <w:tcW w:w="5000" w:type="pct"/>
            <w:vAlign w:val="center"/>
          </w:tcPr>
          <w:p w14:paraId="21DDABA3">
            <w:pPr>
              <w:pStyle w:val="6"/>
              <w:spacing w:before="0" w:after="120" w:line="240" w:lineRule="auto"/>
              <w:ind w:firstLine="200" w:firstLineChars="100"/>
              <w:rPr>
                <w:rStyle w:val="29"/>
                <w:i w:val="0"/>
              </w:rPr>
            </w:pPr>
            <w:r>
              <w:rPr>
                <w:rStyle w:val="29"/>
                <w:rFonts w:hint="eastAsia"/>
                <w:b/>
                <w:bCs/>
                <w:i w:val="0"/>
              </w:rPr>
              <w:t>7:</w:t>
            </w:r>
            <w:r>
              <w:rPr>
                <w:rStyle w:val="29"/>
                <w:rFonts w:hint="eastAsia"/>
                <w:i w:val="0"/>
              </w:rPr>
              <w:t xml:space="preserve"> Generate answe</w:t>
            </w:r>
            <w:r>
              <w:rPr>
                <w:rStyle w:val="29"/>
                <w:rFonts w:hint="eastAsia" w:eastAsia="宋体"/>
                <w:i w:val="0"/>
              </w:rPr>
              <w:t xml:space="preserve">r a conditioned on q, </w:t>
            </w:r>
            <m:oMath>
              <m:sSub>
                <m:sSubPr>
                  <m:ctrlPr>
                    <w:rPr>
                      <w:rStyle w:val="29"/>
                      <w:i w:val="0"/>
                    </w:rPr>
                  </m:ctrlPr>
                </m:sSubPr>
                <m:e>
                  <m:r>
                    <m:rPr>
                      <m:sty m:val="p"/>
                    </m:rPr>
                    <w:rPr>
                      <w:rStyle w:val="29"/>
                      <w:rFonts w:eastAsia="宋体"/>
                      <w:lang w:eastAsia="zh-CN"/>
                    </w:rPr>
                    <m:t>B</m:t>
                  </m:r>
                  <m:ctrlPr>
                    <w:rPr>
                      <w:rStyle w:val="29"/>
                      <w:i w:val="0"/>
                    </w:rPr>
                  </m:ctrlPr>
                </m:e>
                <m:sub>
                  <m:r>
                    <m:rPr>
                      <m:sty m:val="p"/>
                    </m:rPr>
                    <w:rPr>
                      <w:rStyle w:val="29"/>
                      <w:rFonts w:eastAsia="宋体"/>
                      <w:lang w:eastAsia="zh-CN"/>
                    </w:rPr>
                    <m:t>q</m:t>
                  </m:r>
                  <m:ctrlPr>
                    <w:rPr>
                      <w:rStyle w:val="29"/>
                      <w:i w:val="0"/>
                    </w:rPr>
                  </m:ctrlPr>
                </m:sub>
              </m:sSub>
            </m:oMath>
            <w:r>
              <w:rPr>
                <w:rStyle w:val="29"/>
                <w:rFonts w:hint="eastAsia" w:eastAsia="宋体"/>
                <w:i w:val="0"/>
              </w:rPr>
              <w:t xml:space="preserve">, </w:t>
            </w:r>
            <m:oMath>
              <m:sSub>
                <m:sSubPr>
                  <m:ctrlPr>
                    <w:rPr>
                      <w:rStyle w:val="29"/>
                      <w:i w:val="0"/>
                    </w:rPr>
                  </m:ctrlPr>
                </m:sSubPr>
                <m:e>
                  <m:r>
                    <m:rPr>
                      <m:sty m:val="p"/>
                    </m:rPr>
                    <w:rPr>
                      <w:rStyle w:val="29"/>
                      <w:rFonts w:eastAsia="宋体"/>
                      <w:lang w:eastAsia="zh-CN"/>
                    </w:rPr>
                    <m:t>C</m:t>
                  </m:r>
                  <m:ctrlPr>
                    <w:rPr>
                      <w:rStyle w:val="29"/>
                      <w:i w:val="0"/>
                    </w:rPr>
                  </m:ctrlPr>
                </m:e>
                <m:sub>
                  <m:r>
                    <m:rPr>
                      <m:sty m:val="p"/>
                    </m:rPr>
                    <w:rPr>
                      <w:rStyle w:val="29"/>
                      <w:rFonts w:eastAsia="宋体"/>
                      <w:lang w:eastAsia="zh-CN"/>
                    </w:rPr>
                    <m:t>q</m:t>
                  </m:r>
                  <m:ctrlPr>
                    <w:rPr>
                      <w:rStyle w:val="29"/>
                      <w:i w:val="0"/>
                    </w:rPr>
                  </m:ctrlPr>
                </m:sub>
              </m:sSub>
            </m:oMath>
            <w:r>
              <w:rPr>
                <w:rStyle w:val="29"/>
                <w:rFonts w:hint="eastAsia" w:eastAsia="宋体"/>
                <w:i w:val="0"/>
              </w:rPr>
              <w:t xml:space="preserve">, and </w:t>
            </w:r>
            <m:oMath>
              <m:sSub>
                <m:sSubPr>
                  <m:ctrlPr>
                    <w:rPr>
                      <w:rStyle w:val="29"/>
                      <w:i w:val="0"/>
                    </w:rPr>
                  </m:ctrlPr>
                </m:sSubPr>
                <m:e>
                  <m:r>
                    <m:rPr/>
                    <w:rPr>
                      <w:rStyle w:val="29"/>
                      <w:rFonts w:ascii="Cambria Math" w:hAnsi="Cambria Math"/>
                    </w:rPr>
                    <m:t>s</m:t>
                  </m:r>
                  <m:ctrlPr>
                    <w:rPr>
                      <w:rStyle w:val="29"/>
                      <w:i w:val="0"/>
                    </w:rPr>
                  </m:ctrlPr>
                </m:e>
                <m:sub>
                  <m:r>
                    <m:rPr/>
                    <w:rPr>
                      <w:rStyle w:val="29"/>
                      <w:rFonts w:ascii="Cambria Math" w:hAnsi="Cambria Math"/>
                    </w:rPr>
                    <m:t>q</m:t>
                  </m:r>
                  <m:ctrlPr>
                    <w:rPr>
                      <w:rStyle w:val="29"/>
                      <w:i w:val="0"/>
                    </w:rPr>
                  </m:ctrlPr>
                </m:sub>
              </m:sSub>
            </m:oMath>
          </w:p>
        </w:tc>
      </w:tr>
      <w:tr w14:paraId="1279D8EE">
        <w:tblPrEx>
          <w:tblCellMar>
            <w:top w:w="0" w:type="dxa"/>
            <w:left w:w="70" w:type="dxa"/>
            <w:bottom w:w="0" w:type="dxa"/>
            <w:right w:w="70" w:type="dxa"/>
          </w:tblCellMar>
        </w:tblPrEx>
        <w:trPr>
          <w:trHeight w:val="280" w:hRule="atLeast"/>
          <w:jc w:val="center"/>
        </w:trPr>
        <w:tc>
          <w:tcPr>
            <w:tcW w:w="5000" w:type="pct"/>
            <w:vAlign w:val="center"/>
          </w:tcPr>
          <w:p w14:paraId="4E2F9527">
            <w:pPr>
              <w:pStyle w:val="6"/>
              <w:spacing w:before="0" w:after="120" w:line="240" w:lineRule="auto"/>
              <w:ind w:firstLine="200" w:firstLineChars="100"/>
              <w:rPr>
                <w:rStyle w:val="29"/>
                <w:rFonts w:eastAsia="宋体"/>
                <w:i w:val="0"/>
                <w:lang w:eastAsia="zh-CN"/>
              </w:rPr>
            </w:pPr>
            <w:r>
              <w:rPr>
                <w:rStyle w:val="29"/>
                <w:rFonts w:hint="eastAsia"/>
                <w:b/>
                <w:bCs/>
                <w:i w:val="0"/>
              </w:rPr>
              <w:t xml:space="preserve">8: </w:t>
            </w:r>
            <w:r>
              <w:rPr>
                <w:rStyle w:val="29"/>
                <w:rFonts w:hint="eastAsia"/>
                <w:i w:val="0"/>
              </w:rPr>
              <w:t>Verify answer–evidence consistenc</w:t>
            </w:r>
            <w:r>
              <w:rPr>
                <w:rStyle w:val="29"/>
                <w:rFonts w:hint="eastAsia" w:eastAsia="宋体"/>
                <w:i w:val="0"/>
                <w:lang w:eastAsia="zh-CN"/>
              </w:rPr>
              <w:t>y</w:t>
            </w:r>
          </w:p>
        </w:tc>
      </w:tr>
      <w:tr w14:paraId="487C60CE">
        <w:tblPrEx>
          <w:tblCellMar>
            <w:top w:w="0" w:type="dxa"/>
            <w:left w:w="70" w:type="dxa"/>
            <w:bottom w:w="0" w:type="dxa"/>
            <w:right w:w="70" w:type="dxa"/>
          </w:tblCellMar>
        </w:tblPrEx>
        <w:trPr>
          <w:trHeight w:val="280" w:hRule="atLeast"/>
          <w:jc w:val="center"/>
        </w:trPr>
        <w:tc>
          <w:tcPr>
            <w:tcW w:w="5000" w:type="pct"/>
            <w:tcBorders>
              <w:bottom w:val="single" w:color="000000" w:sz="12" w:space="0"/>
            </w:tcBorders>
            <w:vAlign w:val="center"/>
          </w:tcPr>
          <w:p w14:paraId="6783DB2E">
            <w:pPr>
              <w:pStyle w:val="6"/>
              <w:spacing w:before="0" w:after="120" w:line="240" w:lineRule="auto"/>
              <w:ind w:firstLine="200" w:firstLineChars="100"/>
              <w:rPr>
                <w:rStyle w:val="29"/>
                <w:i w:val="0"/>
              </w:rPr>
            </w:pPr>
            <w:r>
              <w:rPr>
                <w:rStyle w:val="29"/>
                <w:rFonts w:hint="eastAsia"/>
                <w:b/>
                <w:bCs/>
                <w:i w:val="0"/>
              </w:rPr>
              <w:t xml:space="preserve">9: </w:t>
            </w:r>
            <w:r>
              <w:rPr>
                <w:rStyle w:val="29"/>
                <w:rFonts w:hint="eastAsia"/>
                <w:i w:val="0"/>
              </w:rPr>
              <w:t>Return answer, reasoning chains, sufficiency score, confidence, and warnings</w:t>
            </w:r>
          </w:p>
        </w:tc>
      </w:tr>
    </w:tbl>
    <w:p w14:paraId="669AAAA8">
      <w:pPr>
        <w:pStyle w:val="25"/>
        <w:spacing w:before="240" w:after="120" w:line="240" w:lineRule="auto"/>
      </w:pPr>
      <w:r>
        <w:rPr>
          <w:rFonts w:hint="eastAsia" w:eastAsia="宋体"/>
          <w:lang w:eastAsia="zh-CN"/>
        </w:rPr>
        <w:t>Experiments</w:t>
      </w:r>
    </w:p>
    <w:p w14:paraId="2275E70C">
      <w:pPr>
        <w:pStyle w:val="3"/>
        <w:spacing w:after="120" w:line="240" w:lineRule="auto"/>
        <w:ind w:firstLine="0"/>
      </w:pPr>
      <w:r>
        <w:t>We evaluate CE-RAG on scientific paper question answering, focusing on answerability judgment, evidence grounding, and abstention under insufficient evidence. The experiments compare CE-RAG with retrieval-based baselines and examine whether claim-evidence reasoning chains, evidence-sufficiency estimation, and answer verification improve reliable paper understanding.</w:t>
      </w:r>
    </w:p>
    <w:p w14:paraId="34046B77">
      <w:pPr>
        <w:pStyle w:val="26"/>
        <w:spacing w:before="180" w:after="80" w:line="240" w:lineRule="auto"/>
        <w:rPr>
          <w:sz w:val="22"/>
        </w:rPr>
      </w:pPr>
      <w:r>
        <w:rPr>
          <w:sz w:val="22"/>
        </w:rPr>
        <w:t>Dataset and Experimental Setup</w:t>
      </w:r>
    </w:p>
    <w:p w14:paraId="4DF48E86">
      <w:pPr>
        <w:pStyle w:val="3"/>
        <w:spacing w:after="120" w:line="240" w:lineRule="auto"/>
        <w:ind w:firstLine="0"/>
      </w:pPr>
      <w:r>
        <w:t>The evaluation uses a pilot dataset of 53 computer science papers and 318 question-answer pairs. Each paper is associated with six questions covering method, evidence, result, contribution, limitation or 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 All methods are evaluated on the same paper collection and gold answerability labels. Details of the dataset are shown in Table 1.</w:t>
      </w:r>
    </w:p>
    <w:p w14:paraId="657780C6">
      <w:pPr>
        <w:pStyle w:val="7"/>
        <w:spacing w:before="60" w:after="120" w:line="240" w:lineRule="auto"/>
        <w:ind w:firstLine="227"/>
        <w:jc w:val="center"/>
        <w:rPr>
          <w:rFonts w:ascii="Arial" w:hAnsi="Arial"/>
          <w:i/>
          <w:sz w:val="18"/>
        </w:rPr>
      </w:pPr>
      <w:r>
        <w:rPr>
          <w:rFonts w:ascii="Times New Roman" w:hAnsi="Times New Roman"/>
          <w:b w:val="0"/>
          <w:i/>
          <w:sz w:val="18"/>
        </w:rPr>
        <w:t xml:space="preserve">Table </w:t>
      </w:r>
      <w:r>
        <w:rPr>
          <w:rFonts w:ascii="Times New Roman" w:hAnsi="Times New Roman" w:eastAsia="Times New Roman"/>
          <w:b/>
          <w:bCs/>
          <w:sz w:val="18"/>
        </w:rPr>
        <w:t xml:space="preserve"> </w:t>
      </w:r>
      <w:r>
        <w:rPr>
          <w:rFonts w:ascii="Times New Roman" w:hAnsi="Times New Roman" w:eastAsia="Times New Roman"/>
          <w:b/>
          <w:bCs/>
          <w:sz w:val="18"/>
        </w:rPr>
        <w:fldChar w:fldCharType="begin"/>
      </w:r>
      <w:r>
        <w:rPr>
          <w:rFonts w:ascii="Times New Roman" w:hAnsi="Times New Roman" w:eastAsia="Times New Roman"/>
          <w:b/>
          <w:bCs/>
          <w:sz w:val="18"/>
        </w:rPr>
        <w:instrText xml:space="preserve"> SEQ Table_ \* ARABIC </w:instrText>
      </w:r>
      <w:r>
        <w:rPr>
          <w:rFonts w:ascii="Times New Roman" w:hAnsi="Times New Roman" w:eastAsia="Times New Roman"/>
          <w:b/>
          <w:bCs/>
          <w:sz w:val="18"/>
        </w:rPr>
        <w:fldChar w:fldCharType="separate"/>
      </w:r>
      <w:r>
        <w:rPr>
          <w:rFonts w:ascii="Times New Roman" w:hAnsi="Times New Roman" w:eastAsia="Times New Roman"/>
          <w:b/>
          <w:bCs/>
          <w:sz w:val="18"/>
        </w:rPr>
        <w:t>1</w:t>
      </w:r>
      <w:r>
        <w:rPr>
          <w:rFonts w:ascii="Times New Roman" w:hAnsi="Times New Roman" w:eastAsia="Times New Roman"/>
          <w:b/>
          <w:bCs/>
          <w:sz w:val="18"/>
        </w:rPr>
        <w:fldChar w:fldCharType="end"/>
      </w:r>
      <w:r>
        <w:rPr>
          <w:rFonts w:hint="eastAsia" w:ascii="Times New Roman" w:hAnsi="Times New Roman" w:eastAsia="Times New Roman"/>
          <w:b/>
          <w:bCs/>
          <w:sz w:val="18"/>
          <w:lang w:eastAsia="zh-CN"/>
        </w:rPr>
        <w:t>.</w:t>
      </w:r>
      <w:r>
        <w:rPr>
          <w:rFonts w:ascii="Times New Roman" w:hAnsi="Times New Roman"/>
          <w:i/>
          <w:sz w:val="18"/>
        </w:rPr>
        <w:t xml:space="preserve"> Statistics of the </w:t>
      </w:r>
      <w:r>
        <w:rPr>
          <w:rFonts w:ascii="Times New Roman" w:hAnsi="Times New Roman"/>
          <w:i/>
          <w:sz w:val="18"/>
        </w:rPr>
        <w:t>Constructed</w:t>
      </w:r>
      <w:r>
        <w:rPr>
          <w:rFonts w:ascii="Times New Roman" w:hAnsi="Times New Roman"/>
          <w:i/>
          <w:sz w:val="18"/>
        </w:rPr>
        <w:t xml:space="preserve"> QA </w:t>
      </w:r>
      <w:r>
        <w:rPr>
          <w:rFonts w:ascii="Times New Roman" w:hAnsi="Times New Roman"/>
          <w:i/>
          <w:sz w:val="18"/>
        </w:rPr>
        <w:t>Dataset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8"/>
        <w:gridCol w:w="3800"/>
      </w:tblGrid>
      <w:tr w14:paraId="63F3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single" w:color="auto" w:sz="4" w:space="0"/>
              <w:left w:val="nil"/>
              <w:bottom w:val="single" w:color="auto" w:sz="4" w:space="0"/>
              <w:right w:val="nil"/>
            </w:tcBorders>
          </w:tcPr>
          <w:p w14:paraId="750F12B5">
            <w:pPr>
              <w:spacing w:after="120" w:line="240" w:lineRule="auto"/>
              <w:jc w:val="both"/>
              <w:rPr>
                <w:b/>
                <w:bCs/>
              </w:rPr>
            </w:pPr>
            <w:r>
              <w:rPr>
                <w:b/>
                <w:bCs/>
              </w:rPr>
              <w:t>Item</w:t>
            </w:r>
          </w:p>
        </w:tc>
        <w:tc>
          <w:tcPr>
            <w:tcW w:w="3800" w:type="dxa"/>
            <w:tcBorders>
              <w:top w:val="single" w:color="auto" w:sz="4" w:space="0"/>
              <w:left w:val="nil"/>
              <w:bottom w:val="single" w:color="auto" w:sz="4" w:space="0"/>
              <w:right w:val="nil"/>
            </w:tcBorders>
          </w:tcPr>
          <w:p w14:paraId="5E4DA65C">
            <w:pPr>
              <w:spacing w:line="240" w:lineRule="auto"/>
              <w:jc w:val="center"/>
              <w:rPr>
                <w:b/>
                <w:sz w:val="18"/>
              </w:rPr>
            </w:pPr>
            <w:r>
              <w:rPr>
                <w:b/>
                <w:sz w:val="18"/>
              </w:rPr>
              <w:t>Value</w:t>
            </w:r>
          </w:p>
        </w:tc>
      </w:tr>
      <w:tr w14:paraId="5361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single" w:color="auto" w:sz="4" w:space="0"/>
              <w:left w:val="nil"/>
              <w:bottom w:val="nil"/>
              <w:right w:val="nil"/>
            </w:tcBorders>
            <w:vAlign w:val="center"/>
          </w:tcPr>
          <w:p w14:paraId="20E2E45C">
            <w:pPr>
              <w:spacing w:line="240" w:lineRule="auto"/>
              <w:jc w:val="center"/>
              <w:rPr>
                <w:sz w:val="18"/>
              </w:rPr>
            </w:pPr>
            <w:r>
              <w:rPr>
                <w:sz w:val="18"/>
              </w:rPr>
              <w:t>Papers</w:t>
            </w:r>
          </w:p>
        </w:tc>
        <w:tc>
          <w:tcPr>
            <w:tcW w:w="3800" w:type="dxa"/>
            <w:tcBorders>
              <w:top w:val="single" w:color="auto" w:sz="4" w:space="0"/>
              <w:left w:val="nil"/>
              <w:bottom w:val="nil"/>
              <w:right w:val="nil"/>
            </w:tcBorders>
            <w:vAlign w:val="center"/>
          </w:tcPr>
          <w:p w14:paraId="3B5F558B">
            <w:pPr>
              <w:spacing w:line="240" w:lineRule="auto"/>
              <w:jc w:val="center"/>
              <w:rPr>
                <w:sz w:val="18"/>
              </w:rPr>
            </w:pPr>
            <w:r>
              <w:rPr>
                <w:sz w:val="18"/>
              </w:rPr>
              <w:t>53</w:t>
            </w:r>
          </w:p>
        </w:tc>
      </w:tr>
      <w:tr w14:paraId="2D66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nil"/>
              <w:left w:val="nil"/>
              <w:bottom w:val="nil"/>
              <w:right w:val="nil"/>
            </w:tcBorders>
            <w:vAlign w:val="center"/>
          </w:tcPr>
          <w:p w14:paraId="610C84AE">
            <w:pPr>
              <w:spacing w:line="240" w:lineRule="auto"/>
              <w:jc w:val="center"/>
              <w:rPr>
                <w:sz w:val="18"/>
              </w:rPr>
            </w:pPr>
            <w:r>
              <w:rPr>
                <w:sz w:val="18"/>
              </w:rPr>
              <w:t>QA pairs</w:t>
            </w:r>
          </w:p>
        </w:tc>
        <w:tc>
          <w:tcPr>
            <w:tcW w:w="3800" w:type="dxa"/>
            <w:tcBorders>
              <w:top w:val="nil"/>
              <w:left w:val="nil"/>
              <w:bottom w:val="nil"/>
              <w:right w:val="nil"/>
            </w:tcBorders>
            <w:vAlign w:val="center"/>
          </w:tcPr>
          <w:p w14:paraId="384AECAA">
            <w:pPr>
              <w:spacing w:line="240" w:lineRule="auto"/>
              <w:jc w:val="center"/>
              <w:rPr>
                <w:sz w:val="18"/>
              </w:rPr>
            </w:pPr>
            <w:r>
              <w:rPr>
                <w:sz w:val="18"/>
              </w:rPr>
              <w:t>318</w:t>
            </w:r>
          </w:p>
        </w:tc>
      </w:tr>
      <w:tr w14:paraId="1984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nil"/>
              <w:left w:val="nil"/>
              <w:bottom w:val="nil"/>
              <w:right w:val="nil"/>
            </w:tcBorders>
            <w:vAlign w:val="center"/>
          </w:tcPr>
          <w:p w14:paraId="3F1AF622">
            <w:pPr>
              <w:spacing w:line="240" w:lineRule="auto"/>
              <w:jc w:val="center"/>
              <w:rPr>
                <w:sz w:val="18"/>
              </w:rPr>
            </w:pPr>
            <w:r>
              <w:rPr>
                <w:sz w:val="18"/>
              </w:rPr>
              <w:t>Questions per paper</w:t>
            </w:r>
          </w:p>
        </w:tc>
        <w:tc>
          <w:tcPr>
            <w:tcW w:w="3800" w:type="dxa"/>
            <w:tcBorders>
              <w:top w:val="nil"/>
              <w:left w:val="nil"/>
              <w:bottom w:val="nil"/>
              <w:right w:val="nil"/>
            </w:tcBorders>
            <w:vAlign w:val="center"/>
          </w:tcPr>
          <w:p w14:paraId="08615849">
            <w:pPr>
              <w:spacing w:line="240" w:lineRule="auto"/>
              <w:jc w:val="center"/>
              <w:rPr>
                <w:sz w:val="18"/>
              </w:rPr>
            </w:pPr>
            <w:r>
              <w:rPr>
                <w:sz w:val="18"/>
              </w:rPr>
              <w:t>6</w:t>
            </w:r>
          </w:p>
        </w:tc>
      </w:tr>
      <w:tr w14:paraId="21855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nil"/>
              <w:left w:val="nil"/>
              <w:bottom w:val="nil"/>
              <w:right w:val="nil"/>
            </w:tcBorders>
            <w:vAlign w:val="center"/>
          </w:tcPr>
          <w:p w14:paraId="11B45C8B">
            <w:pPr>
              <w:spacing w:line="240" w:lineRule="auto"/>
              <w:jc w:val="center"/>
              <w:rPr>
                <w:sz w:val="18"/>
              </w:rPr>
            </w:pPr>
            <w:r>
              <w:rPr>
                <w:sz w:val="18"/>
              </w:rPr>
              <w:t>Question types</w:t>
            </w:r>
          </w:p>
        </w:tc>
        <w:tc>
          <w:tcPr>
            <w:tcW w:w="3800" w:type="dxa"/>
            <w:tcBorders>
              <w:top w:val="nil"/>
              <w:left w:val="nil"/>
              <w:bottom w:val="nil"/>
              <w:right w:val="nil"/>
            </w:tcBorders>
            <w:vAlign w:val="center"/>
          </w:tcPr>
          <w:p w14:paraId="4F4EEA75">
            <w:pPr>
              <w:spacing w:line="240" w:lineRule="auto"/>
              <w:jc w:val="center"/>
              <w:rPr>
                <w:sz w:val="18"/>
              </w:rPr>
            </w:pPr>
            <w:r>
              <w:rPr>
                <w:sz w:val="18"/>
              </w:rPr>
              <w:t>Method, Evidence, Result, Contribution, Critical, Unanswerable</w:t>
            </w:r>
          </w:p>
        </w:tc>
      </w:tr>
      <w:tr w14:paraId="2DC7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nil"/>
              <w:left w:val="nil"/>
              <w:bottom w:val="nil"/>
              <w:right w:val="nil"/>
            </w:tcBorders>
            <w:vAlign w:val="center"/>
          </w:tcPr>
          <w:p w14:paraId="13C96844">
            <w:pPr>
              <w:spacing w:line="240" w:lineRule="auto"/>
              <w:jc w:val="center"/>
              <w:rPr>
                <w:sz w:val="18"/>
              </w:rPr>
            </w:pPr>
            <w:r>
              <w:rPr>
                <w:sz w:val="18"/>
              </w:rPr>
              <w:t>Answerable / Unanswerable</w:t>
            </w:r>
          </w:p>
        </w:tc>
        <w:tc>
          <w:tcPr>
            <w:tcW w:w="3800" w:type="dxa"/>
            <w:tcBorders>
              <w:top w:val="nil"/>
              <w:left w:val="nil"/>
              <w:bottom w:val="nil"/>
              <w:right w:val="nil"/>
            </w:tcBorders>
            <w:vAlign w:val="center"/>
          </w:tcPr>
          <w:p w14:paraId="30B1BDB7">
            <w:pPr>
              <w:spacing w:line="240" w:lineRule="auto"/>
              <w:jc w:val="center"/>
              <w:rPr>
                <w:sz w:val="18"/>
              </w:rPr>
            </w:pPr>
            <w:r>
              <w:rPr>
                <w:sz w:val="18"/>
              </w:rPr>
              <w:t>253 / 65</w:t>
            </w:r>
          </w:p>
        </w:tc>
      </w:tr>
      <w:tr w14:paraId="596D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8" w:type="dxa"/>
            <w:tcBorders>
              <w:top w:val="nil"/>
              <w:left w:val="nil"/>
              <w:bottom w:val="single" w:color="auto" w:sz="4" w:space="0"/>
              <w:right w:val="nil"/>
            </w:tcBorders>
            <w:vAlign w:val="center"/>
          </w:tcPr>
          <w:p w14:paraId="66217D67">
            <w:pPr>
              <w:spacing w:line="240" w:lineRule="auto"/>
              <w:jc w:val="center"/>
              <w:rPr>
                <w:sz w:val="18"/>
              </w:rPr>
            </w:pPr>
            <w:r>
              <w:rPr>
                <w:sz w:val="18"/>
              </w:rPr>
              <w:t>Domain</w:t>
            </w:r>
          </w:p>
        </w:tc>
        <w:tc>
          <w:tcPr>
            <w:tcW w:w="3800" w:type="dxa"/>
            <w:tcBorders>
              <w:top w:val="nil"/>
              <w:left w:val="nil"/>
              <w:bottom w:val="single" w:color="auto" w:sz="4" w:space="0"/>
              <w:right w:val="nil"/>
            </w:tcBorders>
            <w:vAlign w:val="center"/>
          </w:tcPr>
          <w:p w14:paraId="2DD4D7F3">
            <w:pPr>
              <w:spacing w:line="240" w:lineRule="auto"/>
              <w:jc w:val="center"/>
              <w:rPr>
                <w:sz w:val="18"/>
              </w:rPr>
            </w:pPr>
            <w:r>
              <w:rPr>
                <w:sz w:val="18"/>
              </w:rPr>
              <w:t>Computer science</w:t>
            </w:r>
          </w:p>
        </w:tc>
      </w:tr>
    </w:tbl>
    <w:p w14:paraId="4F074BB2">
      <w:pPr>
        <w:pStyle w:val="34"/>
        <w:numPr>
          <w:ilvl w:val="0"/>
          <w:numId w:val="0"/>
        </w:numPr>
        <w:spacing w:after="120" w:line="240" w:lineRule="auto"/>
        <w:ind w:left="0" w:firstLine="227"/>
        <w:rPr>
          <w:sz w:val="20"/>
        </w:rPr>
      </w:pPr>
    </w:p>
    <w:p w14:paraId="65EFDCE1">
      <w:pPr>
        <w:pStyle w:val="26"/>
        <w:spacing w:before="180" w:after="80" w:line="240" w:lineRule="auto"/>
        <w:rPr>
          <w:sz w:val="22"/>
        </w:rPr>
      </w:pPr>
      <w:r>
        <w:rPr>
          <w:sz w:val="22"/>
        </w:rPr>
        <w:t>Baselines and Metrics</w:t>
      </w:r>
    </w:p>
    <w:p w14:paraId="4A15BCBB">
      <w:pPr>
        <w:pStyle w:val="34"/>
        <w:numPr>
          <w:ilvl w:val="0"/>
          <w:numId w:val="0"/>
        </w:numPr>
        <w:spacing w:after="60" w:line="240" w:lineRule="auto"/>
        <w:ind w:left="0" w:firstLine="227"/>
        <w:jc w:val="left"/>
        <w:rPr>
          <w:sz w:val="18"/>
        </w:rPr>
      </w:pPr>
      <w:r>
        <w:rPr>
          <w:sz w:val="18"/>
        </w:rPr>
        <w:t>We compare CE-RAG with Naive RAG and Hybrid RAG. Naive RAG retrieves semantically similar text chunks and generates answers from the retrieved passages. Hybrid RAG combines dense retrieval with lightweight keyword or structural matching.</w:t>
      </w:r>
    </w:p>
    <w:p w14:paraId="3634A798">
      <w:pPr>
        <w:pStyle w:val="7"/>
        <w:spacing w:before="60" w:after="120" w:line="240" w:lineRule="auto"/>
        <w:ind w:firstLine="227"/>
        <w:jc w:val="center"/>
        <w:rPr>
          <w:rFonts w:ascii="Arial" w:hAnsi="Arial"/>
          <w:b w:val="0"/>
          <w:i/>
          <w:sz w:val="18"/>
        </w:rPr>
      </w:pPr>
      <w:r>
        <w:rPr>
          <w:rFonts w:ascii="Times New Roman" w:hAnsi="Times New Roman"/>
          <w:b w:val="0"/>
          <w:i/>
          <w:sz w:val="18"/>
        </w:rPr>
        <w:t xml:space="preserve">Table </w:t>
      </w:r>
      <w:r>
        <w:rPr>
          <w:rFonts w:ascii="Times New Roman" w:hAnsi="Times New Roman"/>
          <w:i/>
          <w:sz w:val="18"/>
        </w:rPr>
        <w:t>2.</w:t>
      </w:r>
      <w:r>
        <w:rPr>
          <w:rFonts w:ascii="Times New Roman" w:hAnsi="Times New Roman"/>
          <w:i/>
          <w:sz w:val="18"/>
        </w:rPr>
        <w:t xml:space="preserve"> Compared </w:t>
      </w:r>
      <w:r>
        <w:rPr>
          <w:rFonts w:ascii="Times New Roman" w:hAnsi="Times New Roman"/>
          <w:i/>
          <w:sz w:val="18"/>
        </w:rPr>
        <w:t>Methods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4980"/>
      </w:tblGrid>
      <w:tr w14:paraId="0CB0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auto" w:sz="4" w:space="0"/>
              <w:left w:val="nil"/>
              <w:bottom w:val="single" w:color="auto" w:sz="4" w:space="0"/>
              <w:right w:val="nil"/>
            </w:tcBorders>
            <w:vAlign w:val="center"/>
          </w:tcPr>
          <w:p w14:paraId="007D9E63">
            <w:pPr>
              <w:spacing w:after="120" w:line="240" w:lineRule="auto"/>
              <w:jc w:val="both"/>
              <w:rPr>
                <w:b/>
                <w:bCs/>
              </w:rPr>
            </w:pPr>
            <w:r>
              <w:rPr>
                <w:b/>
                <w:bCs/>
              </w:rPr>
              <w:t>Method</w:t>
            </w:r>
          </w:p>
        </w:tc>
        <w:tc>
          <w:tcPr>
            <w:tcW w:w="4980" w:type="dxa"/>
            <w:tcBorders>
              <w:top w:val="single" w:color="auto" w:sz="4" w:space="0"/>
              <w:left w:val="nil"/>
              <w:bottom w:val="single" w:color="auto" w:sz="4" w:space="0"/>
              <w:right w:val="nil"/>
            </w:tcBorders>
            <w:vAlign w:val="center"/>
          </w:tcPr>
          <w:p w14:paraId="6E31EF23">
            <w:pPr>
              <w:spacing w:line="240" w:lineRule="auto"/>
              <w:jc w:val="center"/>
              <w:rPr>
                <w:b/>
                <w:sz w:val="18"/>
              </w:rPr>
            </w:pPr>
            <w:r>
              <w:rPr>
                <w:b/>
                <w:sz w:val="18"/>
              </w:rPr>
              <w:t>Retrieval / Reasoning Strategy</w:t>
            </w:r>
          </w:p>
        </w:tc>
      </w:tr>
      <w:tr w14:paraId="28E7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auto" w:sz="4" w:space="0"/>
              <w:left w:val="nil"/>
              <w:bottom w:val="nil"/>
              <w:right w:val="nil"/>
            </w:tcBorders>
            <w:vAlign w:val="center"/>
          </w:tcPr>
          <w:p w14:paraId="5A055D92">
            <w:pPr>
              <w:spacing w:line="240" w:lineRule="auto"/>
              <w:jc w:val="center"/>
              <w:rPr>
                <w:sz w:val="18"/>
              </w:rPr>
            </w:pPr>
            <w:r>
              <w:rPr>
                <w:sz w:val="18"/>
              </w:rPr>
              <w:t>Naive RAG</w:t>
            </w:r>
          </w:p>
        </w:tc>
        <w:tc>
          <w:tcPr>
            <w:tcW w:w="4980" w:type="dxa"/>
            <w:tcBorders>
              <w:top w:val="single" w:color="auto" w:sz="4" w:space="0"/>
              <w:left w:val="nil"/>
              <w:bottom w:val="nil"/>
              <w:right w:val="nil"/>
            </w:tcBorders>
            <w:vAlign w:val="center"/>
          </w:tcPr>
          <w:p w14:paraId="1AE39C15">
            <w:pPr>
              <w:spacing w:line="240" w:lineRule="auto"/>
              <w:jc w:val="center"/>
              <w:rPr>
                <w:sz w:val="18"/>
              </w:rPr>
            </w:pPr>
            <w:r>
              <w:rPr>
                <w:sz w:val="18"/>
              </w:rPr>
              <w:t>Dense retrieval over text chunks</w:t>
            </w:r>
          </w:p>
        </w:tc>
      </w:tr>
      <w:tr w14:paraId="7FB2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nil"/>
              <w:left w:val="nil"/>
              <w:bottom w:val="nil"/>
              <w:right w:val="nil"/>
            </w:tcBorders>
            <w:vAlign w:val="center"/>
          </w:tcPr>
          <w:p w14:paraId="578AD038">
            <w:pPr>
              <w:spacing w:line="240" w:lineRule="auto"/>
              <w:jc w:val="center"/>
              <w:rPr>
                <w:sz w:val="18"/>
              </w:rPr>
            </w:pPr>
            <w:r>
              <w:rPr>
                <w:sz w:val="18"/>
              </w:rPr>
              <w:t>Hybrid RAG</w:t>
            </w:r>
          </w:p>
        </w:tc>
        <w:tc>
          <w:tcPr>
            <w:tcW w:w="4980" w:type="dxa"/>
            <w:tcBorders>
              <w:top w:val="nil"/>
              <w:left w:val="nil"/>
              <w:bottom w:val="nil"/>
              <w:right w:val="nil"/>
            </w:tcBorders>
            <w:vAlign w:val="center"/>
          </w:tcPr>
          <w:p w14:paraId="0362C87E">
            <w:pPr>
              <w:spacing w:line="240" w:lineRule="auto"/>
              <w:jc w:val="center"/>
              <w:rPr>
                <w:sz w:val="18"/>
              </w:rPr>
            </w:pPr>
            <w:r>
              <w:rPr>
                <w:sz w:val="18"/>
              </w:rPr>
              <w:t>Dense retrieval plus keyword or structural matching</w:t>
            </w:r>
          </w:p>
        </w:tc>
      </w:tr>
      <w:tr w14:paraId="7296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nil"/>
              <w:left w:val="nil"/>
              <w:bottom w:val="single" w:color="auto" w:sz="4" w:space="0"/>
              <w:right w:val="nil"/>
            </w:tcBorders>
            <w:vAlign w:val="center"/>
          </w:tcPr>
          <w:p w14:paraId="73CAB315">
            <w:pPr>
              <w:spacing w:line="240" w:lineRule="auto"/>
              <w:jc w:val="center"/>
              <w:rPr>
                <w:sz w:val="18"/>
              </w:rPr>
            </w:pPr>
            <w:r>
              <w:rPr>
                <w:sz w:val="18"/>
              </w:rPr>
              <w:t>CE-RAG</w:t>
            </w:r>
          </w:p>
        </w:tc>
        <w:tc>
          <w:tcPr>
            <w:tcW w:w="4980" w:type="dxa"/>
            <w:tcBorders>
              <w:top w:val="nil"/>
              <w:left w:val="nil"/>
              <w:bottom w:val="single" w:color="auto" w:sz="4" w:space="0"/>
              <w:right w:val="nil"/>
            </w:tcBorders>
            <w:vAlign w:val="center"/>
          </w:tcPr>
          <w:p w14:paraId="42452B2F">
            <w:pPr>
              <w:spacing w:line="240" w:lineRule="auto"/>
              <w:jc w:val="center"/>
              <w:rPr>
                <w:sz w:val="18"/>
              </w:rPr>
            </w:pPr>
            <w:r>
              <w:rPr>
                <w:sz w:val="18"/>
              </w:rPr>
              <w:t>Scholarly object graph, reasoning-chain retrieval, sufficiency estimation, and verification</w:t>
            </w:r>
          </w:p>
        </w:tc>
      </w:tr>
    </w:tbl>
    <w:p w14:paraId="121EC764">
      <w:pPr>
        <w:pStyle w:val="34"/>
        <w:numPr>
          <w:ilvl w:val="0"/>
          <w:numId w:val="0"/>
        </w:numPr>
        <w:spacing w:after="120" w:line="240" w:lineRule="auto"/>
        <w:ind w:left="0" w:firstLine="227"/>
        <w:rPr>
          <w:rFonts w:eastAsia="宋体"/>
          <w:sz w:val="20"/>
          <w:lang w:eastAsia="zh-CN"/>
        </w:rPr>
      </w:pPr>
    </w:p>
    <w:p w14:paraId="54D42CA8">
      <w:pPr>
        <w:pStyle w:val="34"/>
        <w:numPr>
          <w:ilvl w:val="0"/>
          <w:numId w:val="0"/>
        </w:numPr>
        <w:spacing w:after="60" w:line="240" w:lineRule="auto"/>
        <w:ind w:left="0" w:firstLine="227"/>
        <w:jc w:val="left"/>
        <w:rPr>
          <w:sz w:val="18"/>
        </w:rPr>
      </w:pPr>
      <w:r>
        <w:rPr>
          <w:sz w:val="18"/>
        </w:rPr>
        <w:t xml:space="preserve">Scientific paper QA should be evaluated </w:t>
      </w:r>
      <w:r>
        <w:rPr>
          <w:lang w:eastAsia="zh-CN"/>
        </w:rPr>
        <w:t>in terms of</w:t>
      </w:r>
      <w:r>
        <w:rPr>
          <w:sz w:val="18"/>
        </w:rPr>
        <w:t xml:space="preserve"> both answer quality and evidence reliability. We use </w:t>
      </w:r>
      <w:r>
        <w:rPr>
          <w:lang w:eastAsia="zh-CN"/>
        </w:rPr>
        <w:t>answerability accuracy</w:t>
      </w:r>
      <w:r>
        <w:rPr>
          <w:sz w:val="18"/>
        </w:rPr>
        <w:t xml:space="preserve">, correctness, faithfulness, evidence coverage, and </w:t>
      </w:r>
      <w:r>
        <w:rPr>
          <w:lang w:eastAsia="zh-CN"/>
        </w:rPr>
        <w:t>average latency.</w:t>
      </w:r>
      <w:r>
        <w:rPr>
          <w:sz w:val="18"/>
        </w:rPr>
        <w:t xml:space="preserve"> Most metrics are scored on a 1-5 scale</w:t>
      </w:r>
      <w:r>
        <w:rPr>
          <w:lang w:eastAsia="zh-CN"/>
        </w:rPr>
        <w:t>. Details</w:t>
      </w:r>
      <w:r>
        <w:rPr>
          <w:sz w:val="18"/>
        </w:rPr>
        <w:t xml:space="preserve"> are shown in Table 3</w:t>
      </w:r>
      <w:r>
        <w:rPr>
          <w:lang w:eastAsia="zh-CN"/>
        </w:rPr>
        <w:t>, and final</w:t>
      </w:r>
      <w:r>
        <w:rPr>
          <w:sz w:val="18"/>
        </w:rPr>
        <w:t xml:space="preserve"> scores are averaged over </w:t>
      </w:r>
      <w:r>
        <w:rPr>
          <w:lang w:eastAsia="zh-CN"/>
        </w:rPr>
        <w:t xml:space="preserve">the </w:t>
      </w:r>
      <w:r>
        <w:rPr>
          <w:sz w:val="18"/>
        </w:rPr>
        <w:t>evaluated samples.</w:t>
      </w:r>
    </w:p>
    <w:p w14:paraId="2813F10A">
      <w:pPr>
        <w:pStyle w:val="7"/>
        <w:spacing w:before="60" w:after="120" w:line="240" w:lineRule="auto"/>
        <w:ind w:firstLine="227"/>
        <w:jc w:val="center"/>
        <w:rPr>
          <w:rFonts w:ascii="Arial" w:hAnsi="Arial"/>
          <w:i/>
          <w:sz w:val="18"/>
        </w:rPr>
      </w:pPr>
      <w:r>
        <w:rPr>
          <w:rFonts w:ascii="Times New Roman" w:hAnsi="Times New Roman"/>
          <w:b w:val="0"/>
          <w:i/>
          <w:sz w:val="18"/>
        </w:rPr>
        <w:t xml:space="preserve">Table 3. </w:t>
      </w:r>
      <w:r>
        <w:rPr>
          <w:rFonts w:ascii="Times New Roman" w:hAnsi="Times New Roman"/>
          <w:i/>
          <w:sz w:val="18"/>
        </w:rPr>
        <w:t>Evaluation Metrics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261"/>
        <w:gridCol w:w="3868"/>
      </w:tblGrid>
      <w:tr w14:paraId="7BC7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single" w:color="auto" w:sz="4" w:space="0"/>
              <w:left w:val="nil"/>
              <w:bottom w:val="single" w:color="auto" w:sz="4" w:space="0"/>
              <w:right w:val="nil"/>
            </w:tcBorders>
            <w:vAlign w:val="center"/>
          </w:tcPr>
          <w:p w14:paraId="5FEFF99F">
            <w:pPr>
              <w:spacing w:after="120" w:line="240" w:lineRule="auto"/>
              <w:ind w:firstLine="0"/>
              <w:jc w:val="both"/>
              <w:rPr>
                <w:b/>
                <w:bCs/>
              </w:rPr>
            </w:pPr>
            <w:r>
              <w:rPr>
                <w:b/>
                <w:bCs/>
              </w:rPr>
              <w:t>Metric</w:t>
            </w:r>
          </w:p>
        </w:tc>
        <w:tc>
          <w:tcPr>
            <w:tcW w:w="1261" w:type="dxa"/>
            <w:tcBorders>
              <w:top w:val="single" w:color="auto" w:sz="4" w:space="0"/>
              <w:left w:val="nil"/>
              <w:bottom w:val="single" w:color="auto" w:sz="4" w:space="0"/>
              <w:right w:val="nil"/>
            </w:tcBorders>
            <w:vAlign w:val="center"/>
          </w:tcPr>
          <w:p w14:paraId="144838A2">
            <w:pPr>
              <w:spacing w:line="240" w:lineRule="auto"/>
              <w:ind w:firstLine="0"/>
              <w:jc w:val="center"/>
              <w:rPr>
                <w:b/>
                <w:sz w:val="18"/>
              </w:rPr>
            </w:pPr>
            <w:r>
              <w:rPr>
                <w:b/>
                <w:sz w:val="18"/>
              </w:rPr>
              <w:t>Range</w:t>
            </w:r>
          </w:p>
        </w:tc>
        <w:tc>
          <w:tcPr>
            <w:tcW w:w="3868" w:type="dxa"/>
            <w:tcBorders>
              <w:top w:val="single" w:color="auto" w:sz="4" w:space="0"/>
              <w:left w:val="nil"/>
              <w:bottom w:val="single" w:color="auto" w:sz="4" w:space="0"/>
              <w:right w:val="nil"/>
            </w:tcBorders>
            <w:vAlign w:val="center"/>
          </w:tcPr>
          <w:p w14:paraId="31B15999">
            <w:pPr>
              <w:spacing w:line="240" w:lineRule="auto"/>
              <w:ind w:firstLine="0"/>
              <w:jc w:val="center"/>
              <w:rPr>
                <w:b/>
                <w:sz w:val="18"/>
              </w:rPr>
            </w:pPr>
            <w:r>
              <w:rPr>
                <w:b/>
                <w:sz w:val="18"/>
              </w:rPr>
              <w:t>Description</w:t>
            </w:r>
          </w:p>
        </w:tc>
      </w:tr>
      <w:tr w14:paraId="2B5F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single" w:color="auto" w:sz="4" w:space="0"/>
              <w:left w:val="nil"/>
              <w:bottom w:val="nil"/>
              <w:right w:val="nil"/>
            </w:tcBorders>
            <w:vAlign w:val="center"/>
          </w:tcPr>
          <w:p w14:paraId="1D305439">
            <w:pPr>
              <w:spacing w:line="240" w:lineRule="auto"/>
              <w:ind w:firstLine="0"/>
              <w:jc w:val="center"/>
              <w:rPr>
                <w:sz w:val="18"/>
              </w:rPr>
            </w:pPr>
            <w:r>
              <w:rPr>
                <w:sz w:val="18"/>
              </w:rPr>
              <w:t>Answerability Accuracy</w:t>
            </w:r>
          </w:p>
        </w:tc>
        <w:tc>
          <w:tcPr>
            <w:tcW w:w="1261" w:type="dxa"/>
            <w:tcBorders>
              <w:top w:val="single" w:color="auto" w:sz="4" w:space="0"/>
              <w:left w:val="nil"/>
              <w:bottom w:val="nil"/>
              <w:right w:val="nil"/>
            </w:tcBorders>
            <w:vAlign w:val="center"/>
          </w:tcPr>
          <w:p w14:paraId="621BDB0F">
            <w:pPr>
              <w:spacing w:line="240" w:lineRule="auto"/>
              <w:ind w:firstLine="0"/>
              <w:jc w:val="center"/>
              <w:rPr>
                <w:sz w:val="18"/>
              </w:rPr>
            </w:pPr>
            <w:r>
              <w:rPr>
                <w:sz w:val="18"/>
              </w:rPr>
              <w:t>0–1</w:t>
            </w:r>
          </w:p>
        </w:tc>
        <w:tc>
          <w:tcPr>
            <w:tcW w:w="3868" w:type="dxa"/>
            <w:tcBorders>
              <w:top w:val="single" w:color="auto" w:sz="4" w:space="0"/>
              <w:left w:val="nil"/>
              <w:bottom w:val="nil"/>
              <w:right w:val="nil"/>
            </w:tcBorders>
            <w:vAlign w:val="center"/>
          </w:tcPr>
          <w:p w14:paraId="61AFABCF">
            <w:pPr>
              <w:spacing w:line="240" w:lineRule="auto"/>
              <w:ind w:firstLine="0"/>
              <w:jc w:val="center"/>
              <w:rPr>
                <w:sz w:val="18"/>
              </w:rPr>
            </w:pPr>
            <w:r>
              <w:rPr>
                <w:sz w:val="18"/>
              </w:rPr>
              <w:t>Whether the system correctly predicts if the question is answerable from the paper.</w:t>
            </w:r>
          </w:p>
        </w:tc>
      </w:tr>
      <w:tr w14:paraId="43A6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nil"/>
              <w:left w:val="nil"/>
              <w:bottom w:val="nil"/>
              <w:right w:val="nil"/>
            </w:tcBorders>
            <w:vAlign w:val="center"/>
          </w:tcPr>
          <w:p w14:paraId="7821C1D5">
            <w:pPr>
              <w:spacing w:line="240" w:lineRule="auto"/>
              <w:ind w:firstLine="0"/>
              <w:jc w:val="center"/>
              <w:rPr>
                <w:sz w:val="18"/>
              </w:rPr>
            </w:pPr>
            <w:r>
              <w:rPr>
                <w:sz w:val="18"/>
              </w:rPr>
              <w:t>Correctness</w:t>
            </w:r>
          </w:p>
        </w:tc>
        <w:tc>
          <w:tcPr>
            <w:tcW w:w="1261" w:type="dxa"/>
            <w:tcBorders>
              <w:top w:val="nil"/>
              <w:left w:val="nil"/>
              <w:bottom w:val="nil"/>
              <w:right w:val="nil"/>
            </w:tcBorders>
            <w:vAlign w:val="center"/>
          </w:tcPr>
          <w:p w14:paraId="42160E93">
            <w:pPr>
              <w:spacing w:line="240" w:lineRule="auto"/>
              <w:ind w:firstLine="0"/>
              <w:jc w:val="center"/>
              <w:rPr>
                <w:sz w:val="18"/>
              </w:rPr>
            </w:pPr>
            <w:r>
              <w:rPr>
                <w:sz w:val="18"/>
              </w:rPr>
              <w:t>1-5</w:t>
            </w:r>
          </w:p>
        </w:tc>
        <w:tc>
          <w:tcPr>
            <w:tcW w:w="3868" w:type="dxa"/>
            <w:tcBorders>
              <w:top w:val="nil"/>
              <w:left w:val="nil"/>
              <w:bottom w:val="nil"/>
              <w:right w:val="nil"/>
            </w:tcBorders>
            <w:vAlign w:val="center"/>
          </w:tcPr>
          <w:p w14:paraId="633A0387">
            <w:pPr>
              <w:spacing w:line="240" w:lineRule="auto"/>
              <w:ind w:firstLine="0"/>
              <w:jc w:val="center"/>
              <w:rPr>
                <w:sz w:val="18"/>
              </w:rPr>
            </w:pPr>
            <w:r>
              <w:rPr>
                <w:sz w:val="18"/>
              </w:rPr>
              <w:t>Whether the answer correctly addresses the question.</w:t>
            </w:r>
          </w:p>
        </w:tc>
      </w:tr>
      <w:tr w14:paraId="773E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nil"/>
              <w:left w:val="nil"/>
              <w:bottom w:val="nil"/>
              <w:right w:val="nil"/>
            </w:tcBorders>
            <w:vAlign w:val="center"/>
          </w:tcPr>
          <w:p w14:paraId="5C3E489F">
            <w:pPr>
              <w:spacing w:line="240" w:lineRule="auto"/>
              <w:ind w:firstLine="0"/>
              <w:jc w:val="center"/>
              <w:rPr>
                <w:sz w:val="18"/>
              </w:rPr>
            </w:pPr>
            <w:r>
              <w:rPr>
                <w:sz w:val="18"/>
              </w:rPr>
              <w:t>Faithfulness</w:t>
            </w:r>
          </w:p>
        </w:tc>
        <w:tc>
          <w:tcPr>
            <w:tcW w:w="1261" w:type="dxa"/>
            <w:tcBorders>
              <w:top w:val="nil"/>
              <w:left w:val="nil"/>
              <w:bottom w:val="nil"/>
              <w:right w:val="nil"/>
            </w:tcBorders>
            <w:vAlign w:val="center"/>
          </w:tcPr>
          <w:p w14:paraId="5C74E110">
            <w:pPr>
              <w:spacing w:line="240" w:lineRule="auto"/>
              <w:ind w:firstLine="0"/>
              <w:jc w:val="center"/>
              <w:rPr>
                <w:sz w:val="18"/>
              </w:rPr>
            </w:pPr>
            <w:r>
              <w:rPr>
                <w:sz w:val="18"/>
              </w:rPr>
              <w:t>1-5</w:t>
            </w:r>
          </w:p>
        </w:tc>
        <w:tc>
          <w:tcPr>
            <w:tcW w:w="3868" w:type="dxa"/>
            <w:tcBorders>
              <w:top w:val="nil"/>
              <w:left w:val="nil"/>
              <w:bottom w:val="nil"/>
              <w:right w:val="nil"/>
            </w:tcBorders>
            <w:vAlign w:val="center"/>
          </w:tcPr>
          <w:p w14:paraId="0AEB12D5">
            <w:pPr>
              <w:spacing w:line="240" w:lineRule="auto"/>
              <w:ind w:firstLine="0"/>
              <w:jc w:val="center"/>
              <w:rPr>
                <w:sz w:val="18"/>
              </w:rPr>
            </w:pPr>
            <w:r>
              <w:rPr>
                <w:sz w:val="18"/>
              </w:rPr>
              <w:t>Whether the answer is supported by the evidence.</w:t>
            </w:r>
          </w:p>
        </w:tc>
      </w:tr>
      <w:tr w14:paraId="4F78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nil"/>
              <w:left w:val="nil"/>
              <w:bottom w:val="nil"/>
              <w:right w:val="nil"/>
            </w:tcBorders>
            <w:vAlign w:val="center"/>
          </w:tcPr>
          <w:p w14:paraId="29DFA6A2">
            <w:pPr>
              <w:spacing w:line="240" w:lineRule="auto"/>
              <w:ind w:firstLine="0"/>
              <w:jc w:val="center"/>
              <w:rPr>
                <w:sz w:val="18"/>
              </w:rPr>
            </w:pPr>
            <w:r>
              <w:rPr>
                <w:sz w:val="18"/>
              </w:rPr>
              <w:t>Evidence Coverage</w:t>
            </w:r>
          </w:p>
        </w:tc>
        <w:tc>
          <w:tcPr>
            <w:tcW w:w="1261" w:type="dxa"/>
            <w:tcBorders>
              <w:top w:val="nil"/>
              <w:left w:val="nil"/>
              <w:bottom w:val="nil"/>
              <w:right w:val="nil"/>
            </w:tcBorders>
            <w:vAlign w:val="center"/>
          </w:tcPr>
          <w:p w14:paraId="04085EF6">
            <w:pPr>
              <w:spacing w:line="240" w:lineRule="auto"/>
              <w:ind w:firstLine="0"/>
              <w:jc w:val="center"/>
              <w:rPr>
                <w:sz w:val="18"/>
              </w:rPr>
            </w:pPr>
            <w:r>
              <w:rPr>
                <w:sz w:val="18"/>
              </w:rPr>
              <w:t>1-5</w:t>
            </w:r>
          </w:p>
        </w:tc>
        <w:tc>
          <w:tcPr>
            <w:tcW w:w="3868" w:type="dxa"/>
            <w:tcBorders>
              <w:top w:val="nil"/>
              <w:left w:val="nil"/>
              <w:bottom w:val="nil"/>
              <w:right w:val="nil"/>
            </w:tcBorders>
            <w:vAlign w:val="center"/>
          </w:tcPr>
          <w:p w14:paraId="502FA921">
            <w:pPr>
              <w:spacing w:line="240" w:lineRule="auto"/>
              <w:ind w:firstLine="0"/>
              <w:jc w:val="center"/>
              <w:rPr>
                <w:sz w:val="18"/>
              </w:rPr>
            </w:pPr>
            <w:r>
              <w:rPr>
                <w:sz w:val="18"/>
              </w:rPr>
              <w:t>Whether the evidence covers key supporting information.</w:t>
            </w:r>
          </w:p>
        </w:tc>
      </w:tr>
      <w:tr w14:paraId="0185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9" w:type="dxa"/>
            <w:tcBorders>
              <w:top w:val="nil"/>
              <w:left w:val="nil"/>
              <w:bottom w:val="single" w:color="auto" w:sz="4" w:space="0"/>
              <w:right w:val="nil"/>
            </w:tcBorders>
            <w:vAlign w:val="center"/>
          </w:tcPr>
          <w:p w14:paraId="541AE27A">
            <w:pPr>
              <w:spacing w:line="240" w:lineRule="auto"/>
              <w:ind w:firstLine="0"/>
              <w:jc w:val="center"/>
              <w:rPr>
                <w:sz w:val="18"/>
              </w:rPr>
            </w:pPr>
            <w:r>
              <w:rPr>
                <w:sz w:val="18"/>
              </w:rPr>
              <w:t>Avg. Latency</w:t>
            </w:r>
          </w:p>
        </w:tc>
        <w:tc>
          <w:tcPr>
            <w:tcW w:w="1261" w:type="dxa"/>
            <w:tcBorders>
              <w:top w:val="nil"/>
              <w:left w:val="nil"/>
              <w:bottom w:val="single" w:color="auto" w:sz="4" w:space="0"/>
              <w:right w:val="nil"/>
            </w:tcBorders>
            <w:vAlign w:val="center"/>
          </w:tcPr>
          <w:p w14:paraId="266F38B7">
            <w:pPr>
              <w:spacing w:line="240" w:lineRule="auto"/>
              <w:ind w:firstLine="0"/>
              <w:jc w:val="center"/>
              <w:rPr>
                <w:sz w:val="18"/>
              </w:rPr>
            </w:pPr>
            <w:r>
              <w:rPr>
                <w:sz w:val="18"/>
              </w:rPr>
              <w:t>seconds</w:t>
            </w:r>
          </w:p>
        </w:tc>
        <w:tc>
          <w:tcPr>
            <w:tcW w:w="3868" w:type="dxa"/>
            <w:tcBorders>
              <w:top w:val="nil"/>
              <w:left w:val="nil"/>
              <w:bottom w:val="single" w:color="auto" w:sz="4" w:space="0"/>
              <w:right w:val="nil"/>
            </w:tcBorders>
            <w:vAlign w:val="center"/>
          </w:tcPr>
          <w:p w14:paraId="13DF8885">
            <w:pPr>
              <w:spacing w:line="240" w:lineRule="auto"/>
              <w:ind w:firstLine="0"/>
              <w:jc w:val="center"/>
              <w:rPr>
                <w:sz w:val="18"/>
              </w:rPr>
            </w:pPr>
            <w:r>
              <w:rPr>
                <w:sz w:val="18"/>
              </w:rPr>
              <w:t>Average runtime per question.</w:t>
            </w:r>
          </w:p>
        </w:tc>
      </w:tr>
    </w:tbl>
    <w:p w14:paraId="676E0712">
      <w:pPr>
        <w:pStyle w:val="34"/>
        <w:numPr>
          <w:ilvl w:val="0"/>
          <w:numId w:val="0"/>
        </w:numPr>
        <w:spacing w:after="120" w:line="240" w:lineRule="auto"/>
        <w:ind w:left="0" w:firstLine="227"/>
        <w:rPr>
          <w:sz w:val="20"/>
          <w:lang w:eastAsia="zh-CN"/>
        </w:rPr>
      </w:pPr>
    </w:p>
    <w:p w14:paraId="03123834">
      <w:pPr>
        <w:pStyle w:val="34"/>
        <w:numPr>
          <w:ilvl w:val="0"/>
          <w:numId w:val="0"/>
        </w:numPr>
        <w:spacing w:after="120" w:line="240" w:lineRule="auto"/>
        <w:ind w:left="0" w:firstLine="227"/>
        <w:rPr>
          <w:sz w:val="20"/>
          <w:lang w:eastAsia="zh-CN"/>
        </w:rPr>
      </w:pPr>
    </w:p>
    <w:p w14:paraId="6D02C8BA">
      <w:pPr>
        <w:pStyle w:val="26"/>
        <w:spacing w:before="180" w:after="80" w:line="240" w:lineRule="auto"/>
        <w:rPr>
          <w:sz w:val="22"/>
        </w:rPr>
      </w:pPr>
      <w:r>
        <w:rPr>
          <w:sz w:val="22"/>
        </w:rPr>
        <w:t>Main Results</w:t>
      </w:r>
    </w:p>
    <w:p w14:paraId="3FB44169">
      <w:pPr>
        <w:pStyle w:val="34"/>
        <w:numPr>
          <w:ilvl w:val="0"/>
          <w:numId w:val="0"/>
        </w:numPr>
        <w:spacing w:after="60" w:line="240" w:lineRule="auto"/>
        <w:ind w:left="0" w:firstLine="227"/>
        <w:jc w:val="left"/>
        <w:rPr>
          <w:sz w:val="18"/>
        </w:rPr>
      </w:pPr>
      <w:r>
        <w:rPr>
          <w:sz w:val="18"/>
        </w:rPr>
        <w:t xml:space="preserve">Table 4 shows the main results. CE-RAG achieves the highest overall answerability accuracy among the compared methods. Although CE-RAG has higher latency because it performs graph-based retrieval, sufficiency estimation, and answer verification, the additional computation improves </w:t>
      </w:r>
      <w:r>
        <w:rPr>
          <w:lang w:eastAsia="zh-CN"/>
        </w:rPr>
        <w:t xml:space="preserve">the </w:t>
      </w:r>
      <w:r>
        <w:rPr>
          <w:sz w:val="18"/>
        </w:rPr>
        <w:t xml:space="preserve">reliability </w:t>
      </w:r>
      <w:r>
        <w:rPr>
          <w:lang w:eastAsia="zh-CN"/>
        </w:rPr>
        <w:t>of</w:t>
      </w:r>
      <w:r>
        <w:rPr>
          <w:sz w:val="18"/>
        </w:rPr>
        <w:t xml:space="preserve"> deciding whether a question should be answered.</w:t>
      </w:r>
    </w:p>
    <w:p w14:paraId="323921A7">
      <w:pPr>
        <w:pStyle w:val="7"/>
        <w:spacing w:before="60" w:after="120" w:line="240" w:lineRule="auto"/>
        <w:ind w:firstLine="227"/>
        <w:jc w:val="center"/>
        <w:rPr>
          <w:rFonts w:ascii="Arial" w:hAnsi="Arial"/>
          <w:i/>
          <w:sz w:val="18"/>
        </w:rPr>
      </w:pPr>
      <w:r>
        <w:rPr>
          <w:rFonts w:ascii="Times New Roman" w:hAnsi="Times New Roman"/>
          <w:b w:val="0"/>
          <w:i/>
          <w:sz w:val="18"/>
        </w:rPr>
        <w:t xml:space="preserve">Table 4. </w:t>
      </w:r>
      <w:r>
        <w:rPr>
          <w:rFonts w:ascii="Times New Roman" w:hAnsi="Times New Roman"/>
          <w:i/>
          <w:sz w:val="18"/>
        </w:rPr>
        <w:t xml:space="preserve">Main </w:t>
      </w:r>
      <w:r>
        <w:rPr>
          <w:rFonts w:ascii="Times New Roman" w:hAnsi="Times New Roman"/>
          <w:i/>
          <w:sz w:val="18"/>
        </w:rPr>
        <w:t>Answerability Results</w:t>
      </w:r>
    </w:p>
    <w:tbl>
      <w:tblPr>
        <w:tblStyle w:val="12"/>
        <w:tblW w:w="49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8"/>
        <w:gridCol w:w="1186"/>
        <w:gridCol w:w="1072"/>
        <w:gridCol w:w="1196"/>
        <w:gridCol w:w="1401"/>
        <w:gridCol w:w="1025"/>
      </w:tblGrid>
      <w:tr w14:paraId="598C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4" w:type="dxa"/>
            <w:tcBorders>
              <w:top w:val="single" w:color="auto" w:sz="4" w:space="0"/>
              <w:left w:val="nil"/>
              <w:bottom w:val="single" w:color="auto" w:sz="4" w:space="0"/>
              <w:right w:val="nil"/>
            </w:tcBorders>
            <w:vAlign w:val="center"/>
          </w:tcPr>
          <w:p w14:paraId="71632EB3">
            <w:pPr>
              <w:spacing w:after="120" w:line="240" w:lineRule="auto"/>
              <w:ind w:firstLine="0"/>
              <w:jc w:val="both"/>
              <w:rPr>
                <w:b/>
                <w:sz w:val="21"/>
              </w:rPr>
            </w:pPr>
            <w:r>
              <w:rPr>
                <w:b/>
                <w:sz w:val="21"/>
              </w:rPr>
              <w:t>Method</w:t>
            </w:r>
          </w:p>
        </w:tc>
        <w:tc>
          <w:tcPr>
            <w:tcW w:w="1150" w:type="dxa"/>
            <w:tcBorders>
              <w:top w:val="single" w:color="auto" w:sz="4" w:space="0"/>
              <w:left w:val="nil"/>
              <w:bottom w:val="single" w:color="auto" w:sz="4" w:space="0"/>
              <w:right w:val="nil"/>
            </w:tcBorders>
            <w:vAlign w:val="center"/>
          </w:tcPr>
          <w:p w14:paraId="05036C9C">
            <w:pPr>
              <w:spacing w:line="240" w:lineRule="auto"/>
              <w:ind w:firstLine="0"/>
              <w:jc w:val="center"/>
              <w:rPr>
                <w:b/>
                <w:sz w:val="18"/>
              </w:rPr>
            </w:pPr>
            <w:r>
              <w:rPr>
                <w:b/>
                <w:sz w:val="18"/>
              </w:rPr>
              <w:t>Answer Acc.</w:t>
            </w:r>
          </w:p>
        </w:tc>
        <w:tc>
          <w:tcPr>
            <w:tcW w:w="1040" w:type="dxa"/>
            <w:tcBorders>
              <w:top w:val="single" w:color="auto" w:sz="4" w:space="0"/>
              <w:left w:val="nil"/>
              <w:bottom w:val="single" w:color="auto" w:sz="4" w:space="0"/>
              <w:right w:val="nil"/>
            </w:tcBorders>
            <w:vAlign w:val="center"/>
          </w:tcPr>
          <w:p w14:paraId="6F6A5F95">
            <w:pPr>
              <w:spacing w:line="240" w:lineRule="auto"/>
              <w:ind w:firstLine="0"/>
              <w:jc w:val="center"/>
              <w:rPr>
                <w:b/>
                <w:sz w:val="18"/>
              </w:rPr>
            </w:pPr>
            <w:r>
              <w:rPr>
                <w:b/>
                <w:sz w:val="18"/>
              </w:rPr>
              <w:t>Correctness</w:t>
            </w:r>
          </w:p>
        </w:tc>
        <w:tc>
          <w:tcPr>
            <w:tcW w:w="1160" w:type="dxa"/>
            <w:tcBorders>
              <w:top w:val="single" w:color="auto" w:sz="4" w:space="0"/>
              <w:left w:val="nil"/>
              <w:bottom w:val="single" w:color="auto" w:sz="4" w:space="0"/>
              <w:right w:val="nil"/>
            </w:tcBorders>
            <w:vAlign w:val="center"/>
          </w:tcPr>
          <w:p w14:paraId="5EE1B8D5">
            <w:pPr>
              <w:spacing w:line="240" w:lineRule="auto"/>
              <w:ind w:firstLine="0"/>
              <w:jc w:val="center"/>
              <w:rPr>
                <w:b/>
                <w:sz w:val="18"/>
              </w:rPr>
            </w:pPr>
            <w:r>
              <w:rPr>
                <w:b/>
                <w:sz w:val="18"/>
              </w:rPr>
              <w:t>Faithfulness</w:t>
            </w:r>
          </w:p>
        </w:tc>
        <w:tc>
          <w:tcPr>
            <w:tcW w:w="1359" w:type="dxa"/>
            <w:tcBorders>
              <w:top w:val="single" w:color="auto" w:sz="4" w:space="0"/>
              <w:left w:val="nil"/>
              <w:bottom w:val="single" w:color="auto" w:sz="4" w:space="0"/>
              <w:right w:val="nil"/>
            </w:tcBorders>
            <w:vAlign w:val="center"/>
          </w:tcPr>
          <w:p w14:paraId="147CBE30">
            <w:pPr>
              <w:spacing w:line="240" w:lineRule="auto"/>
              <w:ind w:firstLine="0"/>
              <w:jc w:val="center"/>
              <w:rPr>
                <w:b/>
                <w:sz w:val="18"/>
              </w:rPr>
            </w:pPr>
            <w:r>
              <w:rPr>
                <w:b/>
                <w:sz w:val="18"/>
              </w:rPr>
              <w:t>Evidence Coverage</w:t>
            </w:r>
          </w:p>
        </w:tc>
        <w:tc>
          <w:tcPr>
            <w:tcW w:w="994" w:type="dxa"/>
            <w:tcBorders>
              <w:top w:val="single" w:color="auto" w:sz="4" w:space="0"/>
              <w:left w:val="nil"/>
              <w:bottom w:val="single" w:color="auto" w:sz="4" w:space="0"/>
              <w:right w:val="nil"/>
            </w:tcBorders>
            <w:vAlign w:val="center"/>
          </w:tcPr>
          <w:p w14:paraId="1099061E">
            <w:pPr>
              <w:spacing w:line="240" w:lineRule="auto"/>
              <w:ind w:firstLine="0"/>
              <w:jc w:val="center"/>
              <w:rPr>
                <w:b/>
                <w:sz w:val="18"/>
              </w:rPr>
            </w:pPr>
            <w:r>
              <w:rPr>
                <w:b/>
                <w:sz w:val="18"/>
              </w:rPr>
              <w:t>Avg. Latency</w:t>
            </w:r>
          </w:p>
        </w:tc>
      </w:tr>
      <w:tr w14:paraId="7820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4" w:type="dxa"/>
            <w:tcBorders>
              <w:top w:val="single" w:color="auto" w:sz="4" w:space="0"/>
              <w:left w:val="nil"/>
              <w:bottom w:val="nil"/>
              <w:right w:val="nil"/>
            </w:tcBorders>
            <w:vAlign w:val="center"/>
          </w:tcPr>
          <w:p w14:paraId="77C1E6E8">
            <w:pPr>
              <w:spacing w:line="240" w:lineRule="auto"/>
              <w:ind w:firstLine="0"/>
              <w:jc w:val="center"/>
              <w:rPr>
                <w:sz w:val="18"/>
              </w:rPr>
            </w:pPr>
            <w:r>
              <w:rPr>
                <w:sz w:val="18"/>
              </w:rPr>
              <w:t>Naive RAG</w:t>
            </w:r>
          </w:p>
        </w:tc>
        <w:tc>
          <w:tcPr>
            <w:tcW w:w="1150" w:type="dxa"/>
            <w:tcBorders>
              <w:top w:val="single" w:color="auto" w:sz="4" w:space="0"/>
              <w:left w:val="nil"/>
              <w:bottom w:val="nil"/>
              <w:right w:val="nil"/>
            </w:tcBorders>
            <w:vAlign w:val="center"/>
          </w:tcPr>
          <w:p w14:paraId="64C45BC6">
            <w:pPr>
              <w:spacing w:line="240" w:lineRule="auto"/>
              <w:ind w:firstLine="0"/>
              <w:jc w:val="center"/>
              <w:rPr>
                <w:sz w:val="18"/>
              </w:rPr>
            </w:pPr>
            <w:r>
              <w:rPr>
                <w:sz w:val="18"/>
              </w:rPr>
              <w:t>0.557</w:t>
            </w:r>
          </w:p>
        </w:tc>
        <w:tc>
          <w:tcPr>
            <w:tcW w:w="1040" w:type="dxa"/>
            <w:tcBorders>
              <w:top w:val="single" w:color="auto" w:sz="4" w:space="0"/>
              <w:left w:val="nil"/>
              <w:bottom w:val="nil"/>
              <w:right w:val="nil"/>
            </w:tcBorders>
            <w:vAlign w:val="center"/>
          </w:tcPr>
          <w:p w14:paraId="5C01A0C1">
            <w:pPr>
              <w:spacing w:line="240" w:lineRule="auto"/>
              <w:ind w:firstLine="0"/>
              <w:jc w:val="center"/>
              <w:rPr>
                <w:sz w:val="18"/>
              </w:rPr>
            </w:pPr>
            <w:r>
              <w:rPr>
                <w:sz w:val="18"/>
              </w:rPr>
              <w:t>2.116</w:t>
            </w:r>
          </w:p>
        </w:tc>
        <w:tc>
          <w:tcPr>
            <w:tcW w:w="1160" w:type="dxa"/>
            <w:tcBorders>
              <w:top w:val="single" w:color="auto" w:sz="4" w:space="0"/>
              <w:left w:val="nil"/>
              <w:bottom w:val="nil"/>
              <w:right w:val="nil"/>
            </w:tcBorders>
            <w:vAlign w:val="center"/>
          </w:tcPr>
          <w:p w14:paraId="4581068C">
            <w:pPr>
              <w:spacing w:line="240" w:lineRule="auto"/>
              <w:ind w:firstLine="0"/>
              <w:jc w:val="center"/>
              <w:rPr>
                <w:sz w:val="18"/>
              </w:rPr>
            </w:pPr>
            <w:r>
              <w:rPr>
                <w:sz w:val="18"/>
              </w:rPr>
              <w:t>2.204</w:t>
            </w:r>
          </w:p>
        </w:tc>
        <w:tc>
          <w:tcPr>
            <w:tcW w:w="1359" w:type="dxa"/>
            <w:tcBorders>
              <w:top w:val="single" w:color="auto" w:sz="4" w:space="0"/>
              <w:left w:val="nil"/>
              <w:bottom w:val="nil"/>
              <w:right w:val="nil"/>
            </w:tcBorders>
            <w:vAlign w:val="center"/>
          </w:tcPr>
          <w:p w14:paraId="01E4FB0F">
            <w:pPr>
              <w:spacing w:line="240" w:lineRule="auto"/>
              <w:ind w:firstLine="0"/>
              <w:jc w:val="center"/>
              <w:rPr>
                <w:sz w:val="18"/>
              </w:rPr>
            </w:pPr>
            <w:r>
              <w:rPr>
                <w:sz w:val="18"/>
              </w:rPr>
              <w:t>2.060</w:t>
            </w:r>
          </w:p>
        </w:tc>
        <w:tc>
          <w:tcPr>
            <w:tcW w:w="994" w:type="dxa"/>
            <w:tcBorders>
              <w:top w:val="single" w:color="auto" w:sz="4" w:space="0"/>
              <w:left w:val="nil"/>
              <w:bottom w:val="nil"/>
              <w:right w:val="nil"/>
            </w:tcBorders>
            <w:vAlign w:val="center"/>
          </w:tcPr>
          <w:p w14:paraId="48802BE4">
            <w:pPr>
              <w:spacing w:line="240" w:lineRule="auto"/>
              <w:ind w:firstLine="0"/>
              <w:jc w:val="center"/>
              <w:rPr>
                <w:sz w:val="18"/>
              </w:rPr>
            </w:pPr>
            <w:r>
              <w:rPr>
                <w:sz w:val="18"/>
              </w:rPr>
              <w:t>1.18s</w:t>
            </w:r>
          </w:p>
        </w:tc>
      </w:tr>
      <w:tr w14:paraId="1A77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4" w:type="dxa"/>
            <w:tcBorders>
              <w:top w:val="nil"/>
              <w:left w:val="nil"/>
              <w:bottom w:val="nil"/>
              <w:right w:val="nil"/>
            </w:tcBorders>
            <w:vAlign w:val="center"/>
          </w:tcPr>
          <w:p w14:paraId="16E3436B">
            <w:pPr>
              <w:spacing w:line="240" w:lineRule="auto"/>
              <w:ind w:firstLine="0"/>
              <w:jc w:val="center"/>
              <w:rPr>
                <w:sz w:val="18"/>
              </w:rPr>
            </w:pPr>
            <w:r>
              <w:rPr>
                <w:sz w:val="18"/>
              </w:rPr>
              <w:t>Hybrid RAG</w:t>
            </w:r>
          </w:p>
        </w:tc>
        <w:tc>
          <w:tcPr>
            <w:tcW w:w="1150" w:type="dxa"/>
            <w:tcBorders>
              <w:top w:val="nil"/>
              <w:left w:val="nil"/>
              <w:bottom w:val="nil"/>
              <w:right w:val="nil"/>
            </w:tcBorders>
            <w:vAlign w:val="center"/>
          </w:tcPr>
          <w:p w14:paraId="279E3092">
            <w:pPr>
              <w:spacing w:line="240" w:lineRule="auto"/>
              <w:ind w:firstLine="0"/>
              <w:jc w:val="center"/>
              <w:rPr>
                <w:sz w:val="18"/>
              </w:rPr>
            </w:pPr>
            <w:r>
              <w:rPr>
                <w:sz w:val="18"/>
              </w:rPr>
              <w:t>0.415</w:t>
            </w:r>
          </w:p>
        </w:tc>
        <w:tc>
          <w:tcPr>
            <w:tcW w:w="1040" w:type="dxa"/>
            <w:tcBorders>
              <w:top w:val="nil"/>
              <w:left w:val="nil"/>
              <w:bottom w:val="nil"/>
              <w:right w:val="nil"/>
            </w:tcBorders>
            <w:vAlign w:val="center"/>
          </w:tcPr>
          <w:p w14:paraId="7ABA1C90">
            <w:pPr>
              <w:spacing w:line="240" w:lineRule="auto"/>
              <w:ind w:firstLine="0"/>
              <w:jc w:val="center"/>
              <w:rPr>
                <w:sz w:val="18"/>
              </w:rPr>
            </w:pPr>
            <w:r>
              <w:rPr>
                <w:sz w:val="18"/>
              </w:rPr>
              <w:t>2.104</w:t>
            </w:r>
          </w:p>
        </w:tc>
        <w:tc>
          <w:tcPr>
            <w:tcW w:w="1160" w:type="dxa"/>
            <w:tcBorders>
              <w:top w:val="nil"/>
              <w:left w:val="nil"/>
              <w:bottom w:val="nil"/>
              <w:right w:val="nil"/>
            </w:tcBorders>
            <w:vAlign w:val="center"/>
          </w:tcPr>
          <w:p w14:paraId="50E6C41C">
            <w:pPr>
              <w:spacing w:line="240" w:lineRule="auto"/>
              <w:ind w:firstLine="0"/>
              <w:jc w:val="center"/>
              <w:rPr>
                <w:sz w:val="18"/>
              </w:rPr>
            </w:pPr>
            <w:r>
              <w:rPr>
                <w:sz w:val="18"/>
              </w:rPr>
              <w:t>2.223</w:t>
            </w:r>
          </w:p>
        </w:tc>
        <w:tc>
          <w:tcPr>
            <w:tcW w:w="1359" w:type="dxa"/>
            <w:tcBorders>
              <w:top w:val="nil"/>
              <w:left w:val="nil"/>
              <w:bottom w:val="nil"/>
              <w:right w:val="nil"/>
            </w:tcBorders>
            <w:vAlign w:val="center"/>
          </w:tcPr>
          <w:p w14:paraId="3FFE537E">
            <w:pPr>
              <w:spacing w:line="240" w:lineRule="auto"/>
              <w:ind w:firstLine="0"/>
              <w:jc w:val="center"/>
              <w:rPr>
                <w:sz w:val="18"/>
              </w:rPr>
            </w:pPr>
            <w:r>
              <w:rPr>
                <w:sz w:val="18"/>
              </w:rPr>
              <w:t>2.076</w:t>
            </w:r>
          </w:p>
        </w:tc>
        <w:tc>
          <w:tcPr>
            <w:tcW w:w="994" w:type="dxa"/>
            <w:tcBorders>
              <w:top w:val="nil"/>
              <w:left w:val="nil"/>
              <w:bottom w:val="nil"/>
              <w:right w:val="nil"/>
            </w:tcBorders>
            <w:vAlign w:val="center"/>
          </w:tcPr>
          <w:p w14:paraId="1AD5E324">
            <w:pPr>
              <w:spacing w:line="240" w:lineRule="auto"/>
              <w:ind w:firstLine="0"/>
              <w:jc w:val="center"/>
              <w:rPr>
                <w:sz w:val="18"/>
              </w:rPr>
            </w:pPr>
            <w:r>
              <w:rPr>
                <w:b/>
                <w:sz w:val="18"/>
              </w:rPr>
              <w:t>1.13s</w:t>
            </w:r>
          </w:p>
        </w:tc>
      </w:tr>
      <w:tr w14:paraId="4282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4" w:type="dxa"/>
            <w:tcBorders>
              <w:top w:val="nil"/>
              <w:left w:val="nil"/>
              <w:bottom w:val="single" w:color="auto" w:sz="4" w:space="0"/>
              <w:right w:val="nil"/>
            </w:tcBorders>
            <w:vAlign w:val="center"/>
          </w:tcPr>
          <w:p w14:paraId="78214860">
            <w:pPr>
              <w:spacing w:line="240" w:lineRule="auto"/>
              <w:ind w:firstLine="0"/>
              <w:jc w:val="center"/>
              <w:rPr>
                <w:sz w:val="18"/>
              </w:rPr>
            </w:pPr>
            <w:r>
              <w:rPr>
                <w:sz w:val="18"/>
              </w:rPr>
              <w:t>CE-RAG</w:t>
            </w:r>
          </w:p>
        </w:tc>
        <w:tc>
          <w:tcPr>
            <w:tcW w:w="1150" w:type="dxa"/>
            <w:tcBorders>
              <w:top w:val="nil"/>
              <w:left w:val="nil"/>
              <w:bottom w:val="single" w:color="auto" w:sz="4" w:space="0"/>
              <w:right w:val="nil"/>
            </w:tcBorders>
            <w:vAlign w:val="center"/>
          </w:tcPr>
          <w:p w14:paraId="2FE28216">
            <w:pPr>
              <w:spacing w:line="240" w:lineRule="auto"/>
              <w:ind w:firstLine="0"/>
              <w:jc w:val="center"/>
              <w:rPr>
                <w:sz w:val="18"/>
              </w:rPr>
            </w:pPr>
            <w:r>
              <w:rPr>
                <w:b/>
                <w:sz w:val="18"/>
              </w:rPr>
              <w:t>0.893</w:t>
            </w:r>
          </w:p>
        </w:tc>
        <w:tc>
          <w:tcPr>
            <w:tcW w:w="1040" w:type="dxa"/>
            <w:tcBorders>
              <w:top w:val="nil"/>
              <w:left w:val="nil"/>
              <w:bottom w:val="single" w:color="auto" w:sz="4" w:space="0"/>
              <w:right w:val="nil"/>
            </w:tcBorders>
            <w:vAlign w:val="center"/>
          </w:tcPr>
          <w:p w14:paraId="1FA55F89">
            <w:pPr>
              <w:spacing w:line="240" w:lineRule="auto"/>
              <w:ind w:firstLine="0"/>
              <w:jc w:val="center"/>
              <w:rPr>
                <w:b/>
                <w:sz w:val="18"/>
              </w:rPr>
            </w:pPr>
            <w:r>
              <w:rPr>
                <w:b/>
                <w:sz w:val="18"/>
              </w:rPr>
              <w:t>3.123</w:t>
            </w:r>
          </w:p>
        </w:tc>
        <w:tc>
          <w:tcPr>
            <w:tcW w:w="1160" w:type="dxa"/>
            <w:tcBorders>
              <w:top w:val="nil"/>
              <w:left w:val="nil"/>
              <w:bottom w:val="single" w:color="auto" w:sz="4" w:space="0"/>
              <w:right w:val="nil"/>
            </w:tcBorders>
            <w:vAlign w:val="center"/>
          </w:tcPr>
          <w:p w14:paraId="264EC092">
            <w:pPr>
              <w:spacing w:line="240" w:lineRule="auto"/>
              <w:ind w:firstLine="0"/>
              <w:jc w:val="center"/>
              <w:rPr>
                <w:b/>
                <w:sz w:val="18"/>
              </w:rPr>
            </w:pPr>
            <w:r>
              <w:rPr>
                <w:b/>
                <w:sz w:val="18"/>
              </w:rPr>
              <w:t>2.701</w:t>
            </w:r>
          </w:p>
        </w:tc>
        <w:tc>
          <w:tcPr>
            <w:tcW w:w="1359" w:type="dxa"/>
            <w:tcBorders>
              <w:top w:val="nil"/>
              <w:left w:val="nil"/>
              <w:bottom w:val="single" w:color="auto" w:sz="4" w:space="0"/>
              <w:right w:val="nil"/>
            </w:tcBorders>
            <w:vAlign w:val="center"/>
          </w:tcPr>
          <w:p w14:paraId="363E648D">
            <w:pPr>
              <w:spacing w:line="240" w:lineRule="auto"/>
              <w:ind w:firstLine="0"/>
              <w:jc w:val="center"/>
              <w:rPr>
                <w:b/>
                <w:sz w:val="18"/>
              </w:rPr>
            </w:pPr>
            <w:r>
              <w:rPr>
                <w:b/>
                <w:sz w:val="18"/>
              </w:rPr>
              <w:t>2.748</w:t>
            </w:r>
          </w:p>
        </w:tc>
        <w:tc>
          <w:tcPr>
            <w:tcW w:w="994" w:type="dxa"/>
            <w:tcBorders>
              <w:top w:val="nil"/>
              <w:left w:val="nil"/>
              <w:bottom w:val="single" w:color="auto" w:sz="4" w:space="0"/>
              <w:right w:val="nil"/>
            </w:tcBorders>
            <w:vAlign w:val="center"/>
          </w:tcPr>
          <w:p w14:paraId="12A441F4">
            <w:pPr>
              <w:spacing w:line="240" w:lineRule="auto"/>
              <w:ind w:firstLine="0"/>
              <w:jc w:val="center"/>
              <w:rPr>
                <w:sz w:val="18"/>
              </w:rPr>
            </w:pPr>
            <w:r>
              <w:rPr>
                <w:sz w:val="18"/>
              </w:rPr>
              <w:t>5.51s</w:t>
            </w:r>
          </w:p>
        </w:tc>
      </w:tr>
    </w:tbl>
    <w:p w14:paraId="32030D92">
      <w:pPr>
        <w:pStyle w:val="34"/>
        <w:numPr>
          <w:ilvl w:val="0"/>
          <w:numId w:val="0"/>
        </w:numPr>
        <w:spacing w:after="120" w:line="240" w:lineRule="auto"/>
        <w:ind w:left="0" w:firstLine="227"/>
        <w:rPr>
          <w:sz w:val="20"/>
          <w:lang w:eastAsia="zh-CN"/>
        </w:rPr>
      </w:pPr>
    </w:p>
    <w:p w14:paraId="13FBB02F">
      <w:pPr>
        <w:pStyle w:val="34"/>
        <w:numPr>
          <w:ilvl w:val="0"/>
          <w:numId w:val="0"/>
        </w:numPr>
        <w:spacing w:after="60" w:line="240" w:lineRule="auto"/>
        <w:ind w:left="0" w:firstLine="227"/>
        <w:jc w:val="left"/>
        <w:rPr>
          <w:sz w:val="18"/>
        </w:rPr>
      </w:pPr>
      <w:r>
        <w:rPr>
          <w:sz w:val="18"/>
        </w:rPr>
        <w:t>CE-RAG predicts 239 questions as answerable and 79 as unanswerable or insufficient. This behavior is consistent with the goal of faithful scientific QA: the system should answer questions when evidence is available</w:t>
      </w:r>
      <w:r>
        <w:rPr>
          <w:lang w:eastAsia="zh-CN"/>
        </w:rPr>
        <w:t xml:space="preserve"> while avoiding</w:t>
      </w:r>
      <w:r>
        <w:rPr>
          <w:sz w:val="18"/>
        </w:rPr>
        <w:t xml:space="preserve"> unsupported answers when the paper does not provide sufficient evidence.</w:t>
      </w:r>
    </w:p>
    <w:p w14:paraId="070E5E5B">
      <w:pPr>
        <w:pStyle w:val="7"/>
        <w:spacing w:before="60" w:after="120" w:line="240" w:lineRule="auto"/>
        <w:ind w:firstLine="227"/>
        <w:jc w:val="center"/>
        <w:rPr>
          <w:rFonts w:ascii="Arial" w:hAnsi="Arial"/>
          <w:i/>
          <w:sz w:val="18"/>
        </w:rPr>
      </w:pPr>
      <w:r>
        <w:rPr>
          <w:rFonts w:ascii="Times New Roman" w:hAnsi="Times New Roman"/>
          <w:b w:val="0"/>
          <w:i/>
          <w:sz w:val="18"/>
        </w:rPr>
        <w:t>Table 5.</w:t>
      </w:r>
      <w:r>
        <w:rPr>
          <w:rFonts w:ascii="Times New Roman" w:hAnsi="Times New Roman"/>
          <w:i/>
          <w:sz w:val="18"/>
        </w:rPr>
        <w:t xml:space="preserve"> CE-RAG </w:t>
      </w:r>
      <w:r>
        <w:rPr>
          <w:rFonts w:ascii="Times New Roman" w:hAnsi="Times New Roman"/>
          <w:i/>
          <w:sz w:val="18"/>
          <w:lang w:eastAsia="zh-CN"/>
        </w:rPr>
        <w:t>Verification Diagnostics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7"/>
        <w:gridCol w:w="3583"/>
      </w:tblGrid>
      <w:tr w14:paraId="5E19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single" w:color="auto" w:sz="4" w:space="0"/>
              <w:left w:val="nil"/>
              <w:bottom w:val="single" w:color="auto" w:sz="4" w:space="0"/>
              <w:right w:val="nil"/>
            </w:tcBorders>
            <w:vAlign w:val="center"/>
          </w:tcPr>
          <w:p w14:paraId="18812A31">
            <w:pPr>
              <w:spacing w:after="120" w:line="240" w:lineRule="auto"/>
              <w:ind w:firstLine="0"/>
              <w:jc w:val="both"/>
              <w:rPr>
                <w:b/>
                <w:bCs/>
              </w:rPr>
            </w:pPr>
            <w:r>
              <w:rPr>
                <w:b/>
                <w:bCs/>
              </w:rPr>
              <w:t>Metric</w:t>
            </w:r>
          </w:p>
        </w:tc>
        <w:tc>
          <w:tcPr>
            <w:tcW w:w="3583" w:type="dxa"/>
            <w:tcBorders>
              <w:top w:val="single" w:color="auto" w:sz="4" w:space="0"/>
              <w:left w:val="nil"/>
              <w:bottom w:val="single" w:color="auto" w:sz="4" w:space="0"/>
              <w:right w:val="nil"/>
            </w:tcBorders>
            <w:vAlign w:val="center"/>
          </w:tcPr>
          <w:p w14:paraId="2E3C65C8">
            <w:pPr>
              <w:spacing w:line="240" w:lineRule="auto"/>
              <w:ind w:firstLine="0"/>
              <w:jc w:val="center"/>
              <w:rPr>
                <w:b/>
                <w:sz w:val="18"/>
              </w:rPr>
            </w:pPr>
            <w:r>
              <w:rPr>
                <w:b/>
                <w:sz w:val="18"/>
              </w:rPr>
              <w:t>Value</w:t>
            </w:r>
          </w:p>
        </w:tc>
      </w:tr>
      <w:tr w14:paraId="0E7A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single" w:color="auto" w:sz="4" w:space="0"/>
              <w:left w:val="nil"/>
              <w:bottom w:val="nil"/>
              <w:right w:val="nil"/>
            </w:tcBorders>
            <w:vAlign w:val="center"/>
          </w:tcPr>
          <w:p w14:paraId="0F24E6DF">
            <w:pPr>
              <w:spacing w:line="240" w:lineRule="auto"/>
              <w:ind w:firstLine="0"/>
              <w:jc w:val="center"/>
              <w:rPr>
                <w:sz w:val="18"/>
              </w:rPr>
            </w:pPr>
            <w:r>
              <w:rPr>
                <w:sz w:val="18"/>
              </w:rPr>
              <w:t>Avg. confidence</w:t>
            </w:r>
          </w:p>
        </w:tc>
        <w:tc>
          <w:tcPr>
            <w:tcW w:w="3583" w:type="dxa"/>
            <w:tcBorders>
              <w:top w:val="single" w:color="auto" w:sz="4" w:space="0"/>
              <w:left w:val="nil"/>
              <w:bottom w:val="nil"/>
              <w:right w:val="nil"/>
            </w:tcBorders>
            <w:vAlign w:val="center"/>
          </w:tcPr>
          <w:p w14:paraId="15B9A84B">
            <w:pPr>
              <w:spacing w:line="240" w:lineRule="auto"/>
              <w:ind w:firstLine="0"/>
              <w:jc w:val="center"/>
              <w:rPr>
                <w:sz w:val="18"/>
              </w:rPr>
            </w:pPr>
            <w:r>
              <w:rPr>
                <w:sz w:val="18"/>
              </w:rPr>
              <w:t>0.800</w:t>
            </w:r>
          </w:p>
        </w:tc>
      </w:tr>
      <w:tr w14:paraId="2441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nil"/>
              <w:left w:val="nil"/>
              <w:bottom w:val="nil"/>
              <w:right w:val="nil"/>
            </w:tcBorders>
            <w:vAlign w:val="center"/>
          </w:tcPr>
          <w:p w14:paraId="7BD11A23">
            <w:pPr>
              <w:spacing w:line="240" w:lineRule="auto"/>
              <w:ind w:firstLine="0"/>
              <w:jc w:val="center"/>
              <w:rPr>
                <w:sz w:val="18"/>
              </w:rPr>
            </w:pPr>
            <w:r>
              <w:rPr>
                <w:sz w:val="18"/>
              </w:rPr>
              <w:t>Avg. evidence sufficiency</w:t>
            </w:r>
          </w:p>
        </w:tc>
        <w:tc>
          <w:tcPr>
            <w:tcW w:w="3583" w:type="dxa"/>
            <w:tcBorders>
              <w:top w:val="nil"/>
              <w:left w:val="nil"/>
              <w:bottom w:val="nil"/>
              <w:right w:val="nil"/>
            </w:tcBorders>
            <w:vAlign w:val="center"/>
          </w:tcPr>
          <w:p w14:paraId="1FE4B6B0">
            <w:pPr>
              <w:spacing w:line="240" w:lineRule="auto"/>
              <w:ind w:firstLine="0"/>
              <w:jc w:val="center"/>
              <w:rPr>
                <w:sz w:val="18"/>
              </w:rPr>
            </w:pPr>
            <w:r>
              <w:rPr>
                <w:sz w:val="18"/>
              </w:rPr>
              <w:t>0.694</w:t>
            </w:r>
          </w:p>
        </w:tc>
      </w:tr>
      <w:tr w14:paraId="4678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nil"/>
              <w:left w:val="nil"/>
              <w:bottom w:val="nil"/>
              <w:right w:val="nil"/>
            </w:tcBorders>
            <w:vAlign w:val="center"/>
          </w:tcPr>
          <w:p w14:paraId="7883CDF7">
            <w:pPr>
              <w:spacing w:line="240" w:lineRule="auto"/>
              <w:ind w:firstLine="0"/>
              <w:jc w:val="center"/>
              <w:rPr>
                <w:sz w:val="18"/>
              </w:rPr>
            </w:pPr>
            <w:r>
              <w:rPr>
                <w:sz w:val="18"/>
              </w:rPr>
              <w:t>Avg. reasoning consistency</w:t>
            </w:r>
          </w:p>
        </w:tc>
        <w:tc>
          <w:tcPr>
            <w:tcW w:w="3583" w:type="dxa"/>
            <w:tcBorders>
              <w:top w:val="nil"/>
              <w:left w:val="nil"/>
              <w:bottom w:val="nil"/>
              <w:right w:val="nil"/>
            </w:tcBorders>
            <w:vAlign w:val="center"/>
          </w:tcPr>
          <w:p w14:paraId="738167CD">
            <w:pPr>
              <w:spacing w:line="240" w:lineRule="auto"/>
              <w:ind w:firstLine="0"/>
              <w:jc w:val="center"/>
              <w:rPr>
                <w:sz w:val="18"/>
              </w:rPr>
            </w:pPr>
            <w:r>
              <w:rPr>
                <w:sz w:val="18"/>
              </w:rPr>
              <w:t>0.659</w:t>
            </w:r>
          </w:p>
        </w:tc>
      </w:tr>
      <w:tr w14:paraId="2814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nil"/>
              <w:left w:val="nil"/>
              <w:bottom w:val="nil"/>
              <w:right w:val="nil"/>
            </w:tcBorders>
            <w:vAlign w:val="center"/>
          </w:tcPr>
          <w:p w14:paraId="077F524F">
            <w:pPr>
              <w:spacing w:line="240" w:lineRule="auto"/>
              <w:ind w:firstLine="0"/>
              <w:jc w:val="center"/>
              <w:rPr>
                <w:sz w:val="18"/>
              </w:rPr>
            </w:pPr>
            <w:r>
              <w:rPr>
                <w:sz w:val="18"/>
              </w:rPr>
              <w:t>Avg. evidence coverage</w:t>
            </w:r>
          </w:p>
        </w:tc>
        <w:tc>
          <w:tcPr>
            <w:tcW w:w="3583" w:type="dxa"/>
            <w:tcBorders>
              <w:top w:val="nil"/>
              <w:left w:val="nil"/>
              <w:bottom w:val="nil"/>
              <w:right w:val="nil"/>
            </w:tcBorders>
            <w:vAlign w:val="center"/>
          </w:tcPr>
          <w:p w14:paraId="3A8554DA">
            <w:pPr>
              <w:spacing w:line="240" w:lineRule="auto"/>
              <w:ind w:firstLine="0"/>
              <w:jc w:val="center"/>
              <w:rPr>
                <w:sz w:val="18"/>
              </w:rPr>
            </w:pPr>
            <w:r>
              <w:rPr>
                <w:sz w:val="18"/>
              </w:rPr>
              <w:t>0.727</w:t>
            </w:r>
          </w:p>
        </w:tc>
      </w:tr>
      <w:tr w14:paraId="1BD3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7" w:type="dxa"/>
            <w:tcBorders>
              <w:top w:val="nil"/>
              <w:left w:val="nil"/>
              <w:bottom w:val="single" w:color="auto" w:sz="4" w:space="0"/>
              <w:right w:val="nil"/>
            </w:tcBorders>
            <w:vAlign w:val="center"/>
          </w:tcPr>
          <w:p w14:paraId="46B59639">
            <w:pPr>
              <w:spacing w:line="240" w:lineRule="auto"/>
              <w:ind w:firstLine="0"/>
              <w:jc w:val="center"/>
              <w:rPr>
                <w:sz w:val="18"/>
              </w:rPr>
            </w:pPr>
            <w:r>
              <w:rPr>
                <w:sz w:val="18"/>
              </w:rPr>
              <w:t>Sufficiency labels</w:t>
            </w:r>
          </w:p>
        </w:tc>
        <w:tc>
          <w:tcPr>
            <w:tcW w:w="3583" w:type="dxa"/>
            <w:tcBorders>
              <w:top w:val="nil"/>
              <w:left w:val="nil"/>
              <w:bottom w:val="single" w:color="auto" w:sz="4" w:space="0"/>
              <w:right w:val="nil"/>
            </w:tcBorders>
            <w:vAlign w:val="center"/>
          </w:tcPr>
          <w:p w14:paraId="3F50DA4E">
            <w:pPr>
              <w:spacing w:line="240" w:lineRule="auto"/>
              <w:ind w:firstLine="0"/>
              <w:jc w:val="center"/>
              <w:rPr>
                <w:sz w:val="18"/>
              </w:rPr>
            </w:pPr>
            <w:r>
              <w:rPr>
                <w:sz w:val="18"/>
              </w:rPr>
              <w:t>218 sufficient / 21 partial / 79 insufficient</w:t>
            </w:r>
          </w:p>
        </w:tc>
      </w:tr>
    </w:tbl>
    <w:p w14:paraId="23CA48D3">
      <w:pPr>
        <w:spacing w:after="120" w:line="240" w:lineRule="auto"/>
        <w:ind w:firstLine="0"/>
        <w:rPr>
          <w:lang w:eastAsia="zh-CN"/>
        </w:rPr>
      </w:pPr>
    </w:p>
    <w:p w14:paraId="22589208">
      <w:pPr>
        <w:pStyle w:val="26"/>
        <w:spacing w:before="180" w:after="80" w:line="240" w:lineRule="auto"/>
        <w:rPr>
          <w:sz w:val="22"/>
        </w:rPr>
      </w:pPr>
      <w:r>
        <w:rPr>
          <w:sz w:val="22"/>
        </w:rPr>
        <w:t xml:space="preserve">Ablation Study </w:t>
      </w:r>
    </w:p>
    <w:p w14:paraId="6430CAF5">
      <w:pPr>
        <w:pStyle w:val="3"/>
        <w:spacing w:after="120" w:line="240" w:lineRule="auto"/>
        <w:ind w:firstLine="0"/>
      </w:pPr>
      <w:r>
        <w:t>The sufficiency labels in Table 5 show that CE-RAG does not treat all retrieved contexts as equally reliable. Among 318 questions, 218 are judged sufficient, 21 partial, and 79 insufficient. The insufficient cases largely correspond to unanswerable questions or questions whose requested conclusions are broader than the available evidence. This supports the role of evidence-sufficiency estimation as a reliability control mechanism for scientific paper QA.</w:t>
      </w:r>
    </w:p>
    <w:p w14:paraId="763DFFC5">
      <w:pPr>
        <w:spacing w:after="120" w:line="240" w:lineRule="auto"/>
      </w:pPr>
      <w:r>
        <w:t>A typical failure mode of retrieval-only systems is that topically relevant passages may still be insufficient to support the user's conclusion. CE-RAG addresses this problem by checking whether the retrieved claims, evidence, and results cover the scope required by the question. This is especially important for questions involving universal claims over all tasks, all datasets, or all existing methods.</w:t>
      </w:r>
    </w:p>
    <w:p w14:paraId="729C56ED">
      <w:pPr>
        <w:spacing w:after="120" w:line="240" w:lineRule="auto"/>
        <w:ind w:firstLine="0"/>
        <w:jc w:val="both"/>
      </w:pPr>
      <w:r>
        <w:drawing>
          <wp:inline distT="0" distB="0" distL="114300" distR="114300">
            <wp:extent cx="2962910" cy="1813560"/>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2962910" cy="1813560"/>
                    </a:xfrm>
                    <a:prstGeom prst="rect">
                      <a:avLst/>
                    </a:prstGeom>
                  </pic:spPr>
                </pic:pic>
              </a:graphicData>
            </a:graphic>
          </wp:inline>
        </w:drawing>
      </w:r>
    </w:p>
    <w:p w14:paraId="0D07D106">
      <w:pPr>
        <w:pStyle w:val="7"/>
        <w:spacing w:before="60" w:after="120" w:line="240" w:lineRule="auto"/>
        <w:ind w:firstLine="227"/>
        <w:jc w:val="center"/>
        <w:rPr>
          <w:rFonts w:ascii="Arial" w:hAnsi="Arial"/>
          <w:i/>
          <w:sz w:val="18"/>
        </w:rPr>
      </w:pPr>
      <w:r>
        <w:rPr>
          <w:rFonts w:ascii="Times New Roman" w:hAnsi="Times New Roman"/>
          <w:b w:val="0"/>
          <w:i/>
          <w:sz w:val="18"/>
        </w:rPr>
        <w:t xml:space="preserve">Fig. </w:t>
      </w:r>
      <w:r>
        <w:rPr>
          <w:rFonts w:hint="eastAsia" w:ascii="Times New Roman" w:hAnsi="Times New Roman" w:eastAsia="Times New Roman"/>
          <w:b/>
          <w:bCs/>
          <w:sz w:val="18"/>
          <w:lang w:eastAsia="zh-CN"/>
        </w:rPr>
        <w:t xml:space="preserve"> </w:t>
      </w:r>
      <w:r>
        <w:rPr>
          <w:rFonts w:hint="eastAsia" w:ascii="Times New Roman" w:hAnsi="Times New Roman" w:eastAsia="Times New Roman"/>
          <w:b/>
          <w:bCs/>
          <w:sz w:val="18"/>
          <w:lang w:eastAsia="zh-CN"/>
        </w:rPr>
        <w:fldChar w:fldCharType="begin"/>
      </w:r>
      <w:r>
        <w:rPr>
          <w:rFonts w:hint="eastAsia" w:ascii="Times New Roman" w:hAnsi="Times New Roman" w:eastAsia="Times New Roman"/>
          <w:b/>
          <w:bCs/>
          <w:sz w:val="18"/>
          <w:lang w:eastAsia="zh-CN"/>
        </w:rPr>
        <w:instrText xml:space="preserve"> SEQ Fig._ \* ARABIC </w:instrText>
      </w:r>
      <w:r>
        <w:rPr>
          <w:rFonts w:hint="eastAsia" w:ascii="Times New Roman" w:hAnsi="Times New Roman" w:eastAsia="Times New Roman"/>
          <w:b/>
          <w:bCs/>
          <w:sz w:val="18"/>
          <w:lang w:eastAsia="zh-CN"/>
        </w:rPr>
        <w:fldChar w:fldCharType="separate"/>
      </w:r>
      <w:r>
        <w:rPr>
          <w:rFonts w:hint="eastAsia" w:ascii="Times New Roman" w:hAnsi="Times New Roman" w:eastAsia="Times New Roman"/>
          <w:b/>
          <w:bCs/>
          <w:sz w:val="18"/>
          <w:lang w:eastAsia="zh-CN"/>
        </w:rPr>
        <w:t>2</w:t>
      </w:r>
      <w:r>
        <w:rPr>
          <w:rFonts w:hint="eastAsia" w:ascii="Times New Roman" w:hAnsi="Times New Roman" w:eastAsia="Times New Roman"/>
          <w:b/>
          <w:bCs/>
          <w:sz w:val="18"/>
          <w:lang w:eastAsia="zh-CN"/>
        </w:rPr>
        <w:fldChar w:fldCharType="end"/>
      </w:r>
      <w:r>
        <w:rPr>
          <w:rFonts w:hint="eastAsia" w:ascii="Times New Roman" w:hAnsi="Times New Roman" w:eastAsia="Times New Roman"/>
          <w:b/>
          <w:bCs/>
          <w:sz w:val="18"/>
          <w:lang w:eastAsia="zh-CN"/>
        </w:rPr>
        <w:t>.</w:t>
      </w:r>
      <w:r>
        <w:rPr>
          <w:rFonts w:ascii="Times New Roman" w:hAnsi="Times New Roman"/>
          <w:i/>
          <w:sz w:val="18"/>
        </w:rPr>
        <w:t xml:space="preserve"> CE-RAG Evidence</w:t>
      </w:r>
      <w:r>
        <w:rPr>
          <w:rFonts w:ascii="Times New Roman" w:hAnsi="Times New Roman"/>
          <w:i/>
          <w:sz w:val="18"/>
          <w:lang w:eastAsia="zh-CN"/>
        </w:rPr>
        <w:t>-</w:t>
      </w:r>
      <w:r>
        <w:rPr>
          <w:rFonts w:ascii="Times New Roman" w:hAnsi="Times New Roman"/>
          <w:i/>
          <w:sz w:val="18"/>
        </w:rPr>
        <w:t>Sufficiency Distribution</w:t>
      </w:r>
    </w:p>
    <w:p w14:paraId="3DD0A0DC">
      <w:pPr>
        <w:pStyle w:val="26"/>
        <w:spacing w:before="180" w:after="80" w:line="240" w:lineRule="auto"/>
        <w:rPr>
          <w:sz w:val="22"/>
        </w:rPr>
      </w:pPr>
      <w:r>
        <w:rPr>
          <w:sz w:val="22"/>
        </w:rPr>
        <w:t>Discussion</w:t>
      </w:r>
      <w:r>
        <w:rPr>
          <w:sz w:val="22"/>
        </w:rPr>
        <w:tab/>
      </w:r>
    </w:p>
    <w:p w14:paraId="5B277FBD">
      <w:pPr>
        <w:pStyle w:val="3"/>
        <w:spacing w:after="120" w:line="240" w:lineRule="auto"/>
        <w:ind w:firstLine="0"/>
      </w:pPr>
      <w:r>
        <w:t>The results suggest that modeling a paper as a claim-evidence graph is useful not only for retrieving relevant content, but also for determining the boundaries of what the paper actually supports. CE-RAG is particularly effective for questions that require linking claims with evidence and results, as well as for over-generalized unanswerable questions for which flat retrieval may provide superficially relevant but insufficient passages.</w:t>
      </w:r>
    </w:p>
    <w:p w14:paraId="181EE16F">
      <w:pPr>
        <w:spacing w:after="120" w:line="240" w:lineRule="auto"/>
      </w:pPr>
      <w:r>
        <w:t>At the same time, CE-RAG remains conservative for some limitation-oriented questions. Scientific papers often discuss limitations implicitly through experimental scope, ablation results, or discussion sections rather than through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p w14:paraId="2264C9C3">
      <w:pPr>
        <w:spacing w:before="0" w:after="120" w:line="240" w:lineRule="auto"/>
        <w:ind w:firstLine="227"/>
      </w:pPr>
      <w:r>
        <w:rPr>
          <w:b w:val="0"/>
        </w:rPr>
        <w:t>Disclosure of Interests.</w:t>
      </w:r>
      <w:r>
        <w:rPr>
          <w:b w:val="0"/>
          <w:sz w:val="21"/>
        </w:rPr>
        <w:t xml:space="preserve"> </w:t>
      </w:r>
      <w:r>
        <w:rPr>
          <w:sz w:val="21"/>
        </w:rPr>
        <w:t>The authors declare that they have no known competing financial interests or personal relationships that could have appeared to influence the work reported in this paper.</w:t>
      </w:r>
    </w:p>
    <w:p w14:paraId="3E8D0D2E">
      <w:pPr>
        <w:pStyle w:val="25"/>
        <w:numPr>
          <w:ilvl w:val="0"/>
          <w:numId w:val="0"/>
        </w:numPr>
      </w:pPr>
      <w:r>
        <w:rPr>
          <w:rFonts w:hint="eastAsia" w:eastAsia="宋体"/>
          <w:lang w:eastAsia="zh-CN"/>
        </w:rPr>
        <w:t>Reference</w:t>
      </w:r>
    </w:p>
    <w:p w14:paraId="79DBFB82">
      <w:pPr>
        <w:pStyle w:val="34"/>
        <w:numPr>
          <w:ilvl w:val="0"/>
          <w:numId w:val="7"/>
        </w:numPr>
        <w:spacing w:after="60" w:line="240" w:lineRule="auto"/>
        <w:ind w:left="0" w:firstLine="0"/>
        <w:jc w:val="left"/>
        <w:rPr>
          <w:szCs w:val="18"/>
          <w:lang w:eastAsia="zh-CN"/>
        </w:rPr>
      </w:pPr>
      <w:bookmarkStart w:id="0" w:name="_Ref31867"/>
      <w:r>
        <w:rPr>
          <w:rFonts w:hint="eastAsia"/>
          <w:szCs w:val="18"/>
          <w:lang w:eastAsia="zh-CN"/>
        </w:rPr>
        <w:t>Lewis, P., Perez, E., Piktus, A., Petroni, F., Karpukhin, V., Goyal, N., ... &amp; Kiela, D. (2020). Retrieval-augmented generation for knowledge-intensive nlp tasks.</w:t>
      </w:r>
      <w:r>
        <w:rPr>
          <w:szCs w:val="18"/>
          <w:lang w:eastAsia="zh-CN"/>
        </w:rPr>
        <w:t> Advances in neural information processing systems, 33, 9459-9474</w:t>
      </w:r>
      <w:r>
        <w:rPr>
          <w:rFonts w:hint="eastAsia"/>
          <w:szCs w:val="18"/>
          <w:lang w:eastAsia="zh-CN"/>
        </w:rPr>
        <w:t>.</w:t>
      </w:r>
      <w:bookmarkEnd w:id="0"/>
    </w:p>
    <w:p w14:paraId="074CB49F">
      <w:pPr>
        <w:pStyle w:val="34"/>
        <w:numPr>
          <w:ilvl w:val="0"/>
          <w:numId w:val="7"/>
        </w:numPr>
        <w:spacing w:after="60" w:line="240" w:lineRule="auto"/>
        <w:ind w:left="0" w:firstLine="0"/>
        <w:jc w:val="left"/>
        <w:rPr>
          <w:szCs w:val="18"/>
          <w:lang w:eastAsia="zh-CN"/>
        </w:rPr>
      </w:pPr>
      <w:bookmarkStart w:id="1" w:name="_Ref31903"/>
      <w:r>
        <w:rPr>
          <w:rFonts w:hint="eastAsia"/>
          <w:szCs w:val="18"/>
          <w:lang w:eastAsia="zh-CN"/>
        </w:rPr>
        <w:t>Guu, K., Lee, K., Tung, Z., Pasupat, P., &amp; Chang, M. (2020, November). Retrieval augmented language model pre-training. In International conference on machine learning (pp. 3929-3938). PMLR.</w:t>
      </w:r>
      <w:bookmarkEnd w:id="1"/>
    </w:p>
    <w:p w14:paraId="24B9FE1F">
      <w:pPr>
        <w:pStyle w:val="34"/>
        <w:numPr>
          <w:ilvl w:val="0"/>
          <w:numId w:val="7"/>
        </w:numPr>
        <w:spacing w:after="60" w:line="240" w:lineRule="auto"/>
        <w:ind w:left="0" w:firstLine="0"/>
        <w:jc w:val="left"/>
        <w:rPr>
          <w:szCs w:val="18"/>
          <w:lang w:eastAsia="zh-CN"/>
        </w:rPr>
      </w:pPr>
      <w:bookmarkStart w:id="2" w:name="_Ref31926"/>
      <w:r>
        <w:rPr>
          <w:rFonts w:hint="eastAsia"/>
          <w:szCs w:val="18"/>
          <w:lang w:eastAsia="zh-CN"/>
        </w:rPr>
        <w:t>Izacard, G., &amp; Grave, E. (2021, April). Leveraging passage retrieval with generative models for open domain question answering. In Proceedings of the 16th conference of the european chapter of the association for computational linguistics: main volume (pp. 874-880).</w:t>
      </w:r>
      <w:bookmarkEnd w:id="2"/>
    </w:p>
    <w:p w14:paraId="0E56B43F">
      <w:pPr>
        <w:pStyle w:val="34"/>
        <w:numPr>
          <w:ilvl w:val="0"/>
          <w:numId w:val="7"/>
        </w:numPr>
        <w:spacing w:after="60" w:line="240" w:lineRule="auto"/>
        <w:ind w:left="0" w:firstLine="0"/>
        <w:jc w:val="left"/>
        <w:rPr>
          <w:szCs w:val="18"/>
          <w:lang w:eastAsia="zh-CN"/>
        </w:rPr>
      </w:pPr>
      <w:bookmarkStart w:id="3" w:name="_Ref32445"/>
      <w:r>
        <w:rPr>
          <w:rFonts w:hint="eastAsia"/>
          <w:szCs w:val="18"/>
          <w:lang w:eastAsia="zh-CN"/>
        </w:rPr>
        <w:t>Borgeaud, S., Mensch, A., Hoffmann, J., Cai, T., Rutherford, E., Millican, K., ... &amp; Sifre, L. (2022, June). Improving language models by retrieving from trillions of tokens. In International conference on machine learning (pp. 2206-2240). PMLR.</w:t>
      </w:r>
      <w:bookmarkEnd w:id="3"/>
    </w:p>
    <w:p w14:paraId="2F4D8538">
      <w:pPr>
        <w:pStyle w:val="34"/>
        <w:numPr>
          <w:ilvl w:val="0"/>
          <w:numId w:val="7"/>
        </w:numPr>
        <w:spacing w:after="60" w:line="240" w:lineRule="auto"/>
        <w:ind w:left="0" w:firstLine="0"/>
        <w:jc w:val="left"/>
        <w:rPr>
          <w:szCs w:val="18"/>
          <w:lang w:eastAsia="zh-CN"/>
        </w:rPr>
      </w:pPr>
      <w:r>
        <w:rPr>
          <w:rFonts w:hint="eastAsia"/>
          <w:szCs w:val="18"/>
          <w:lang w:eastAsia="zh-CN"/>
        </w:rPr>
        <w:t>Gao, Y., Xiong, Y., Gao, X., Jia, K., Pan, J., Bi, Y., ... &amp; Wang, H. (2023). Retrieval-augmented generation for large language models: A survey. arXiv preprint arXiv:2312.10997, 2(1), 32.</w:t>
      </w:r>
    </w:p>
    <w:p w14:paraId="4BFC6EE3">
      <w:pPr>
        <w:pStyle w:val="34"/>
        <w:numPr>
          <w:ilvl w:val="0"/>
          <w:numId w:val="7"/>
        </w:numPr>
        <w:spacing w:after="60" w:line="240" w:lineRule="auto"/>
        <w:ind w:left="0" w:firstLine="0"/>
        <w:jc w:val="left"/>
        <w:rPr>
          <w:szCs w:val="18"/>
          <w:lang w:eastAsia="zh-CN"/>
        </w:rPr>
      </w:pPr>
      <w:bookmarkStart w:id="4" w:name="_Ref32569"/>
      <w:r>
        <w:rPr>
          <w:rFonts w:hint="eastAsia"/>
          <w:szCs w:val="18"/>
          <w:lang w:eastAsia="zh-CN"/>
        </w:rPr>
        <w:t>Asai, A., Wu, Z., Wang, Y., Sil, A., &amp; Hajishirzi, H. (2024, May). Self-rag: Learning to retrieve, generate, and critique through self-reflection. In</w:t>
      </w:r>
      <w:r>
        <w:rPr>
          <w:szCs w:val="18"/>
          <w:lang w:eastAsia="zh-CN"/>
        </w:rPr>
        <w:t> International conference on learning representations (Vol. 2024, pp. 9112-9141)</w:t>
      </w:r>
      <w:r>
        <w:rPr>
          <w:rFonts w:hint="eastAsia"/>
          <w:szCs w:val="18"/>
          <w:lang w:eastAsia="zh-CN"/>
        </w:rPr>
        <w:t>.</w:t>
      </w:r>
      <w:bookmarkEnd w:id="4"/>
    </w:p>
    <w:p w14:paraId="2E36E77D">
      <w:pPr>
        <w:pStyle w:val="34"/>
        <w:numPr>
          <w:ilvl w:val="0"/>
          <w:numId w:val="7"/>
        </w:numPr>
        <w:spacing w:after="60" w:line="240" w:lineRule="auto"/>
        <w:ind w:left="0" w:firstLine="0"/>
        <w:jc w:val="left"/>
        <w:rPr>
          <w:szCs w:val="18"/>
          <w:lang w:eastAsia="zh-CN"/>
        </w:rPr>
      </w:pPr>
      <w:bookmarkStart w:id="5" w:name="_Ref32573"/>
      <w:r>
        <w:rPr>
          <w:rFonts w:hint="eastAsia"/>
          <w:szCs w:val="18"/>
          <w:lang w:eastAsia="zh-CN"/>
        </w:rPr>
        <w:t>Yan, S. Q., Gu, J. C., Zhu, Y., &amp; Ling, Z. H. (2024). Corrective retrieval augmented generation.</w:t>
      </w:r>
      <w:bookmarkEnd w:id="5"/>
    </w:p>
    <w:p w14:paraId="0B5B64E7">
      <w:pPr>
        <w:pStyle w:val="34"/>
        <w:numPr>
          <w:ilvl w:val="0"/>
          <w:numId w:val="7"/>
        </w:numPr>
        <w:spacing w:after="60" w:line="240" w:lineRule="auto"/>
        <w:ind w:left="0" w:firstLine="0"/>
        <w:jc w:val="left"/>
        <w:rPr>
          <w:szCs w:val="18"/>
          <w:lang w:eastAsia="zh-CN"/>
        </w:rPr>
      </w:pPr>
      <w:bookmarkStart w:id="6" w:name="_Ref32579"/>
      <w:r>
        <w:rPr>
          <w:rFonts w:hint="eastAsia"/>
          <w:szCs w:val="18"/>
          <w:lang w:eastAsia="zh-CN"/>
        </w:rPr>
        <w:t>Jeong, S., Baek, J., Cho, S., Hwang, S. J., &amp; Park, J. C. (2024, June). Adaptive-rag: Learning to adapt retrieval-augmented large language models through question complexity. In Proceedings of the 2024 Conference of the North American Chapter of the Association for Computational Linguistics: Human Language Technologies (Volume 1: Long Papers) (pp. 7036-7050).</w:t>
      </w:r>
      <w:bookmarkEnd w:id="6"/>
    </w:p>
    <w:p w14:paraId="4C3AB820">
      <w:pPr>
        <w:pStyle w:val="34"/>
        <w:numPr>
          <w:ilvl w:val="0"/>
          <w:numId w:val="7"/>
        </w:numPr>
        <w:spacing w:after="60" w:line="240" w:lineRule="auto"/>
        <w:ind w:left="0" w:firstLine="0"/>
        <w:jc w:val="left"/>
        <w:rPr>
          <w:szCs w:val="18"/>
          <w:lang w:eastAsia="zh-CN"/>
        </w:rPr>
      </w:pPr>
      <w:bookmarkStart w:id="7" w:name="_Ref32582"/>
      <w:r>
        <w:rPr>
          <w:rFonts w:hint="eastAsia"/>
          <w:szCs w:val="18"/>
          <w:lang w:eastAsia="zh-CN"/>
        </w:rPr>
        <w:t>Sarthi, P., Abdullah, S., Tuli, A., Khanna, S., Goldie, A., &amp; Manning, C. (2024, May). Raptor: Recursive abstractive processing for tree-organized retrieval. In International Conference on Learning Representations (Vol. 2024, pp. 32628-32649).</w:t>
      </w:r>
      <w:bookmarkEnd w:id="7"/>
    </w:p>
    <w:p w14:paraId="03B68509">
      <w:pPr>
        <w:pStyle w:val="34"/>
        <w:numPr>
          <w:ilvl w:val="0"/>
          <w:numId w:val="7"/>
        </w:numPr>
        <w:spacing w:after="60" w:line="240" w:lineRule="auto"/>
        <w:ind w:left="0" w:firstLine="0"/>
        <w:jc w:val="left"/>
        <w:rPr>
          <w:szCs w:val="18"/>
          <w:lang w:eastAsia="zh-CN"/>
        </w:rPr>
      </w:pPr>
      <w:bookmarkStart w:id="8" w:name="_Ref32654"/>
      <w:r>
        <w:rPr>
          <w:rFonts w:hint="eastAsia"/>
          <w:szCs w:val="18"/>
          <w:lang w:eastAsia="zh-CN"/>
        </w:rPr>
        <w:t>Edge, D., Trinh, H., Cheng, N., Bradley, J., Chao, A., Mody, A., ... &amp; Larson, J. (2024). From local to global: A graph rag approach to query-focused summarization. arXiv preprint arXiv:2404.16130.</w:t>
      </w:r>
      <w:bookmarkEnd w:id="8"/>
    </w:p>
    <w:p w14:paraId="0C1A62D8">
      <w:pPr>
        <w:pStyle w:val="34"/>
        <w:numPr>
          <w:ilvl w:val="0"/>
          <w:numId w:val="7"/>
        </w:numPr>
        <w:spacing w:after="60" w:line="240" w:lineRule="auto"/>
        <w:ind w:left="0" w:firstLine="0"/>
        <w:jc w:val="left"/>
        <w:rPr>
          <w:szCs w:val="18"/>
          <w:lang w:eastAsia="zh-CN"/>
        </w:rPr>
      </w:pPr>
      <w:bookmarkStart w:id="9" w:name="_Ref32733"/>
      <w:r>
        <w:rPr>
          <w:rFonts w:hint="eastAsia"/>
          <w:szCs w:val="18"/>
          <w:lang w:eastAsia="zh-CN"/>
        </w:rPr>
        <w:t>Guo, Z., Xia, L., Yu, Y., Ao, T., &amp; Huang, C. (2024). Lightrag: Simple and fast retrieval-augmented generation. arXiv preprint arXiv:2410.05779, 2(3).</w:t>
      </w:r>
      <w:bookmarkEnd w:id="9"/>
    </w:p>
    <w:p w14:paraId="6B4EB143">
      <w:pPr>
        <w:pStyle w:val="34"/>
        <w:numPr>
          <w:ilvl w:val="0"/>
          <w:numId w:val="7"/>
        </w:numPr>
        <w:spacing w:after="60" w:line="240" w:lineRule="auto"/>
        <w:ind w:left="0" w:firstLine="0"/>
        <w:jc w:val="left"/>
        <w:rPr>
          <w:szCs w:val="18"/>
          <w:lang w:eastAsia="zh-CN"/>
        </w:rPr>
      </w:pPr>
      <w:bookmarkStart w:id="10" w:name="_Ref32736"/>
      <w:r>
        <w:rPr>
          <w:rFonts w:hint="eastAsia"/>
          <w:szCs w:val="18"/>
          <w:lang w:eastAsia="zh-CN"/>
        </w:rPr>
        <w:t>Gutiérrez, B. J., Shu, Y., Gu, Y., Yasunaga, M., &amp; Su, Y. (2024). Hipporag: Neurobiologically inspired long-term memory for large language models. Advances in neural information processing systems, 37, 59532-59569.</w:t>
      </w:r>
      <w:bookmarkEnd w:id="10"/>
    </w:p>
    <w:p w14:paraId="44F34B67">
      <w:pPr>
        <w:pStyle w:val="34"/>
        <w:numPr>
          <w:ilvl w:val="0"/>
          <w:numId w:val="7"/>
        </w:numPr>
        <w:spacing w:after="60" w:line="240" w:lineRule="auto"/>
        <w:ind w:left="0" w:firstLine="0"/>
        <w:jc w:val="left"/>
        <w:rPr>
          <w:szCs w:val="18"/>
          <w:lang w:eastAsia="zh-CN"/>
        </w:rPr>
      </w:pPr>
      <w:bookmarkStart w:id="11" w:name="_Ref32739"/>
      <w:r>
        <w:rPr>
          <w:rFonts w:hint="eastAsia"/>
          <w:szCs w:val="18"/>
          <w:lang w:eastAsia="zh-CN"/>
        </w:rPr>
        <w:t>Sun, J., Xu, C., Tang, L., Wang, S., Lin, C., Gong, Y., ... &amp; Guo, J. (2024, May). Think-on-graph: Deep and responsible reasoning of large language model on knowledge graph. In International Conference on Learning Representations (Vol. 2024, pp. 3868-3898).</w:t>
      </w:r>
      <w:bookmarkEnd w:id="11"/>
    </w:p>
    <w:p w14:paraId="44A09632">
      <w:pPr>
        <w:pStyle w:val="34"/>
        <w:numPr>
          <w:ilvl w:val="0"/>
          <w:numId w:val="7"/>
        </w:numPr>
        <w:spacing w:after="60" w:line="240" w:lineRule="auto"/>
        <w:ind w:left="0" w:firstLine="0"/>
        <w:jc w:val="left"/>
        <w:rPr>
          <w:szCs w:val="18"/>
          <w:lang w:eastAsia="zh-CN"/>
        </w:rPr>
      </w:pPr>
      <w:bookmarkStart w:id="12" w:name="_Ref32272"/>
      <w:r>
        <w:rPr>
          <w:rFonts w:hint="eastAsia"/>
          <w:szCs w:val="18"/>
          <w:lang w:eastAsia="zh-CN"/>
        </w:rPr>
        <w:t>Yasunaga, M., Ren, H., Antoine, B., Liang, P., Leskovec, J., &amp; Qa-Gnn. Reasoning with language models and knowledge graphs for question answering. In Proceedings of the 2021 Conference of the North American Chapter of the Association for Computational Linguistics: Human Language Technologies (pp. 535-546).</w:t>
      </w:r>
      <w:bookmarkEnd w:id="12"/>
    </w:p>
    <w:p w14:paraId="5FAEC598">
      <w:pPr>
        <w:pStyle w:val="34"/>
        <w:numPr>
          <w:ilvl w:val="0"/>
          <w:numId w:val="7"/>
        </w:numPr>
        <w:spacing w:after="60" w:line="240" w:lineRule="auto"/>
        <w:ind w:left="0" w:firstLine="0"/>
        <w:jc w:val="left"/>
        <w:rPr>
          <w:szCs w:val="18"/>
          <w:lang w:eastAsia="zh-CN"/>
        </w:rPr>
      </w:pPr>
      <w:bookmarkStart w:id="13" w:name="_Ref23"/>
      <w:r>
        <w:rPr>
          <w:rFonts w:hint="eastAsia"/>
          <w:szCs w:val="18"/>
          <w:lang w:eastAsia="zh-CN"/>
        </w:rPr>
        <w:t>Dasigi, P., Lo, K., Beltagy, I., Cohan, A., Smith, N. A., &amp; Gardner, M. (2021, June). A dataset of information-seeking questions and answers anchored in research papers. In Proceedings of the 2021 Conference of the North American Chapter of the Association for Computational Linguistics: Human Language Technologies (pp. 4599-4610).</w:t>
      </w:r>
      <w:bookmarkEnd w:id="13"/>
    </w:p>
    <w:p w14:paraId="4EDF325B">
      <w:pPr>
        <w:pStyle w:val="34"/>
        <w:numPr>
          <w:ilvl w:val="0"/>
          <w:numId w:val="7"/>
        </w:numPr>
        <w:spacing w:after="60" w:line="240" w:lineRule="auto"/>
        <w:ind w:left="0" w:firstLine="0"/>
        <w:jc w:val="left"/>
        <w:rPr>
          <w:szCs w:val="18"/>
          <w:lang w:eastAsia="zh-CN"/>
        </w:rPr>
      </w:pPr>
      <w:bookmarkStart w:id="14" w:name="_Ref490"/>
      <w:r>
        <w:rPr>
          <w:rFonts w:hint="eastAsia"/>
          <w:szCs w:val="18"/>
          <w:lang w:eastAsia="zh-CN"/>
        </w:rPr>
        <w:t>Lo, K., Wang, L. L., Neumann, M., Kinney, R., &amp; Weld, D. S. (2020, July). S2ORC: The semantic scholar open research corpus. In Proceedings of the 58th annual meeting of the association for computational linguistics (pp. 4969-4983).</w:t>
      </w:r>
      <w:bookmarkEnd w:id="14"/>
    </w:p>
    <w:p w14:paraId="639BBA9A">
      <w:pPr>
        <w:pStyle w:val="34"/>
        <w:numPr>
          <w:ilvl w:val="0"/>
          <w:numId w:val="7"/>
        </w:numPr>
        <w:spacing w:after="60" w:line="240" w:lineRule="auto"/>
        <w:ind w:left="0" w:firstLine="0"/>
        <w:jc w:val="left"/>
        <w:rPr>
          <w:szCs w:val="18"/>
          <w:lang w:eastAsia="zh-CN"/>
        </w:rPr>
      </w:pPr>
      <w:r>
        <w:rPr>
          <w:rFonts w:hint="eastAsia"/>
          <w:szCs w:val="18"/>
          <w:lang w:eastAsia="zh-CN"/>
        </w:rPr>
        <w:t>Beltagy, I., Peters, M. E., &amp; Cohan, A. (2020). Longformer: The long-document transformer. arXiv preprint arXiv:2004.05150.</w:t>
      </w:r>
    </w:p>
    <w:p w14:paraId="68529536">
      <w:pPr>
        <w:pStyle w:val="34"/>
        <w:numPr>
          <w:ilvl w:val="0"/>
          <w:numId w:val="7"/>
        </w:numPr>
        <w:spacing w:after="60" w:line="240" w:lineRule="auto"/>
        <w:ind w:left="0" w:firstLine="0"/>
        <w:jc w:val="left"/>
        <w:rPr>
          <w:szCs w:val="18"/>
          <w:lang w:eastAsia="zh-CN"/>
        </w:rPr>
      </w:pPr>
      <w:r>
        <w:rPr>
          <w:rFonts w:hint="eastAsia"/>
          <w:szCs w:val="18"/>
          <w:lang w:eastAsia="zh-CN"/>
        </w:rPr>
        <w:t>Cohan, A., Dernoncourt, F., Kim, D. S., Bui, T., Kim, S., Chang, W., &amp; Goharian, N. (2018, June). A discourse-aware attention model for abstractive summarization of long documents. In Proceedings of the 2018 Conference of the North American Chapter of the Association for Computational Linguistics: Human Language Technologies, Volume 2 (Short Papers) (pp. 615-621).</w:t>
      </w:r>
    </w:p>
    <w:p w14:paraId="43332EB4">
      <w:pPr>
        <w:pStyle w:val="34"/>
        <w:numPr>
          <w:ilvl w:val="0"/>
          <w:numId w:val="7"/>
        </w:numPr>
        <w:spacing w:after="60" w:line="240" w:lineRule="auto"/>
        <w:ind w:left="0" w:firstLine="0"/>
        <w:jc w:val="left"/>
        <w:rPr>
          <w:szCs w:val="18"/>
          <w:lang w:eastAsia="zh-CN"/>
        </w:rPr>
      </w:pPr>
      <w:bookmarkStart w:id="15" w:name="_Ref32324"/>
      <w:r>
        <w:rPr>
          <w:rFonts w:hint="eastAsia"/>
          <w:szCs w:val="18"/>
          <w:lang w:eastAsia="zh-CN"/>
        </w:rPr>
        <w:t>Lála, J., O'Donoghue, O., Shtedritski, A., Cox, S., Rodriques, S. G., &amp; White, A. D. (2023). Paperqa: Retrieval-augmented generative agent for scientific research. arXiv preprint arXiv:2312.07559.</w:t>
      </w:r>
      <w:bookmarkEnd w:id="15"/>
    </w:p>
    <w:p w14:paraId="1D93936C">
      <w:pPr>
        <w:pStyle w:val="34"/>
        <w:numPr>
          <w:ilvl w:val="0"/>
          <w:numId w:val="7"/>
        </w:numPr>
        <w:spacing w:after="60" w:line="240" w:lineRule="auto"/>
        <w:ind w:left="0" w:firstLine="0"/>
        <w:jc w:val="left"/>
        <w:rPr>
          <w:szCs w:val="18"/>
          <w:lang w:eastAsia="zh-CN"/>
        </w:rPr>
      </w:pPr>
      <w:r>
        <w:rPr>
          <w:rFonts w:hint="eastAsia"/>
          <w:szCs w:val="18"/>
          <w:lang w:eastAsia="zh-CN"/>
        </w:rPr>
        <w:t>Fok, R., Kambhamettu, H., Soldaini, L., Bragg, J., Lo, K., Hearst, M., ... &amp; Weld, D. S. (2023, March). Scim: Intelligent skimming support for scientific papers. In Proceedings of the 28th International Conference on Intelligent User Interfaces (pp. 476-490).</w:t>
      </w:r>
    </w:p>
    <w:p w14:paraId="418B5C84">
      <w:pPr>
        <w:pStyle w:val="34"/>
        <w:numPr>
          <w:ilvl w:val="0"/>
          <w:numId w:val="7"/>
        </w:numPr>
        <w:spacing w:after="60" w:line="240" w:lineRule="auto"/>
        <w:ind w:left="0" w:firstLine="0"/>
        <w:jc w:val="left"/>
        <w:rPr>
          <w:szCs w:val="18"/>
          <w:lang w:eastAsia="zh-CN"/>
        </w:rPr>
      </w:pPr>
      <w:bookmarkStart w:id="16" w:name="_Ref89"/>
      <w:r>
        <w:rPr>
          <w:rFonts w:hint="eastAsia"/>
          <w:szCs w:val="18"/>
          <w:lang w:eastAsia="zh-CN"/>
        </w:rPr>
        <w:t>Thorne, J., Vlachos, A., Christodoulopoulos, C., &amp; Mittal, A. (2018, June). FEVER: a large-scale dataset for fact extraction and VERification. In Proceedings of the 2018 Conference of the North American Chapter of the Association for Computational Linguistics: Human Language Technologies, Volume 1 (Long Papers) (pp. 809-819).</w:t>
      </w:r>
      <w:bookmarkEnd w:id="16"/>
    </w:p>
    <w:p w14:paraId="1A691C55">
      <w:pPr>
        <w:pStyle w:val="34"/>
        <w:numPr>
          <w:ilvl w:val="0"/>
          <w:numId w:val="7"/>
        </w:numPr>
        <w:spacing w:after="60" w:line="240" w:lineRule="auto"/>
        <w:ind w:left="0" w:firstLine="0"/>
        <w:jc w:val="left"/>
        <w:rPr>
          <w:szCs w:val="18"/>
          <w:lang w:eastAsia="zh-CN"/>
        </w:rPr>
      </w:pPr>
      <w:bookmarkStart w:id="17" w:name="_Ref92"/>
      <w:r>
        <w:rPr>
          <w:rFonts w:hint="eastAsia"/>
          <w:szCs w:val="18"/>
          <w:lang w:eastAsia="zh-CN"/>
        </w:rPr>
        <w:t>Wadden, D., Lin, S., Lo, K., Wang, L. L., van Zuylen, M., Cohan, A., &amp; Hajishirzi, H. (2020, November). Fact or fiction: Verifying scientific claims. In Proceedings of the 2020 Conference on Empirical Methods in Natural Language Processing (EMNLP) (pp. 7534-7550).</w:t>
      </w:r>
      <w:bookmarkEnd w:id="17"/>
    </w:p>
    <w:p w14:paraId="4D709D54">
      <w:pPr>
        <w:pStyle w:val="34"/>
        <w:numPr>
          <w:ilvl w:val="0"/>
          <w:numId w:val="7"/>
        </w:numPr>
        <w:spacing w:after="60" w:line="240" w:lineRule="auto"/>
        <w:ind w:left="0" w:firstLine="0"/>
        <w:jc w:val="left"/>
        <w:rPr>
          <w:szCs w:val="18"/>
          <w:lang w:eastAsia="zh-CN"/>
        </w:rPr>
      </w:pPr>
      <w:bookmarkStart w:id="18" w:name="_Ref95"/>
      <w:r>
        <w:rPr>
          <w:rFonts w:hint="eastAsia"/>
          <w:szCs w:val="18"/>
          <w:lang w:eastAsia="zh-CN"/>
        </w:rPr>
        <w:t>Kotonya, N., &amp; Toni, F. (2020, November). Explainable automated fact-checking for public health claims. In Proceedings of the 2020 Conference on Empirical Methods in Natural Language Processing (EMNLP) (pp. 7740-7754).</w:t>
      </w:r>
      <w:bookmarkEnd w:id="18"/>
    </w:p>
    <w:p w14:paraId="74507F0C">
      <w:pPr>
        <w:pStyle w:val="34"/>
        <w:numPr>
          <w:ilvl w:val="0"/>
          <w:numId w:val="7"/>
        </w:numPr>
        <w:spacing w:after="60" w:line="240" w:lineRule="auto"/>
        <w:ind w:left="0" w:firstLine="0"/>
        <w:jc w:val="left"/>
        <w:rPr>
          <w:szCs w:val="18"/>
          <w:lang w:eastAsia="zh-CN"/>
        </w:rPr>
      </w:pPr>
      <w:bookmarkStart w:id="19" w:name="_Ref99"/>
      <w:r>
        <w:rPr>
          <w:rFonts w:hint="eastAsia"/>
          <w:szCs w:val="18"/>
          <w:lang w:eastAsia="zh-CN"/>
        </w:rPr>
        <w:t>Pradeep, R., Ma, X., Nogueira, R., &amp; Lin, J. (2021, April). Scientific claim verification with VerT5erini. In Proceedings of the 12th International Workshop on Health Text Mining and Information Analysis (pp. 94-103).</w:t>
      </w:r>
      <w:bookmarkEnd w:id="19"/>
    </w:p>
    <w:p w14:paraId="4F26DFE7">
      <w:pPr>
        <w:pStyle w:val="34"/>
        <w:numPr>
          <w:ilvl w:val="0"/>
          <w:numId w:val="7"/>
        </w:numPr>
        <w:spacing w:after="60" w:line="240" w:lineRule="auto"/>
        <w:ind w:left="0" w:firstLine="0"/>
        <w:jc w:val="left"/>
        <w:rPr>
          <w:szCs w:val="18"/>
          <w:lang w:eastAsia="zh-CN"/>
        </w:rPr>
      </w:pPr>
      <w:bookmarkStart w:id="20" w:name="_Ref164"/>
      <w:r>
        <w:rPr>
          <w:rFonts w:hint="eastAsia"/>
          <w:szCs w:val="18"/>
          <w:lang w:eastAsia="zh-CN"/>
        </w:rPr>
        <w:t>Schuster, T., Fisch, A., &amp; Barzilay, R. (2021, June). Get your vitamin C! robust fact verification with contrastive evidence. In Proceedings of the 2021 conference of the North American chapter of the Association for Computational Linguistics: Human language technologies (pp. 624-643).</w:t>
      </w:r>
      <w:bookmarkEnd w:id="20"/>
    </w:p>
    <w:p w14:paraId="2168742A">
      <w:pPr>
        <w:pStyle w:val="34"/>
        <w:numPr>
          <w:ilvl w:val="0"/>
          <w:numId w:val="7"/>
        </w:numPr>
        <w:spacing w:after="60" w:line="240" w:lineRule="auto"/>
        <w:ind w:left="0" w:firstLine="0"/>
        <w:jc w:val="left"/>
        <w:rPr>
          <w:szCs w:val="18"/>
          <w:lang w:eastAsia="zh-CN"/>
        </w:rPr>
      </w:pPr>
      <w:bookmarkStart w:id="21" w:name="_Ref167"/>
      <w:r>
        <w:rPr>
          <w:rFonts w:hint="eastAsia"/>
          <w:szCs w:val="18"/>
          <w:lang w:eastAsia="zh-CN"/>
        </w:rPr>
        <w:t>Niu, C., Wu, Y., Zhu, J., Xu, S., Shum, K., Zhong, R., ... &amp; Zhang, T. (2024, August). Ragtruth: A hallucination corpus for developing trustworthy retrieval-augmented language models. In Proceedings of the 62nd Annual Meeting of the Association for Computational Linguistics (Volume 1: Long Papers) (pp. 10862-10878).</w:t>
      </w:r>
      <w:bookmarkEnd w:id="21"/>
    </w:p>
    <w:p w14:paraId="3F3D4188">
      <w:pPr>
        <w:pStyle w:val="34"/>
        <w:numPr>
          <w:ilvl w:val="0"/>
          <w:numId w:val="7"/>
        </w:numPr>
        <w:spacing w:after="60" w:line="240" w:lineRule="auto"/>
        <w:ind w:left="0" w:firstLine="0"/>
        <w:jc w:val="left"/>
        <w:rPr>
          <w:szCs w:val="18"/>
          <w:lang w:eastAsia="zh-CN"/>
        </w:rPr>
      </w:pPr>
      <w:bookmarkStart w:id="22" w:name="_Ref360"/>
      <w:r>
        <w:rPr>
          <w:rFonts w:hint="eastAsia"/>
          <w:szCs w:val="18"/>
          <w:lang w:eastAsia="zh-CN"/>
        </w:rPr>
        <w:t>Min, S., Krishna, K., Lyu, X., Lewis, M., Yih, W. T., Koh, P., ... &amp; Hajishirzi, H. (2023, December). Factscore: Fine-grained atomic evaluation of factual precision in long form text generation. In Proceedings of the 2023 Conference on Empirical Methods in Natural Language Processing (pp. 12076-12100).</w:t>
      </w:r>
      <w:bookmarkEnd w:id="22"/>
    </w:p>
    <w:p w14:paraId="2C07C2D1">
      <w:pPr>
        <w:pStyle w:val="34"/>
        <w:numPr>
          <w:ilvl w:val="0"/>
          <w:numId w:val="7"/>
        </w:numPr>
        <w:spacing w:after="60" w:line="240" w:lineRule="auto"/>
        <w:ind w:left="0" w:firstLine="0"/>
        <w:jc w:val="left"/>
        <w:rPr>
          <w:szCs w:val="18"/>
          <w:lang w:eastAsia="zh-CN"/>
        </w:rPr>
      </w:pPr>
      <w:bookmarkStart w:id="23" w:name="_Ref366"/>
      <w:r>
        <w:rPr>
          <w:rFonts w:hint="eastAsia"/>
          <w:szCs w:val="18"/>
          <w:lang w:eastAsia="zh-CN"/>
        </w:rPr>
        <w:t>Gao, T., Yen, H., Yu, J., &amp; Chen, D. (2023, December). Enabling large language models to generate text with citations. In Proceedings of the 2023 Conference on Empirical Methods in Natural Language Processing (pp. 6465-6488).</w:t>
      </w:r>
      <w:bookmarkEnd w:id="23"/>
    </w:p>
    <w:p w14:paraId="40C99F8C">
      <w:pPr>
        <w:pStyle w:val="34"/>
        <w:numPr>
          <w:ilvl w:val="0"/>
          <w:numId w:val="7"/>
        </w:numPr>
        <w:spacing w:after="60" w:line="240" w:lineRule="auto"/>
        <w:ind w:left="0" w:firstLine="0"/>
        <w:jc w:val="left"/>
        <w:rPr>
          <w:szCs w:val="18"/>
          <w:lang w:eastAsia="zh-CN"/>
        </w:rPr>
      </w:pPr>
      <w:bookmarkStart w:id="24" w:name="_Ref370"/>
      <w:r>
        <w:rPr>
          <w:rFonts w:hint="eastAsia"/>
          <w:szCs w:val="18"/>
          <w:lang w:eastAsia="zh-CN"/>
        </w:rPr>
        <w:t>Bohnet, B., Tran, V. Q., Verga, P., Aharoni, R., Andor, D., Soares, L. B., ... &amp; Webster, K. (2022). Attributed question answering: Evaluation and modeling for attributed large language models. arXiv preprint arXiv:2212.08037.</w:t>
      </w:r>
      <w:bookmarkEnd w:id="24"/>
    </w:p>
    <w:p w14:paraId="11FA8C9D">
      <w:pPr>
        <w:pStyle w:val="34"/>
        <w:numPr>
          <w:ilvl w:val="0"/>
          <w:numId w:val="7"/>
        </w:numPr>
        <w:spacing w:after="60" w:line="240" w:lineRule="auto"/>
        <w:ind w:left="0" w:firstLine="0"/>
        <w:jc w:val="left"/>
        <w:rPr>
          <w:szCs w:val="18"/>
          <w:lang w:eastAsia="zh-CN"/>
        </w:rPr>
      </w:pPr>
      <w:bookmarkStart w:id="25" w:name="_Ref373"/>
      <w:r>
        <w:rPr>
          <w:rFonts w:hint="eastAsia"/>
          <w:szCs w:val="18"/>
          <w:lang w:eastAsia="zh-CN"/>
        </w:rPr>
        <w:t>Es, S., James, J., Anke, L. E., &amp; Schockaert, S. (2024, March). Ragas: Automated evaluation of retrieval augmented generation. In Proceedings of the 18th conference of the european chapter of the association for computational linguistics: system demonstrations (pp. 150-158).</w:t>
      </w:r>
      <w:bookmarkEnd w:id="25"/>
    </w:p>
    <w:p w14:paraId="53F112D7">
      <w:pPr>
        <w:pStyle w:val="34"/>
        <w:numPr>
          <w:ilvl w:val="0"/>
          <w:numId w:val="7"/>
        </w:numPr>
        <w:spacing w:after="60" w:line="240" w:lineRule="auto"/>
        <w:ind w:left="0" w:firstLine="0"/>
        <w:jc w:val="left"/>
        <w:rPr>
          <w:szCs w:val="18"/>
          <w:lang w:eastAsia="zh-CN"/>
        </w:rPr>
      </w:pPr>
      <w:bookmarkStart w:id="26" w:name="_Ref376"/>
      <w:r>
        <w:rPr>
          <w:rFonts w:hint="eastAsia"/>
          <w:szCs w:val="18"/>
          <w:lang w:eastAsia="zh-CN"/>
        </w:rPr>
        <w:t>Saad-Falcon, J., Khattab, O., Potts, C., &amp; Zaharia, M. (2024, June). Ares: An automated evaluation framework for retrieval-augmented generation systems. In Proceedings of the 2024 Conference of the North American Chapter of the Association for Computational Linguistics: Human Language Technologies (Volume 1: Long Papers) (pp. 338-354).</w:t>
      </w:r>
      <w:bookmarkEnd w:id="26"/>
    </w:p>
    <w:p w14:paraId="626C9799">
      <w:pPr>
        <w:pStyle w:val="34"/>
        <w:numPr>
          <w:ilvl w:val="0"/>
          <w:numId w:val="7"/>
        </w:numPr>
        <w:spacing w:after="60" w:line="240" w:lineRule="auto"/>
        <w:ind w:left="0" w:firstLine="0"/>
        <w:jc w:val="left"/>
        <w:rPr>
          <w:szCs w:val="18"/>
          <w:lang w:eastAsia="zh-CN"/>
        </w:rPr>
      </w:pPr>
      <w:bookmarkStart w:id="27" w:name="_Ref425"/>
      <w:r>
        <w:rPr>
          <w:rFonts w:hint="eastAsia"/>
          <w:szCs w:val="18"/>
          <w:lang w:eastAsia="zh-CN"/>
        </w:rPr>
        <w:t>Rajpurkar, P., Jia, R., &amp; Liang, P. (2018, July). Know what you don’t know: Unanswerable questions for SQuAD. In Proceedings of the 56th Annual Meeting of the Association for Computational Linguistics (Volume 2: Short Papers) (pp. 784-789).</w:t>
      </w:r>
      <w:bookmarkEnd w:id="27"/>
    </w:p>
    <w:p w14:paraId="7B00AC15">
      <w:pPr>
        <w:pStyle w:val="34"/>
        <w:numPr>
          <w:ilvl w:val="0"/>
          <w:numId w:val="7"/>
        </w:numPr>
        <w:spacing w:after="60" w:line="240" w:lineRule="auto"/>
        <w:ind w:left="0" w:firstLine="0"/>
        <w:jc w:val="left"/>
        <w:rPr>
          <w:szCs w:val="18"/>
          <w:lang w:eastAsia="zh-CN"/>
        </w:rPr>
      </w:pPr>
      <w:bookmarkStart w:id="28" w:name="_Ref32328"/>
      <w:r>
        <w:rPr>
          <w:rFonts w:hint="eastAsia"/>
          <w:szCs w:val="18"/>
          <w:lang w:eastAsia="zh-CN"/>
        </w:rPr>
        <w:t>Stelmakh, I., Luan, Y., Dhingra, B., &amp; Chang, M. W. (2022, December). ASQA: Factoid questions meet long-form answers. In Proceedings of the 2022 Conference on Empirical Methods in Natural Language Processing (pp. 8273-8288).</w:t>
      </w:r>
      <w:bookmarkEnd w:id="28"/>
    </w:p>
    <w:sectPr>
      <w:headerReference r:id="rId7" w:type="first"/>
      <w:footerReference r:id="rId10" w:type="first"/>
      <w:headerReference r:id="rId5" w:type="default"/>
      <w:footerReference r:id="rId8" w:type="default"/>
      <w:headerReference r:id="rId6" w:type="even"/>
      <w:footerReference r:id="rId9"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embedRegular r:id="rId1" w:fontKey="{749EC54F-6505-4E2B-8908-A4A637F3D185}"/>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embedRegular r:id="rId2" w:fontKey="{B3AAA02D-FA68-40D7-8B29-B4AEC5C08CD1}"/>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5FFE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CDF74">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769F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34CCE">
    <w:pPr>
      <w:pStyle w:val="36"/>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B2D57">
    <w:pPr>
      <w:pStyle w:val="35"/>
    </w:pPr>
    <w:r>
      <w:fldChar w:fldCharType="begin"/>
    </w:r>
    <w:r>
      <w:instrText xml:space="preserve">PAGE   \* MERGEFORMAT</w:instrText>
    </w:r>
    <w:r>
      <w:fldChar w:fldCharType="separate"/>
    </w:r>
    <w:r>
      <w:t>2</w:t>
    </w:r>
    <w:r>
      <w:fldChar w:fldCharType="end"/>
    </w:r>
    <w:r>
      <w:t xml:space="preserve"> </w:t>
    </w:r>
    <w:r>
      <w:tab/>
    </w:r>
    <w:r>
      <w:t>F. Author and S. Author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765A">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ADE906"/>
    <w:multiLevelType w:val="singleLevel"/>
    <w:tmpl w:val="FCADE906"/>
    <w:lvl w:ilvl="0" w:tentative="0">
      <w:start w:val="1"/>
      <w:numFmt w:val="decimal"/>
      <w:suff w:val="space"/>
      <w:lvlText w:val="%1."/>
      <w:lvlJc w:val="left"/>
    </w:lvl>
  </w:abstractNum>
  <w:abstractNum w:abstractNumId="1">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2">
    <w:nsid w:val="666A5BCF"/>
    <w:multiLevelType w:val="singleLevel"/>
    <w:tmpl w:val="666A5BCF"/>
    <w:lvl w:ilvl="0" w:tentative="0">
      <w:start w:val="1"/>
      <w:numFmt w:val="decimal"/>
      <w:suff w:val="space"/>
      <w:lvlText w:val="[%1]"/>
      <w:lvlJc w:val="left"/>
    </w:lvl>
  </w:abstractNum>
  <w:abstractNum w:abstractNumId="3">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4">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1"/>
  </w:num>
  <w:num w:numId="2">
    <w:abstractNumId w:val="3"/>
  </w:num>
  <w:num w:numId="3">
    <w:abstractNumId w:val="4"/>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saveSubset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rIwNDIyNTIyszA3NDRT0lEKTi0uzszPAykwrAUAZs1hwywAAAA="/>
  </w:docVars>
  <w:rsids>
    <w:rsidRoot w:val="009F7FCE"/>
    <w:rsid w:val="000E2716"/>
    <w:rsid w:val="000F61FA"/>
    <w:rsid w:val="00155072"/>
    <w:rsid w:val="001C5FC1"/>
    <w:rsid w:val="001F0A4E"/>
    <w:rsid w:val="00225EEF"/>
    <w:rsid w:val="002731CB"/>
    <w:rsid w:val="00361633"/>
    <w:rsid w:val="004A4033"/>
    <w:rsid w:val="00514586"/>
    <w:rsid w:val="00572BBA"/>
    <w:rsid w:val="007F4C05"/>
    <w:rsid w:val="00937A15"/>
    <w:rsid w:val="0095682A"/>
    <w:rsid w:val="009930E4"/>
    <w:rsid w:val="009B2539"/>
    <w:rsid w:val="009F7FCE"/>
    <w:rsid w:val="00A13D60"/>
    <w:rsid w:val="00A221AF"/>
    <w:rsid w:val="00B23481"/>
    <w:rsid w:val="00C33D0B"/>
    <w:rsid w:val="00D37E42"/>
    <w:rsid w:val="00E13522"/>
    <w:rsid w:val="00EC22D0"/>
    <w:rsid w:val="00F321B4"/>
    <w:rsid w:val="00F37954"/>
    <w:rsid w:val="00FE7291"/>
    <w:rsid w:val="01557C2C"/>
    <w:rsid w:val="05BA56F5"/>
    <w:rsid w:val="06B777E3"/>
    <w:rsid w:val="081D1247"/>
    <w:rsid w:val="08BD0334"/>
    <w:rsid w:val="0C35694B"/>
    <w:rsid w:val="187A4202"/>
    <w:rsid w:val="268F7C04"/>
    <w:rsid w:val="27930786"/>
    <w:rsid w:val="2992123E"/>
    <w:rsid w:val="2D662A30"/>
    <w:rsid w:val="32FF00B4"/>
    <w:rsid w:val="39E6508D"/>
    <w:rsid w:val="558246D1"/>
    <w:rsid w:val="614C10F6"/>
    <w:rsid w:val="66E85155"/>
    <w:rsid w:val="6CBF0CA2"/>
    <w:rsid w:val="70FC02E9"/>
    <w:rsid w:val="71B702C3"/>
    <w:rsid w:val="7771703D"/>
    <w:rsid w:val="778242B6"/>
    <w:rsid w:val="79C46EB6"/>
    <w:rsid w:val="7A0B580E"/>
    <w:rsid w:val="7CEA58C8"/>
    <w:rsid w:val="7DA1073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semiHidden="0" w:name="header"/>
    <w:lsdException w:qFormat="1" w:uiPriority="0"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qFormat="1"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name="Hyperlink"/>
    <w:lsdException w:unhideWhenUsed="0" w:uiPriority="0" w:name="FollowedHyperlink"/>
    <w:lsdException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Change w:id="0" w:author="LIU, Xintao [LSGI]" w:date="2026-05-09T22:54:00Z">
        <w:pPr>
          <w:overflowPunct w:val="0"/>
          <w:autoSpaceDE w:val="0"/>
          <w:autoSpaceDN w:val="0"/>
          <w:adjustRightInd w:val="0"/>
          <w:spacing w:line="240" w:lineRule="atLeast"/>
          <w:ind w:firstLine="227"/>
          <w:jc w:val="both"/>
          <w:textAlignment w:val="baseline"/>
        </w:pPr>
      </w:pPrChange>
    </w:pPr>
    <w:rPr>
      <w:rFonts w:ascii="Times New Roman" w:hAnsi="Times New Roman" w:eastAsia="Times New Roman" w:cs="Times New Roman"/>
      <w:lang w:val="en-US" w:eastAsia="en-US" w:bidi="ar-SA"/>
      <w:rPrChange w:id="1" w:author="LIU, Xintao [LSGI]" w:date="2026-05-09T22:54:00Z">
        <w:rPr>
          <w:lang w:val="en-US" w:eastAsia="en-US" w:bidi="ar-SA"/>
        </w:rPr>
      </w:rPrChange>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7">
    <w:name w:val="caption"/>
    <w:basedOn w:val="1"/>
    <w:next w:val="1"/>
    <w:semiHidden/>
    <w:qFormat/>
    <w:uiPriority w:val="0"/>
    <w:pPr>
      <w:pPrChange w:id="2" w:author="LIU, Xintao [LSGI]" w:date="2026-05-09T22:54:00Z">
        <w:pPr>
          <w:overflowPunct w:val="0"/>
          <w:autoSpaceDE w:val="0"/>
          <w:autoSpaceDN w:val="0"/>
          <w:adjustRightInd w:val="0"/>
          <w:spacing w:line="240" w:lineRule="atLeast"/>
          <w:ind w:firstLine="227"/>
          <w:jc w:val="both"/>
          <w:textAlignment w:val="baseline"/>
        </w:pPr>
      </w:pPrChange>
    </w:pPr>
    <w:rPr>
      <w:rFonts w:ascii="Arial" w:hAnsi="Arial" w:eastAsia="黑体"/>
      <w:rPrChange w:id="3" w:author="LIU, Xintao [LSGI]" w:date="2026-05-09T22:54:00Z">
        <w:rPr>
          <w:rFonts w:ascii="Arial" w:hAnsi="Arial" w:eastAsia="黑体"/>
          <w:lang w:val="en-US" w:eastAsia="en-US" w:bidi="ar-SA"/>
        </w:rPr>
      </w:rPrChange>
    </w:rPr>
  </w:style>
  <w:style w:type="paragraph" w:styleId="8">
    <w:name w:val="footer"/>
    <w:basedOn w:val="1"/>
    <w:unhideWhenUsed/>
    <w:qFormat/>
    <w:uiPriority w:val="0"/>
    <w:pPr>
      <w:pPrChange w:id="4" w:author="LIU, Xintao [LSGI]" w:date="2026-05-09T22:54:00Z">
        <w:pPr>
          <w:overflowPunct w:val="0"/>
          <w:autoSpaceDE w:val="0"/>
          <w:autoSpaceDN w:val="0"/>
          <w:adjustRightInd w:val="0"/>
          <w:spacing w:line="240" w:lineRule="atLeast"/>
          <w:ind w:firstLine="227"/>
          <w:jc w:val="both"/>
          <w:textAlignment w:val="baseline"/>
        </w:pPr>
      </w:pPrChange>
    </w:pPr>
    <w:rPr>
      <w:rPrChange w:id="5" w:author="LIU, Xintao [LSGI]" w:date="2026-05-09T22:54:00Z">
        <w:rPr>
          <w:lang w:val="en-US" w:eastAsia="en-US" w:bidi="ar-SA"/>
        </w:rPr>
      </w:rPrChange>
    </w:rPr>
  </w:style>
  <w:style w:type="paragraph" w:styleId="9">
    <w:name w:val="header"/>
    <w:basedOn w:val="1"/>
    <w:unhideWhenUsed/>
    <w:qFormat/>
    <w:uiPriority w:val="0"/>
    <w:pPr>
      <w:tabs>
        <w:tab w:val="center" w:pos="4536"/>
        <w:tab w:val="right" w:pos="9072"/>
      </w:tabs>
      <w:ind w:firstLine="0"/>
      <w:pPrChange w:id="6" w:author="LIU, Xintao [LSGI]" w:date="2026-05-09T22:54:00Z">
        <w:pPr>
          <w:overflowPunct w:val="0"/>
          <w:autoSpaceDE w:val="0"/>
          <w:autoSpaceDN w:val="0"/>
          <w:adjustRightInd w:val="0"/>
          <w:spacing w:line="240" w:lineRule="atLeast"/>
          <w:jc w:val="both"/>
          <w:textAlignment w:val="baseline"/>
        </w:pPr>
      </w:pPrChange>
    </w:pPr>
    <w:rPr>
      <w:sz w:val="18"/>
      <w:szCs w:val="18"/>
      <w:rPrChange w:id="7" w:author="LIU, Xintao [LSGI]" w:date="2026-05-09T22:54:00Z">
        <w:rPr>
          <w:sz w:val="18"/>
          <w:szCs w:val="18"/>
          <w:lang w:val="en-US" w:eastAsia="en-US" w:bidi="ar-SA"/>
        </w:rPr>
      </w:rPrChange>
    </w:rPr>
  </w:style>
  <w:style w:type="paragraph" w:styleId="10">
    <w:name w:val="footnote text"/>
    <w:basedOn w:val="1"/>
    <w:semiHidden/>
    <w:qFormat/>
    <w:uiPriority w:val="0"/>
    <w:pPr>
      <w:spacing w:line="220" w:lineRule="atLeast"/>
      <w:ind w:left="227" w:hanging="227"/>
    </w:pPr>
    <w:rPr>
      <w:sz w:val="18"/>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semiHidden/>
    <w:unhideWhenUsed/>
    <w:qFormat/>
    <w:uiPriority w:val="0"/>
    <w:rPr>
      <w:sz w:val="18"/>
    </w:rPr>
  </w:style>
  <w:style w:type="character" w:styleId="15">
    <w:name w:val="Hyperlink"/>
    <w:basedOn w:val="13"/>
    <w:semiHidden/>
    <w:unhideWhenUsed/>
    <w:qFormat/>
    <w:uiPriority w:val="0"/>
    <w:rPr>
      <w:color w:val="auto"/>
      <w:u w:val="none"/>
    </w:rPr>
  </w:style>
  <w:style w:type="character" w:styleId="16">
    <w:name w:val="footnote reference"/>
    <w:basedOn w:val="13"/>
    <w:semiHidden/>
    <w:unhideWhenUsed/>
    <w:qFormat/>
    <w:uiPriority w:val="0"/>
    <w:rPr>
      <w:position w:val="0"/>
      <w:vertAlign w:val="superscript"/>
    </w:rPr>
  </w:style>
  <w:style w:type="paragraph" w:customStyle="1" w:styleId="17">
    <w:name w:val="abstract"/>
    <w:basedOn w:val="1"/>
    <w:qFormat/>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qFormat/>
    <w:uiPriority w:val="0"/>
    <w:pPr>
      <w:spacing w:after="200" w:line="220" w:lineRule="atLeast"/>
      <w:ind w:firstLine="0"/>
      <w:jc w:val="center"/>
    </w:pPr>
  </w:style>
  <w:style w:type="paragraph" w:customStyle="1" w:styleId="20">
    <w:name w:val="bulletitem"/>
    <w:basedOn w:val="1"/>
    <w:qFormat/>
    <w:uiPriority w:val="0"/>
    <w:pPr>
      <w:numPr>
        <w:ilvl w:val="0"/>
        <w:numId w:val="1"/>
      </w:numPr>
      <w:spacing w:before="160" w:after="160"/>
      <w:contextualSpacing/>
      <w:pPrChange w:id="8" w:author="LIU, Xintao [LSGI]" w:date="2026-05-09T22:54:00Z">
        <w:pPr>
          <w:numPr>
            <w:numId w:val="1"/>
          </w:numPr>
          <w:overflowPunct w:val="0"/>
          <w:autoSpaceDE w:val="0"/>
          <w:autoSpaceDN w:val="0"/>
          <w:adjustRightInd w:val="0"/>
          <w:spacing w:before="160" w:after="160" w:line="240" w:lineRule="atLeast"/>
          <w:ind w:left="227" w:hanging="227"/>
          <w:contextualSpacing/>
          <w:jc w:val="both"/>
          <w:textAlignment w:val="baseline"/>
        </w:pPr>
      </w:pPrChange>
    </w:pPr>
    <w:rPr>
      <w:rPrChange w:id="9" w:author="LIU, Xintao [LSGI]" w:date="2026-05-09T22:54:00Z">
        <w:rPr>
          <w:lang w:val="en-US" w:eastAsia="en-US" w:bidi="ar-SA"/>
        </w:rPr>
      </w:rPrChange>
    </w:rPr>
  </w:style>
  <w:style w:type="paragraph" w:customStyle="1" w:styleId="21">
    <w:name w:val="dashitem"/>
    <w:basedOn w:val="1"/>
    <w:qFormat/>
    <w:uiPriority w:val="0"/>
    <w:pPr>
      <w:numPr>
        <w:ilvl w:val="0"/>
        <w:numId w:val="2"/>
      </w:numPr>
      <w:spacing w:before="160" w:after="160"/>
      <w:contextualSpacing/>
      <w:pPrChange w:id="10" w:author="LIU, Xintao [LSGI]" w:date="2026-05-09T22:54:00Z">
        <w:pPr>
          <w:numPr>
            <w:numId w:val="2"/>
          </w:numPr>
          <w:overflowPunct w:val="0"/>
          <w:autoSpaceDE w:val="0"/>
          <w:autoSpaceDN w:val="0"/>
          <w:adjustRightInd w:val="0"/>
          <w:spacing w:before="160" w:after="160" w:line="240" w:lineRule="atLeast"/>
          <w:ind w:left="227" w:hanging="227"/>
          <w:contextualSpacing/>
          <w:jc w:val="both"/>
          <w:textAlignment w:val="baseline"/>
        </w:pPr>
      </w:pPrChange>
    </w:pPr>
    <w:rPr>
      <w:rPrChange w:id="11" w:author="LIU, Xintao [LSGI]" w:date="2026-05-09T22:54:00Z">
        <w:rPr>
          <w:lang w:val="en-US" w:eastAsia="en-US" w:bidi="ar-SA"/>
        </w:rPr>
      </w:rPrChange>
    </w:rPr>
  </w:style>
  <w:style w:type="character" w:customStyle="1" w:styleId="22">
    <w:name w:val="e-mail"/>
    <w:basedOn w:val="13"/>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qFormat/>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Change w:id="12" w:author="LIU, Xintao [LSGI]" w:date="2026-05-09T22:54:00Z">
        <w:pPr>
          <w:keepNext/>
          <w:keepLines/>
          <w:numPr>
            <w:numId w:val="3"/>
          </w:numPr>
          <w:suppressAutoHyphens/>
          <w:overflowPunct w:val="0"/>
          <w:autoSpaceDE w:val="0"/>
          <w:autoSpaceDN w:val="0"/>
          <w:adjustRightInd w:val="0"/>
          <w:spacing w:before="360" w:after="240" w:line="300" w:lineRule="atLeast"/>
          <w:ind w:left="567" w:hanging="567"/>
          <w:textAlignment w:val="baseline"/>
          <w:outlineLvl w:val="0"/>
        </w:pPr>
      </w:pPrChange>
    </w:pPr>
    <w:rPr>
      <w:b/>
      <w:sz w:val="24"/>
      <w:rPrChange w:id="13" w:author="LIU, Xintao [LSGI]" w:date="2026-05-09T22:54:00Z">
        <w:rPr>
          <w:b/>
          <w:sz w:val="24"/>
          <w:lang w:val="en-US" w:eastAsia="en-US" w:bidi="ar-SA"/>
        </w:rPr>
      </w:rPrChange>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Change w:id="14" w:author="LIU, Xintao [LSGI]" w:date="2026-05-09T22:54:00Z">
        <w:pPr>
          <w:keepNext/>
          <w:keepLines/>
          <w:numPr>
            <w:ilvl w:val="1"/>
            <w:numId w:val="3"/>
          </w:numPr>
          <w:suppressAutoHyphens/>
          <w:overflowPunct w:val="0"/>
          <w:autoSpaceDE w:val="0"/>
          <w:autoSpaceDN w:val="0"/>
          <w:adjustRightInd w:val="0"/>
          <w:spacing w:before="360" w:after="160" w:line="240" w:lineRule="atLeast"/>
          <w:ind w:left="567" w:hanging="567"/>
          <w:textAlignment w:val="baseline"/>
          <w:outlineLvl w:val="1"/>
        </w:pPr>
      </w:pPrChange>
    </w:pPr>
    <w:rPr>
      <w:b/>
      <w:rPrChange w:id="15" w:author="LIU, Xintao [LSGI]" w:date="2026-05-09T22:54:00Z">
        <w:rPr>
          <w:b/>
          <w:lang w:val="en-US" w:eastAsia="en-US" w:bidi="ar-SA"/>
        </w:rPr>
      </w:rPrChange>
    </w:rPr>
  </w:style>
  <w:style w:type="character" w:customStyle="1" w:styleId="27">
    <w:name w:val="heading3"/>
    <w:basedOn w:val="13"/>
    <w:qFormat/>
    <w:uiPriority w:val="0"/>
    <w:rPr>
      <w:b/>
    </w:rPr>
  </w:style>
  <w:style w:type="paragraph" w:customStyle="1" w:styleId="28">
    <w:name w:val="acknowlegments"/>
    <w:basedOn w:val="1"/>
    <w:qFormat/>
    <w:uiPriority w:val="0"/>
    <w:pPr>
      <w:spacing w:before="240" w:line="220" w:lineRule="atLeast"/>
      <w:ind w:firstLine="0"/>
    </w:pPr>
    <w:rPr>
      <w:sz w:val="18"/>
    </w:rPr>
  </w:style>
  <w:style w:type="character" w:customStyle="1" w:styleId="29">
    <w:name w:val="heading4"/>
    <w:basedOn w:val="13"/>
    <w:qFormat/>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7"/>
    <w:next w:val="25"/>
    <w:qFormat/>
    <w:uiPriority w:val="0"/>
    <w:pPr>
      <w:spacing w:before="220"/>
      <w:ind w:firstLine="0"/>
      <w:contextualSpacing w:val="0"/>
      <w:jc w:val="left"/>
    </w:pPr>
  </w:style>
  <w:style w:type="paragraph" w:customStyle="1" w:styleId="32">
    <w:name w:val="numitem"/>
    <w:basedOn w:val="1"/>
    <w:qFormat/>
    <w:uiPriority w:val="0"/>
    <w:pPr>
      <w:numPr>
        <w:ilvl w:val="0"/>
        <w:numId w:val="4"/>
      </w:numPr>
      <w:spacing w:before="160" w:after="160"/>
      <w:contextualSpacing/>
      <w:pPrChange w:id="16" w:author="LIU, Xintao [LSGI]" w:date="2026-05-09T22:54:00Z">
        <w:pPr>
          <w:numPr>
            <w:numId w:val="4"/>
          </w:numPr>
          <w:overflowPunct w:val="0"/>
          <w:autoSpaceDE w:val="0"/>
          <w:autoSpaceDN w:val="0"/>
          <w:adjustRightInd w:val="0"/>
          <w:spacing w:before="160" w:after="160" w:line="240" w:lineRule="atLeast"/>
          <w:ind w:left="227" w:hanging="57"/>
          <w:contextualSpacing/>
          <w:jc w:val="both"/>
          <w:textAlignment w:val="baseline"/>
        </w:pPr>
      </w:pPrChange>
    </w:pPr>
    <w:rPr>
      <w:rPrChange w:id="17" w:author="LIU, Xintao [LSGI]" w:date="2026-05-09T22:54:00Z">
        <w:rPr>
          <w:lang w:val="en-US" w:eastAsia="en-US" w:bidi="ar-SA"/>
        </w:rPr>
      </w:rPrChange>
    </w:rPr>
  </w:style>
  <w:style w:type="paragraph" w:customStyle="1" w:styleId="33">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Change w:id="18" w:author="LIU, Xintao [LSGI]" w:date="2026-05-09T22:54:00Z">
        <w:pPr>
          <w:numPr>
            <w:numId w:val="5"/>
          </w:numPr>
          <w:overflowPunct w:val="0"/>
          <w:autoSpaceDE w:val="0"/>
          <w:autoSpaceDN w:val="0"/>
          <w:adjustRightInd w:val="0"/>
          <w:spacing w:line="220" w:lineRule="atLeast"/>
          <w:ind w:left="341" w:hanging="114"/>
          <w:jc w:val="both"/>
          <w:textAlignment w:val="baseline"/>
        </w:pPr>
      </w:pPrChange>
    </w:pPr>
    <w:rPr>
      <w:sz w:val="18"/>
      <w:rPrChange w:id="19" w:author="LIU, Xintao [LSGI]" w:date="2026-05-09T22:54:00Z">
        <w:rPr>
          <w:sz w:val="18"/>
          <w:lang w:val="en-US" w:eastAsia="en-US" w:bidi="ar-SA"/>
        </w:rPr>
      </w:rPrChange>
    </w:rPr>
  </w:style>
  <w:style w:type="paragraph" w:customStyle="1" w:styleId="35">
    <w:name w:val="runninghead left"/>
    <w:basedOn w:val="1"/>
    <w:qFormat/>
    <w:uiPriority w:val="0"/>
    <w:pPr>
      <w:tabs>
        <w:tab w:val="left" w:pos="680"/>
      </w:tabs>
      <w:ind w:firstLine="0"/>
      <w:jc w:val="left"/>
    </w:pPr>
    <w:rPr>
      <w:sz w:val="18"/>
      <w:szCs w:val="18"/>
    </w:rPr>
  </w:style>
  <w:style w:type="paragraph" w:customStyle="1" w:styleId="36">
    <w:name w:val="runninghead right"/>
    <w:basedOn w:val="1"/>
    <w:qFormat/>
    <w:uiPriority w:val="0"/>
    <w:pPr>
      <w:tabs>
        <w:tab w:val="right" w:pos="6237"/>
        <w:tab w:val="right" w:pos="6917"/>
      </w:tabs>
      <w:ind w:firstLine="0"/>
      <w:jc w:val="left"/>
    </w:pPr>
    <w:rPr>
      <w:bCs/>
      <w:sz w:val="18"/>
      <w:szCs w:val="18"/>
    </w:rPr>
  </w:style>
  <w:style w:type="paragraph" w:customStyle="1" w:styleId="37">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19"/>
    <w:qFormat/>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13"/>
    <w:qFormat/>
    <w:uiPriority w:val="0"/>
    <w:rPr>
      <w:rFonts w:ascii="Courier" w:hAnsi="Courier"/>
    </w:rPr>
  </w:style>
  <w:style w:type="character" w:customStyle="1" w:styleId="41">
    <w:name w:val="ORCID"/>
    <w:basedOn w:val="13"/>
    <w:qFormat/>
    <w:uiPriority w:val="0"/>
    <w:rPr>
      <w:position w:val="0"/>
      <w:vertAlign w:val="superscript"/>
    </w:rPr>
  </w:style>
  <w:style w:type="paragraph" w:customStyle="1" w:styleId="42">
    <w:name w:val="ReferenceLine"/>
    <w:basedOn w:val="3"/>
    <w:semiHidden/>
    <w:unhideWhenUsed/>
    <w:qFormat/>
    <w:uiPriority w:val="0"/>
    <w:pPr>
      <w:spacing w:line="200" w:lineRule="exact"/>
    </w:pPr>
    <w:rPr>
      <w:sz w:val="16"/>
    </w:rPr>
  </w:style>
  <w:style w:type="paragraph" w:customStyle="1" w:styleId="43">
    <w:name w:val="Revision"/>
    <w:hidden/>
    <w:unhideWhenUsed/>
    <w:qFormat/>
    <w:uiPriority w:val="99"/>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12</Pages>
  <Words>2086</Words>
  <Characters>12126</Characters>
  <Lines>226</Lines>
  <Paragraphs>63</Paragraphs>
  <TotalTime>88</TotalTime>
  <ScaleCrop>false</ScaleCrop>
  <LinksUpToDate>false</LinksUpToDate>
  <CharactersWithSpaces>14044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阳</dc:creator>
  <dc:description>Styles and macros for Springer Lecture Notes</dc:description>
  <cp:lastModifiedBy>阳</cp:lastModifiedBy>
  <dcterms:modified xsi:type="dcterms:W3CDTF">2026-07-04T07:01:10Z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eyJoZGlkIjoiMjg2MDdjNzU2YTdlNGYyMjNkZWYxN2E2ZDYwNGZiMDYiLCJ1c2VySWQiOiIzOTIyNjA2NzIifQ==</vt:lpwstr>
  </property>
  <property fmtid="{D5CDD505-2E9C-101B-9397-08002B2CF9AE}" pid="3" name="KSOProductBuildVer">
    <vt:lpwstr>2052-12.1.0.26884</vt:lpwstr>
  </property>
  <property fmtid="{D5CDD505-2E9C-101B-9397-08002B2CF9AE}" pid="4" name="ICV">
    <vt:lpwstr>A24E62B1654340ED8E9A9D903B18B233_13</vt:lpwstr>
  </property>
</Properties>
</file>