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61D"/>
          <w:sz w:val="60"/>
        </w:rPr>
        <w:t>Level Intelligence OS</w:t>
      </w:r>
      <w:r>
        <w:rPr>
          <w:color w:val="0D806C"/>
        </w:rPr>
        <w:br/>
        <w:t>Client one-page dossier and term sheet</w:t>
      </w:r>
    </w:p>
    <w:p>
      <w:r>
        <w:t>A private, agent-native operating layer that converts Level X's analog construction, development, hospitality, and capital knowledge into a compounding digital asset.</w:t>
      </w:r>
    </w:p>
    <w:tbl>
      <w:tblPr>
        <w:tblStyle w:val="TableGrid"/>
        <w:tblW w:type="auto" w:w="0"/>
        <w:tblLook w:firstColumn="1" w:firstRow="1" w:lastColumn="0" w:lastRow="0" w:noHBand="0" w:noVBand="1" w:val="04A0"/>
      </w:tblPr>
      <w:tblGrid>
        <w:gridCol w:w="14544"/>
      </w:tblGrid>
      <w:tr>
        <w:tc>
          <w:tcPr>
            <w:tcW w:type="dxa" w:w="14544"/>
            <w:shd w:fill="17202B"/>
          </w:tcPr>
          <w:p>
            <w:r>
              <w:rPr>
                <w:b/>
                <w:color w:val="FFFFFF"/>
              </w:rPr>
              <w:t>Pain Points</w:t>
            </w:r>
          </w:p>
        </w:tc>
      </w:tr>
      <w:tr>
        <w:tc>
          <w:tcPr>
            <w:tcW w:type="dxa" w:w="14544"/>
          </w:tcPr>
          <w:p>
            <w:r>
              <w:t>Signals are scattered across permits, planning agendas, broker notes, franchise expansion, RFQs, and relationships. Judgment is trapped in people, inboxes, spreadsheets, and project memory. Leadership needs exceptions, decisions, risks, and next actions in one place.</w:t>
            </w:r>
          </w:p>
        </w:tc>
      </w:tr>
    </w:tbl>
    <w:tbl>
      <w:tblPr>
        <w:tblStyle w:val="TableGrid"/>
        <w:tblW w:type="auto" w:w="0"/>
        <w:tblLook w:firstColumn="1" w:firstRow="1" w:lastColumn="0" w:lastRow="0" w:noHBand="0" w:noVBand="1" w:val="04A0"/>
      </w:tblPr>
      <w:tblGrid>
        <w:gridCol w:w="14544"/>
      </w:tblGrid>
      <w:tr>
        <w:tc>
          <w:tcPr>
            <w:tcW w:type="dxa" w:w="14544"/>
            <w:shd w:fill="17202B"/>
          </w:tcPr>
          <w:p>
            <w:r>
              <w:rPr>
                <w:b/>
                <w:color w:val="FFFFFF"/>
              </w:rPr>
              <w:t>Outcomes, Not Just Code</w:t>
            </w:r>
          </w:p>
        </w:tc>
      </w:tr>
      <w:tr>
        <w:tc>
          <w:tcPr>
            <w:tcW w:type="dxa" w:w="14544"/>
          </w:tcPr>
          <w:p>
            <w:r>
              <w:t>Code is the mechanism. The product is a working operating rhythm: visible pipeline, cleaner RFQ decisions, approval rails, weekly executive briefs, and compounding operating memory.</w:t>
            </w:r>
          </w:p>
        </w:tc>
      </w:tr>
    </w:tbl>
    <w:tbl>
      <w:tblPr>
        <w:tblStyle w:val="TableGrid"/>
        <w:tblW w:type="auto" w:w="0"/>
        <w:tblLook w:firstColumn="1" w:firstRow="1" w:lastColumn="0" w:lastRow="0" w:noHBand="0" w:noVBand="1" w:val="04A0"/>
      </w:tblPr>
      <w:tblGrid>
        <w:gridCol w:w="4848"/>
        <w:gridCol w:w="4848"/>
        <w:gridCol w:w="4848"/>
      </w:tblGrid>
      <w:tr>
        <w:tc>
          <w:tcPr>
            <w:tcW w:type="dxa" w:w="4848"/>
            <w:shd w:fill="17202B"/>
          </w:tcPr>
          <w:p>
            <w:r>
              <w:rPr>
                <w:b/>
                <w:color w:val="FFFFFF"/>
              </w:rPr>
              <w:t>Feasibility</w:t>
            </w:r>
          </w:p>
        </w:tc>
        <w:tc>
          <w:tcPr>
            <w:tcW w:type="dxa" w:w="4848"/>
            <w:shd w:fill="17202B"/>
          </w:tcPr>
          <w:p>
            <w:r>
              <w:rPr>
                <w:b/>
                <w:color w:val="FFFFFF"/>
              </w:rPr>
              <w:t>Risk</w:t>
            </w:r>
          </w:p>
        </w:tc>
        <w:tc>
          <w:tcPr>
            <w:tcW w:type="dxa" w:w="4848"/>
            <w:shd w:fill="17202B"/>
          </w:tcPr>
          <w:p>
            <w:r>
              <w:rPr>
                <w:b/>
                <w:color w:val="FFFFFF"/>
              </w:rPr>
              <w:t>Best Wedge</w:t>
            </w:r>
          </w:p>
        </w:tc>
      </w:tr>
      <w:tr>
        <w:tc>
          <w:tcPr>
            <w:tcW w:type="dxa" w:w="4848"/>
          </w:tcPr>
          <w:p>
            <w:r>
              <w:t>High if scoped as an intelligence and workflow layer across current tools.</w:t>
            </w:r>
          </w:p>
        </w:tc>
        <w:tc>
          <w:tcPr>
            <w:tcW w:type="dxa" w:w="4848"/>
          </w:tcPr>
          <w:p>
            <w:r>
              <w:t>Data quality and adoption. Solve with a narrow pilot and human review.</w:t>
            </w:r>
          </w:p>
        </w:tc>
        <w:tc>
          <w:tcPr>
            <w:tcW w:type="dxa" w:w="4848"/>
          </w:tcPr>
          <w:p>
            <w:r>
              <w:t>Opportunity pipeline, relationship memory, RFQ triage, and weekly executive brief.</w:t>
            </w:r>
          </w:p>
        </w:tc>
      </w:tr>
    </w:tbl>
    <w:tbl>
      <w:tblPr>
        <w:tblStyle w:val="TableGrid"/>
        <w:tblW w:type="auto" w:w="0"/>
        <w:tblLook w:firstColumn="1" w:firstRow="1" w:lastColumn="0" w:lastRow="0" w:noHBand="0" w:noVBand="1" w:val="04A0"/>
      </w:tblPr>
      <w:tblGrid>
        <w:gridCol w:w="7272"/>
        <w:gridCol w:w="7272"/>
      </w:tblGrid>
      <w:tr>
        <w:tc>
          <w:tcPr>
            <w:tcW w:type="dxa" w:w="7272"/>
            <w:shd w:fill="17202B"/>
          </w:tcPr>
          <w:p>
            <w:r>
              <w:rPr>
                <w:b/>
                <w:color w:val="FFFFFF"/>
              </w:rPr>
              <w:t>What Level Gets</w:t>
            </w:r>
          </w:p>
        </w:tc>
        <w:tc>
          <w:tcPr>
            <w:tcW w:type="dxa" w:w="7272"/>
            <w:shd w:fill="17202B"/>
          </w:tcPr>
          <w:p>
            <w:r>
              <w:rPr>
                <w:b/>
                <w:color w:val="FFFFFF"/>
              </w:rPr>
              <w:t>Why It Matters</w:t>
            </w:r>
          </w:p>
        </w:tc>
      </w:tr>
      <w:tr>
        <w:tc>
          <w:tcPr>
            <w:tcW w:type="dxa" w:w="7272"/>
          </w:tcPr>
          <w:p>
            <w:r>
              <w:t>Earlier signals, Level-specific scoring, agent workflows, and human approval rails.</w:t>
            </w:r>
          </w:p>
        </w:tc>
        <w:tc>
          <w:tcPr>
            <w:tcW w:type="dxa" w:w="7272"/>
          </w:tcPr>
          <w:p>
            <w:r>
              <w:t>Internal software can evolve through language and compound from every decision and outcome.</w:t>
            </w:r>
          </w:p>
        </w:tc>
      </w:tr>
    </w:tbl>
    <w:tbl>
      <w:tblPr>
        <w:tblStyle w:val="TableGrid"/>
        <w:tblW w:type="auto" w:w="0"/>
        <w:tblLook w:firstColumn="1" w:firstRow="1" w:lastColumn="0" w:lastRow="0" w:noHBand="0" w:noVBand="1" w:val="04A0"/>
      </w:tblPr>
      <w:tblGrid>
        <w:gridCol w:w="7272"/>
        <w:gridCol w:w="7272"/>
      </w:tblGrid>
      <w:tr>
        <w:tc>
          <w:tcPr>
            <w:tcW w:type="dxa" w:w="7272"/>
            <w:shd w:fill="17202B"/>
          </w:tcPr>
          <w:p>
            <w:r>
              <w:rPr>
                <w:b/>
                <w:color w:val="FFFFFF"/>
              </w:rPr>
              <w:t>Value Prop</w:t>
            </w:r>
          </w:p>
        </w:tc>
        <w:tc>
          <w:tcPr>
            <w:tcW w:type="dxa" w:w="7272"/>
            <w:shd w:fill="17202B"/>
          </w:tcPr>
          <w:p>
            <w:r>
              <w:rPr>
                <w:b/>
                <w:color w:val="FFFFFF"/>
              </w:rPr>
              <w:t>Meaning</w:t>
            </w:r>
          </w:p>
        </w:tc>
      </w:tr>
      <w:tr>
        <w:tc>
          <w:tcPr>
            <w:tcW w:type="dxa" w:w="7272"/>
          </w:tcPr>
          <w:p>
            <w:r>
              <w:t>Faster pursuit</w:t>
            </w:r>
          </w:p>
        </w:tc>
        <w:tc>
          <w:tcPr>
            <w:tcW w:type="dxa" w:w="7272"/>
          </w:tcPr>
          <w:p>
            <w:r>
              <w:t>Signals become opportunities with owners, scores, and next actions.</w:t>
            </w:r>
          </w:p>
        </w:tc>
      </w:tr>
      <w:tr>
        <w:tc>
          <w:tcPr>
            <w:tcW w:type="dxa" w:w="7272"/>
          </w:tcPr>
          <w:p>
            <w:r>
              <w:t>Better margin</w:t>
            </w:r>
          </w:p>
        </w:tc>
        <w:tc>
          <w:tcPr>
            <w:tcW w:type="dxa" w:w="7272"/>
          </w:tcPr>
          <w:p>
            <w:r>
              <w:t>Go/no-go discipline reduces wasted pursuits and highlights risk earlier.</w:t>
            </w:r>
          </w:p>
        </w:tc>
      </w:tr>
      <w:tr>
        <w:tc>
          <w:tcPr>
            <w:tcW w:type="dxa" w:w="7272"/>
          </w:tcPr>
          <w:p>
            <w:r>
              <w:t>Lower admin load</w:t>
            </w:r>
          </w:p>
        </w:tc>
        <w:tc>
          <w:tcPr>
            <w:tcW w:type="dxa" w:w="7272"/>
          </w:tcPr>
          <w:p>
            <w:r>
              <w:t>Agents summarize, extract, draft, route, and remind across language-heavy work.</w:t>
            </w:r>
          </w:p>
        </w:tc>
      </w:tr>
      <w:tr>
        <w:tc>
          <w:tcPr>
            <w:tcW w:type="dxa" w:w="7272"/>
          </w:tcPr>
          <w:p>
            <w:r>
              <w:t>Enterprise asset</w:t>
            </w:r>
          </w:p>
        </w:tc>
        <w:tc>
          <w:tcPr>
            <w:tcW w:type="dxa" w:w="7272"/>
          </w:tcPr>
          <w:p>
            <w:r>
              <w:t>Relationships, decisions, and outcomes become proprietary operating memory.</w:t>
            </w:r>
          </w:p>
        </w:tc>
      </w:tr>
    </w:tbl>
    <w:tbl>
      <w:tblPr>
        <w:tblStyle w:val="TableGrid"/>
        <w:tblW w:type="auto" w:w="0"/>
        <w:tblLook w:firstColumn="1" w:firstRow="1" w:lastColumn="0" w:lastRow="0" w:noHBand="0" w:noVBand="1" w:val="04A0"/>
      </w:tblPr>
      <w:tblGrid>
        <w:gridCol w:w="7272"/>
        <w:gridCol w:w="7272"/>
      </w:tblGrid>
      <w:tr>
        <w:tc>
          <w:tcPr>
            <w:tcW w:type="dxa" w:w="7272"/>
            <w:shd w:fill="17202B"/>
          </w:tcPr>
          <w:p>
            <w:r>
              <w:rPr>
                <w:b/>
                <w:color w:val="FFFFFF"/>
              </w:rPr>
              <w:t>Term Area</w:t>
            </w:r>
          </w:p>
        </w:tc>
        <w:tc>
          <w:tcPr>
            <w:tcW w:type="dxa" w:w="7272"/>
            <w:shd w:fill="17202B"/>
          </w:tcPr>
          <w:p>
            <w:r>
              <w:rPr>
                <w:b/>
                <w:color w:val="FFFFFF"/>
              </w:rPr>
              <w:t>Skeleton</w:t>
            </w:r>
          </w:p>
        </w:tc>
      </w:tr>
      <w:tr>
        <w:tc>
          <w:tcPr>
            <w:tcW w:type="dxa" w:w="7272"/>
          </w:tcPr>
          <w:p>
            <w:r>
              <w:t>Engagement</w:t>
            </w:r>
          </w:p>
        </w:tc>
        <w:tc>
          <w:tcPr>
            <w:tcW w:type="dxa" w:w="7272"/>
          </w:tcPr>
          <w:p>
            <w:r>
              <w:t>90-day pilot to design and build Level Intelligence OS v1.</w:t>
            </w:r>
          </w:p>
        </w:tc>
      </w:tr>
      <w:tr>
        <w:tc>
          <w:tcPr>
            <w:tcW w:type="dxa" w:w="7272"/>
          </w:tcPr>
          <w:p>
            <w:r>
              <w:t>Pilot scope</w:t>
            </w:r>
          </w:p>
        </w:tc>
        <w:tc>
          <w:tcPr>
            <w:tcW w:type="dxa" w:w="7272"/>
          </w:tcPr>
          <w:p>
            <w:r>
              <w:t>Opportunity pipeline, account/contact layer, signal inbox, qualification scoring, RFQ intake, approval queue, weekly executive brief.</w:t>
            </w:r>
          </w:p>
        </w:tc>
      </w:tr>
      <w:tr>
        <w:tc>
          <w:tcPr>
            <w:tcW w:type="dxa" w:w="7272"/>
          </w:tcPr>
          <w:p>
            <w:r>
              <w:t>Ownership</w:t>
            </w:r>
          </w:p>
        </w:tc>
        <w:tc>
          <w:tcPr>
            <w:tcW w:type="dxa" w:w="7272"/>
          </w:tcPr>
          <w:p>
            <w:r>
              <w:t>Level owns its data and generated operating memory. Code/licensing structure to be finalized in agreement.</w:t>
            </w:r>
          </w:p>
        </w:tc>
      </w:tr>
      <w:tr>
        <w:tc>
          <w:tcPr>
            <w:tcW w:type="dxa" w:w="7272"/>
          </w:tcPr>
          <w:p>
            <w:r>
              <w:t>Commercial options</w:t>
            </w:r>
          </w:p>
        </w:tc>
        <w:tc>
          <w:tcPr>
            <w:tcW w:type="dxa" w:w="7272"/>
          </w:tcPr>
          <w:p>
            <w:r>
              <w:t>Fixed-fee pilot, build fee plus monthly support, strategy sprint then implementation, or long-term internal software partnership.</w:t>
            </w:r>
          </w:p>
        </w:tc>
      </w:tr>
    </w:tbl>
    <w:sectPr w:rsidR="00FC693F" w:rsidRPr="0006063C" w:rsidSect="00034616">
      <w:pgSz w:w="15840" w:h="12240" w:orient="landscape"/>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A45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61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61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6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