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61D"/>
          <w:sz w:val="60"/>
        </w:rPr>
        <w:t>Level Intelligence OS</w:t>
        <w:br/>
      </w:r>
      <w:r>
        <w:rPr>
          <w:color w:val="0D806C"/>
          <w:sz w:val="22"/>
        </w:rPr>
        <w:t>Official dossier</w:t>
      </w:r>
    </w:p>
    <w:p>
      <w:r>
        <w:t>A private construction intelligence operating system for finding, qualifying, routing, and converting opportunities through Level's own operating judgment.</w:t>
      </w:r>
    </w:p>
    <w:p>
      <w:pPr>
        <w:pStyle w:val="Heading1"/>
      </w:pPr>
      <w:r>
        <w:t>Executive Summary</w:t>
      </w:r>
    </w:p>
    <w:p>
      <w:r>
        <w:t>Level Construction already has the hard part: trusted relationships, construction judgment, development instincts, hospitality experience, capital discipline, and a practical sense for which opportunities are worth time. The opportunity is to turn that judgment into a private operating system that Level owns.</w:t>
      </w:r>
    </w:p>
    <w:p>
      <w:pPr>
        <w:pStyle w:val="Heading1"/>
      </w:pPr>
      <w:r>
        <w:t>The Business Problem</w:t>
      </w:r>
    </w:p>
    <w:p>
      <w:r>
        <w:t>Level's advantage is operational, but much of that advantage still lives in places that software cannot easily use: emails, RFQ packages, attachments, bid notes, permit comments, spreadsheets, project folders, meeting notes, calls, relationship memory, and executive judgment.</w:t>
      </w:r>
    </w:p>
    <w:p>
      <w:pPr>
        <w:pStyle w:val="Heading1"/>
      </w:pPr>
      <w:r>
        <w:t>Outcomes, Not Just Code</w:t>
      </w:r>
    </w:p>
    <w:p>
      <w:r>
        <w:t>We give you outcomes, not just code. Code is the mechanism. The product is operating lift: cleaner pipeline visibility, faster triage, better RFQ discipline, fewer missed follow-ups, weekly executive rhythm, and reusable enterprise memory.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System Area</w:t>
            </w:r>
          </w:p>
        </w:tc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Client-Facing Outcome</w:t>
            </w:r>
          </w:p>
        </w:tc>
      </w:tr>
      <w:tr>
        <w:tc>
          <w:tcPr>
            <w:tcW w:type="dxa" w:w="5083"/>
          </w:tcPr>
          <w:p>
            <w:r>
              <w:t>Signal inbox</w:t>
            </w:r>
          </w:p>
        </w:tc>
        <w:tc>
          <w:tcPr>
            <w:tcW w:type="dxa" w:w="5083"/>
          </w:tcPr>
          <w:p>
            <w:r>
              <w:t>Early project, permit, planning, ownership, franchise, broker, and RFQ signals captured in one place.</w:t>
            </w:r>
          </w:p>
        </w:tc>
      </w:tr>
      <w:tr>
        <w:tc>
          <w:tcPr>
            <w:tcW w:type="dxa" w:w="5083"/>
          </w:tcPr>
          <w:p>
            <w:r>
              <w:t>Opportunity graph</w:t>
            </w:r>
          </w:p>
        </w:tc>
        <w:tc>
          <w:tcPr>
            <w:tcW w:type="dxa" w:w="5083"/>
          </w:tcPr>
          <w:p>
            <w:r>
              <w:t>Accounts, contacts, sites, jurisdictions, RFQs, bids, permits, and decisions connected.</w:t>
            </w:r>
          </w:p>
        </w:tc>
      </w:tr>
      <w:tr>
        <w:tc>
          <w:tcPr>
            <w:tcW w:type="dxa" w:w="5083"/>
          </w:tcPr>
          <w:p>
            <w:r>
              <w:t>Qualification engine</w:t>
            </w:r>
          </w:p>
        </w:tc>
        <w:tc>
          <w:tcPr>
            <w:tcW w:type="dxa" w:w="5083"/>
          </w:tcPr>
          <w:p>
            <w:r>
              <w:t>Pursue, watch, or pass recommendations based on Level-specific fit criteria.</w:t>
            </w:r>
          </w:p>
        </w:tc>
      </w:tr>
      <w:tr>
        <w:tc>
          <w:tcPr>
            <w:tcW w:type="dxa" w:w="5083"/>
          </w:tcPr>
          <w:p>
            <w:r>
              <w:t>Relationship memory</w:t>
            </w:r>
          </w:p>
        </w:tc>
        <w:tc>
          <w:tcPr>
            <w:tcW w:type="dxa" w:w="5083"/>
          </w:tcPr>
          <w:p>
            <w:r>
              <w:t>Searchable account/contact context, relationship owners, last touch, and next follow-up.</w:t>
            </w:r>
          </w:p>
        </w:tc>
      </w:tr>
      <w:tr>
        <w:tc>
          <w:tcPr>
            <w:tcW w:type="dxa" w:w="5083"/>
          </w:tcPr>
          <w:p>
            <w:r>
              <w:t>RFQ command center</w:t>
            </w:r>
          </w:p>
        </w:tc>
        <w:tc>
          <w:tcPr>
            <w:tcW w:type="dxa" w:w="5083"/>
          </w:tcPr>
          <w:p>
            <w:r>
              <w:t>Scope summaries, deadlines, missing requirements, go/no-go memos, and bid tasks.</w:t>
            </w:r>
          </w:p>
        </w:tc>
      </w:tr>
      <w:tr>
        <w:tc>
          <w:tcPr>
            <w:tcW w:type="dxa" w:w="5083"/>
          </w:tcPr>
          <w:p>
            <w:r>
              <w:t>Procore bridge</w:t>
            </w:r>
          </w:p>
        </w:tc>
        <w:tc>
          <w:tcPr>
            <w:tcW w:type="dxa" w:w="5083"/>
          </w:tcPr>
          <w:p>
            <w:r>
              <w:t>Procore remains the execution source of truth at first while Level Intelligence OS adds intelligence, pursuit, RFQ, approval, and executive workflow around it.</w:t>
            </w:r>
          </w:p>
        </w:tc>
      </w:tr>
      <w:tr>
        <w:tc>
          <w:tcPr>
            <w:tcW w:type="dxa" w:w="5083"/>
          </w:tcPr>
          <w:p>
            <w:r>
              <w:t>Approval queue</w:t>
            </w:r>
          </w:p>
        </w:tc>
        <w:tc>
          <w:tcPr>
            <w:tcW w:type="dxa" w:w="5083"/>
          </w:tcPr>
          <w:p>
            <w:r>
              <w:t>Consequential actions routed to humans before external movement.</w:t>
            </w:r>
          </w:p>
        </w:tc>
      </w:tr>
      <w:tr>
        <w:tc>
          <w:tcPr>
            <w:tcW w:type="dxa" w:w="5083"/>
          </w:tcPr>
          <w:p>
            <w:r>
              <w:t>Executive brief</w:t>
            </w:r>
          </w:p>
        </w:tc>
        <w:tc>
          <w:tcPr>
            <w:tcW w:type="dxa" w:w="5083"/>
          </w:tcPr>
          <w:p>
            <w:r>
              <w:t>Weekly view of what changed, what is stuck, what needs action, and what leadership must decide.</w:t>
            </w:r>
          </w:p>
        </w:tc>
      </w:tr>
    </w:tbl>
    <w:p/>
    <w:p>
      <w:pPr>
        <w:pStyle w:val="Heading1"/>
      </w:pPr>
      <w:r>
        <w:t>Procore-First, Monolith-Later Strategy</w:t>
      </w:r>
    </w:p>
    <w:p>
      <w:r>
        <w:t>The recommended first move is to wrap around Procore, not replace it. The long-term goal is to reduce reliance on monolithic software only after Level's owned operating layer proves which workflows can be handled with better fit, lower friction, and clear ROI.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Infrastructure Pattern</w:t>
            </w:r>
          </w:p>
        </w:tc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083"/>
          </w:tcPr>
          <w:p>
            <w:r>
              <w:t>Connected construction data model</w:t>
            </w:r>
          </w:p>
        </w:tc>
        <w:tc>
          <w:tcPr>
            <w:tcW w:type="dxa" w:w="5083"/>
          </w:tcPr>
          <w:p>
            <w:r>
              <w:t>Accounts, contacts, sites, RFQs, bids, permits, approvals, decisions, and outcomes become one operating memory.</w:t>
            </w:r>
          </w:p>
        </w:tc>
      </w:tr>
      <w:tr>
        <w:tc>
          <w:tcPr>
            <w:tcW w:type="dxa" w:w="5083"/>
          </w:tcPr>
          <w:p>
            <w:r>
              <w:t>Human-in-the-loop controls</w:t>
            </w:r>
          </w:p>
        </w:tc>
        <w:tc>
          <w:tcPr>
            <w:tcW w:type="dxa" w:w="5083"/>
          </w:tcPr>
          <w:p>
            <w:r>
              <w:t>Agents prepare, recommend, and route work while humans retain control over consequential actions.</w:t>
            </w:r>
          </w:p>
        </w:tc>
      </w:tr>
      <w:tr>
        <w:tc>
          <w:tcPr>
            <w:tcW w:type="dxa" w:w="5083"/>
          </w:tcPr>
          <w:p>
            <w:r>
              <w:t>Feedback loops</w:t>
            </w:r>
          </w:p>
        </w:tc>
        <w:tc>
          <w:tcPr>
            <w:tcW w:type="dxa" w:w="5083"/>
          </w:tcPr>
          <w:p>
            <w:r>
              <w:t>Wins, losses, overrides, delays, and vendor outcomes improve future recommendations.</w:t>
            </w:r>
          </w:p>
        </w:tc>
      </w:tr>
    </w:tbl>
    <w:p/>
    <w:p>
      <w:pPr>
        <w:pStyle w:val="Heading1"/>
      </w:pPr>
      <w:r>
        <w:t>90-Day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02B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3389"/>
            <w:shd w:fill="17202B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389"/>
            <w:shd w:fill="17202B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389"/>
          </w:tcPr>
          <w:p>
            <w:r>
              <w:t>Weeks 1-2</w:t>
            </w:r>
          </w:p>
        </w:tc>
        <w:tc>
          <w:tcPr>
            <w:tcW w:type="dxa" w:w="3389"/>
          </w:tcPr>
          <w:p>
            <w:r>
              <w:t>Foundation</w:t>
            </w:r>
          </w:p>
        </w:tc>
        <w:tc>
          <w:tcPr>
            <w:tcW w:type="dxa" w:w="3389"/>
          </w:tcPr>
          <w:p>
            <w:r>
              <w:t>Data model, roles, active opportunity/account/contact views, executive dashboard skeleton.</w:t>
            </w:r>
          </w:p>
        </w:tc>
      </w:tr>
      <w:tr>
        <w:tc>
          <w:tcPr>
            <w:tcW w:type="dxa" w:w="3389"/>
          </w:tcPr>
          <w:p>
            <w:r>
              <w:t>Weeks 3-5</w:t>
            </w:r>
          </w:p>
        </w:tc>
        <w:tc>
          <w:tcPr>
            <w:tcW w:type="dxa" w:w="3389"/>
          </w:tcPr>
          <w:p>
            <w:r>
              <w:t>Intelligence</w:t>
            </w:r>
          </w:p>
        </w:tc>
        <w:tc>
          <w:tcPr>
            <w:tcW w:type="dxa" w:w="3389"/>
          </w:tcPr>
          <w:p>
            <w:r>
              <w:t>Signal inbox, opportunity summaries, qualification scoring, relationship briefs, first weekly digest.</w:t>
            </w:r>
          </w:p>
        </w:tc>
      </w:tr>
      <w:tr>
        <w:tc>
          <w:tcPr>
            <w:tcW w:type="dxa" w:w="3389"/>
          </w:tcPr>
          <w:p>
            <w:r>
              <w:t>Weeks 6-8</w:t>
            </w:r>
          </w:p>
        </w:tc>
        <w:tc>
          <w:tcPr>
            <w:tcW w:type="dxa" w:w="3389"/>
          </w:tcPr>
          <w:p>
            <w:r>
              <w:t>Workflow</w:t>
            </w:r>
          </w:p>
        </w:tc>
        <w:tc>
          <w:tcPr>
            <w:tcW w:type="dxa" w:w="3389"/>
          </w:tcPr>
          <w:p>
            <w:r>
              <w:t>RFQ command center, deadline extraction, go/no-go memo, approval queue, bid task tracking.</w:t>
            </w:r>
          </w:p>
        </w:tc>
      </w:tr>
      <w:tr>
        <w:tc>
          <w:tcPr>
            <w:tcW w:type="dxa" w:w="3389"/>
          </w:tcPr>
          <w:p>
            <w:r>
              <w:t>Weeks 9-12</w:t>
            </w:r>
          </w:p>
        </w:tc>
        <w:tc>
          <w:tcPr>
            <w:tcW w:type="dxa" w:w="3389"/>
          </w:tcPr>
          <w:p>
            <w:r>
              <w:t>Operating rhythm</w:t>
            </w:r>
          </w:p>
        </w:tc>
        <w:tc>
          <w:tcPr>
            <w:tcW w:type="dxa" w:w="3389"/>
          </w:tcPr>
          <w:p>
            <w:r>
              <w:t>Weekly executive brief, outcome capture, adoption review, phase-two roadmap.</w:t>
            </w:r>
          </w:p>
        </w:tc>
      </w:tr>
    </w:tbl>
    <w:p/>
    <w:p>
      <w:pPr>
        <w:pStyle w:val="Heading1"/>
      </w:pPr>
      <w:r>
        <w:t>Commercial And Ownership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17202B"/>
          </w:tcPr>
          <w:p>
            <w:r>
              <w:rPr>
                <w:b/>
                <w:color w:val="FFFFFF"/>
              </w:rPr>
              <w:t>Recommended Position</w:t>
            </w:r>
          </w:p>
        </w:tc>
      </w:tr>
      <w:tr>
        <w:tc>
          <w:tcPr>
            <w:tcW w:type="dxa" w:w="5083"/>
          </w:tcPr>
          <w:p>
            <w:r>
              <w:t>Engagement</w:t>
            </w:r>
          </w:p>
        </w:tc>
        <w:tc>
          <w:tcPr>
            <w:tcW w:type="dxa" w:w="5083"/>
          </w:tcPr>
          <w:p>
            <w:r>
              <w:t>90-day pilot for a private, Level-specific construction intelligence operating system.</w:t>
            </w:r>
          </w:p>
        </w:tc>
      </w:tr>
      <w:tr>
        <w:tc>
          <w:tcPr>
            <w:tcW w:type="dxa" w:w="5083"/>
          </w:tcPr>
          <w:p>
            <w:r>
              <w:t>Ownership</w:t>
            </w:r>
          </w:p>
        </w:tc>
        <w:tc>
          <w:tcPr>
            <w:tcW w:type="dxa" w:w="5083"/>
          </w:tcPr>
          <w:p>
            <w:r>
              <w:t>Level owns its data, operating memory, domain model, workflow definitions, and exportable generated records. Code ownership/licensing to be defined in final agreement.</w:t>
            </w:r>
          </w:p>
        </w:tc>
      </w:tr>
      <w:tr>
        <w:tc>
          <w:tcPr>
            <w:tcW w:type="dxa" w:w="5083"/>
          </w:tcPr>
          <w:p>
            <w:r>
              <w:t>Confidentiality</w:t>
            </w:r>
          </w:p>
        </w:tc>
        <w:tc>
          <w:tcPr>
            <w:tcW w:type="dxa" w:w="5083"/>
          </w:tcPr>
          <w:p>
            <w:r>
              <w:t>Level data is confidential. No external reuse without written permission. Role-based access and audit logging required.</w:t>
            </w:r>
          </w:p>
        </w:tc>
      </w:tr>
      <w:tr>
        <w:tc>
          <w:tcPr>
            <w:tcW w:type="dxa" w:w="5083"/>
          </w:tcPr>
          <w:p>
            <w:r>
              <w:t>Commercial structure</w:t>
            </w:r>
          </w:p>
        </w:tc>
        <w:tc>
          <w:tcPr>
            <w:tcW w:type="dxa" w:w="5083"/>
          </w:tcPr>
          <w:p>
            <w:r>
              <w:t>Fixed-fee pilot, build fee plus monthly operating retainer, strategy/design sprint followed by implementation, or long-term internal software partnership.</w:t>
            </w:r>
          </w:p>
        </w:tc>
      </w:tr>
    </w:tbl>
    <w:p/>
    <w:p>
      <w:pPr>
        <w:pStyle w:val="Heading1"/>
      </w:pPr>
      <w:r>
        <w:t>Closing Position</w:t>
      </w:r>
    </w:p>
    <w:p>
      <w:r>
        <w:t>The first version gives Level cleaner visibility and faster decisions. The strategic version gives Level a proprietary operating memory that improves how the company finds, qualifies, wins, and executes work.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A45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6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