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2026 (aprobada):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2026</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2026</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Política de comisiones 2026, aprobada.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3005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3005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